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300" w:lineRule="auto"/>
        <w:jc w:val="center"/>
        <w:rPr>
          <w:rFonts w:hint="default" w:eastAsia="宋体"/>
          <w:b/>
          <w:sz w:val="52"/>
          <w:szCs w:val="52"/>
          <w:lang w:val="en-US" w:eastAsia="zh-CN"/>
        </w:rPr>
      </w:pPr>
      <w:r>
        <w:rPr>
          <w:rFonts w:hint="eastAsia"/>
          <w:b/>
          <w:sz w:val="52"/>
          <w:szCs w:val="52"/>
          <w:lang w:val="en-US" w:eastAsia="zh-CN"/>
        </w:rPr>
        <w:t>零星锆刚玉制品询比采购</w:t>
      </w:r>
    </w:p>
    <w:p>
      <w:pPr>
        <w:jc w:val="center"/>
        <w:rPr>
          <w:rFonts w:hint="eastAsia" w:ascii="宋体"/>
          <w:b/>
          <w:sz w:val="30"/>
          <w:szCs w:val="30"/>
        </w:rPr>
      </w:pPr>
    </w:p>
    <w:p>
      <w:pPr>
        <w:jc w:val="center"/>
        <w:rPr>
          <w:rFonts w:hint="eastAsia" w:ascii="宋体"/>
          <w:b/>
          <w:sz w:val="28"/>
          <w:szCs w:val="28"/>
        </w:rPr>
      </w:pPr>
    </w:p>
    <w:p>
      <w:pPr>
        <w:spacing w:line="360" w:lineRule="auto"/>
        <w:rPr>
          <w:rFonts w:hint="eastAsia"/>
          <w:b/>
          <w:sz w:val="52"/>
          <w:szCs w:val="52"/>
        </w:rPr>
      </w:pPr>
      <w:r>
        <w:rPr>
          <w:rFonts w:hint="eastAsia"/>
          <w:b/>
          <w:sz w:val="52"/>
          <w:szCs w:val="52"/>
        </w:rPr>
        <w:t xml:space="preserve">          </w:t>
      </w:r>
      <w:r>
        <w:rPr>
          <w:rFonts w:hint="eastAsia"/>
          <w:b/>
          <w:sz w:val="52"/>
          <w:szCs w:val="52"/>
          <w:lang w:val="en-US" w:eastAsia="zh-CN"/>
        </w:rPr>
        <w:t xml:space="preserve"> </w:t>
      </w:r>
      <w:r>
        <w:rPr>
          <w:rFonts w:hint="eastAsia" w:ascii="仿宋" w:hAnsi="仿宋" w:eastAsia="仿宋" w:cs="方正小标宋简体"/>
          <w:kern w:val="0"/>
          <w:sz w:val="28"/>
          <w:szCs w:val="28"/>
        </w:rPr>
        <w:t>采购</w:t>
      </w:r>
      <w:r>
        <w:rPr>
          <w:rFonts w:hint="eastAsia" w:ascii="仿宋" w:hAnsi="仿宋" w:eastAsia="仿宋"/>
          <w:sz w:val="28"/>
          <w:szCs w:val="28"/>
        </w:rPr>
        <w:t xml:space="preserve">编号： </w:t>
      </w:r>
      <w:r>
        <w:rPr>
          <w:rFonts w:hint="eastAsia" w:ascii="仿宋" w:hAnsi="仿宋" w:eastAsia="仿宋"/>
          <w:sz w:val="28"/>
          <w:szCs w:val="28"/>
          <w:lang w:val="en-US" w:eastAsia="zh-CN"/>
        </w:rPr>
        <w:t>DJYGM-ND-2512</w:t>
      </w:r>
      <w:r>
        <w:rPr>
          <w:rFonts w:hint="eastAsia"/>
          <w:b/>
          <w:sz w:val="52"/>
          <w:szCs w:val="52"/>
        </w:rPr>
        <w:t xml:space="preserve">     </w:t>
      </w:r>
    </w:p>
    <w:p>
      <w:pPr>
        <w:jc w:val="center"/>
        <w:rPr>
          <w:rFonts w:hint="eastAsia" w:ascii="宋体"/>
          <w:b/>
          <w:color w:val="000000"/>
          <w:sz w:val="52"/>
          <w:szCs w:val="52"/>
        </w:rPr>
      </w:pPr>
    </w:p>
    <w:p>
      <w:pPr>
        <w:jc w:val="center"/>
        <w:rPr>
          <w:rFonts w:hint="eastAsia" w:ascii="宋体"/>
          <w:b/>
          <w:color w:val="000000"/>
          <w:sz w:val="52"/>
          <w:szCs w:val="52"/>
        </w:rPr>
      </w:pPr>
      <w:r>
        <w:rPr>
          <w:rFonts w:hint="eastAsia" w:ascii="宋体"/>
          <w:b/>
          <w:color w:val="000000"/>
          <w:sz w:val="52"/>
          <w:szCs w:val="52"/>
        </w:rPr>
        <w:t>询</w:t>
      </w:r>
    </w:p>
    <w:p>
      <w:pPr>
        <w:jc w:val="center"/>
        <w:rPr>
          <w:rFonts w:hint="eastAsia" w:ascii="宋体"/>
          <w:b/>
          <w:color w:val="000000"/>
          <w:sz w:val="52"/>
          <w:szCs w:val="52"/>
          <w:lang w:val="en-US" w:eastAsia="zh-CN"/>
        </w:rPr>
      </w:pPr>
      <w:r>
        <w:rPr>
          <w:rFonts w:hint="eastAsia" w:ascii="宋体"/>
          <w:b/>
          <w:color w:val="000000"/>
          <w:sz w:val="52"/>
          <w:szCs w:val="52"/>
          <w:lang w:val="en-US" w:eastAsia="zh-CN"/>
        </w:rPr>
        <w:t>比</w:t>
      </w:r>
    </w:p>
    <w:p>
      <w:pPr>
        <w:jc w:val="center"/>
        <w:rPr>
          <w:rFonts w:hint="eastAsia"/>
          <w:b/>
          <w:color w:val="000000"/>
          <w:sz w:val="52"/>
          <w:szCs w:val="52"/>
        </w:rPr>
      </w:pPr>
      <w:r>
        <w:rPr>
          <w:rFonts w:hint="eastAsia"/>
          <w:b/>
          <w:color w:val="000000"/>
          <w:sz w:val="52"/>
          <w:szCs w:val="52"/>
        </w:rPr>
        <w:t>采</w:t>
      </w:r>
    </w:p>
    <w:p>
      <w:pPr>
        <w:jc w:val="center"/>
        <w:rPr>
          <w:rFonts w:hint="eastAsia"/>
          <w:b/>
          <w:color w:val="000000"/>
          <w:sz w:val="52"/>
          <w:szCs w:val="52"/>
        </w:rPr>
      </w:pPr>
      <w:r>
        <w:rPr>
          <w:rFonts w:hint="eastAsia"/>
          <w:b/>
          <w:color w:val="000000"/>
          <w:sz w:val="52"/>
          <w:szCs w:val="52"/>
        </w:rPr>
        <w:t>购</w:t>
      </w:r>
    </w:p>
    <w:p>
      <w:pPr>
        <w:jc w:val="center"/>
        <w:rPr>
          <w:rFonts w:hint="eastAsia"/>
          <w:b/>
          <w:color w:val="000000"/>
          <w:sz w:val="52"/>
          <w:szCs w:val="52"/>
        </w:rPr>
      </w:pPr>
      <w:r>
        <w:rPr>
          <w:rFonts w:hint="eastAsia"/>
          <w:b/>
          <w:color w:val="000000"/>
          <w:sz w:val="52"/>
          <w:szCs w:val="52"/>
        </w:rPr>
        <w:t>文</w:t>
      </w:r>
    </w:p>
    <w:p>
      <w:pPr>
        <w:jc w:val="center"/>
        <w:rPr>
          <w:rFonts w:hint="eastAsia"/>
          <w:b/>
          <w:color w:val="000000"/>
          <w:sz w:val="52"/>
          <w:szCs w:val="52"/>
        </w:rPr>
      </w:pPr>
      <w:r>
        <w:rPr>
          <w:rFonts w:hint="eastAsia"/>
          <w:b/>
          <w:color w:val="000000"/>
          <w:sz w:val="52"/>
          <w:szCs w:val="52"/>
        </w:rPr>
        <w:t>件</w:t>
      </w:r>
    </w:p>
    <w:p>
      <w:pPr>
        <w:spacing w:line="360" w:lineRule="auto"/>
        <w:jc w:val="center"/>
        <w:rPr>
          <w:rFonts w:hint="eastAsia"/>
          <w:b/>
          <w:color w:val="000000"/>
          <w:sz w:val="52"/>
          <w:szCs w:val="52"/>
        </w:rPr>
      </w:pPr>
    </w:p>
    <w:p>
      <w:pPr>
        <w:spacing w:line="360" w:lineRule="auto"/>
        <w:jc w:val="center"/>
        <w:rPr>
          <w:rFonts w:hint="eastAsia"/>
          <w:b/>
          <w:sz w:val="52"/>
          <w:szCs w:val="52"/>
        </w:rPr>
      </w:pPr>
    </w:p>
    <w:p>
      <w:pPr>
        <w:spacing w:line="360" w:lineRule="auto"/>
        <w:jc w:val="center"/>
        <w:rPr>
          <w:rFonts w:hint="eastAsia"/>
          <w:b/>
          <w:sz w:val="32"/>
          <w:szCs w:val="32"/>
        </w:rPr>
      </w:pPr>
    </w:p>
    <w:p>
      <w:pPr>
        <w:spacing w:line="360" w:lineRule="auto"/>
        <w:ind w:firstLine="1500" w:firstLineChars="500"/>
        <w:jc w:val="left"/>
        <w:rPr>
          <w:rFonts w:hint="default" w:ascii="黑体" w:hAnsi="黑体" w:eastAsia="黑体"/>
          <w:sz w:val="30"/>
          <w:szCs w:val="30"/>
          <w:lang w:val="en-US" w:eastAsia="zh-CN"/>
        </w:rPr>
      </w:pPr>
      <w:r>
        <w:rPr>
          <w:rFonts w:hint="eastAsia" w:ascii="黑体" w:hAnsi="黑体" w:eastAsia="黑体"/>
          <w:sz w:val="30"/>
          <w:szCs w:val="30"/>
        </w:rPr>
        <w:t>采购人：</w:t>
      </w:r>
      <w:r>
        <w:rPr>
          <w:rFonts w:hint="eastAsia" w:ascii="黑体" w:hAnsi="黑体" w:eastAsia="黑体"/>
          <w:sz w:val="30"/>
          <w:szCs w:val="30"/>
          <w:lang w:val="en-US" w:eastAsia="zh-CN"/>
        </w:rPr>
        <w:t>都江堰光明光电材料有限责任公司</w:t>
      </w:r>
    </w:p>
    <w:p>
      <w:pPr>
        <w:spacing w:line="360" w:lineRule="auto"/>
        <w:ind w:firstLine="2700" w:firstLineChars="900"/>
        <w:jc w:val="left"/>
        <w:rPr>
          <w:rFonts w:hint="eastAsia" w:ascii="黑体" w:hAnsi="黑体" w:eastAsia="黑体"/>
          <w:sz w:val="30"/>
          <w:szCs w:val="30"/>
        </w:rPr>
      </w:pPr>
    </w:p>
    <w:p>
      <w:pPr>
        <w:spacing w:line="360" w:lineRule="auto"/>
        <w:ind w:firstLine="3915" w:firstLineChars="1300"/>
        <w:rPr>
          <w:rFonts w:hint="eastAsia"/>
          <w:b/>
          <w:bCs/>
          <w:sz w:val="30"/>
          <w:szCs w:val="30"/>
          <w:lang w:val="zh-CN"/>
        </w:rPr>
      </w:pPr>
      <w:r>
        <w:rPr>
          <w:rFonts w:hint="eastAsia" w:ascii="宋体"/>
          <w:b/>
          <w:sz w:val="30"/>
          <w:szCs w:val="30"/>
        </w:rPr>
        <w:t>202</w:t>
      </w:r>
      <w:r>
        <w:rPr>
          <w:rFonts w:hint="eastAsia" w:ascii="宋体"/>
          <w:b/>
          <w:sz w:val="30"/>
          <w:szCs w:val="30"/>
          <w:lang w:val="en-US" w:eastAsia="zh-CN"/>
        </w:rPr>
        <w:t>5</w:t>
      </w:r>
      <w:r>
        <w:rPr>
          <w:b/>
          <w:bCs/>
          <w:sz w:val="30"/>
          <w:szCs w:val="30"/>
          <w:lang w:val="zh-CN"/>
        </w:rPr>
        <w:t>年</w:t>
      </w:r>
      <w:r>
        <w:rPr>
          <w:rFonts w:hint="eastAsia" w:ascii="宋体"/>
          <w:b/>
          <w:sz w:val="30"/>
          <w:szCs w:val="30"/>
        </w:rPr>
        <w:t xml:space="preserve"> </w:t>
      </w:r>
      <w:r>
        <w:rPr>
          <w:rFonts w:hint="eastAsia" w:ascii="宋体"/>
          <w:b/>
          <w:sz w:val="30"/>
          <w:szCs w:val="30"/>
          <w:lang w:val="en-US" w:eastAsia="zh-CN"/>
        </w:rPr>
        <w:t>5</w:t>
      </w:r>
      <w:r>
        <w:rPr>
          <w:b/>
          <w:bCs/>
          <w:sz w:val="30"/>
          <w:szCs w:val="30"/>
          <w:lang w:val="zh-CN"/>
        </w:rPr>
        <w:t>月</w:t>
      </w:r>
    </w:p>
    <w:p>
      <w:pPr>
        <w:spacing w:line="400" w:lineRule="exact"/>
        <w:rPr>
          <w:rFonts w:hint="eastAsia" w:ascii="宋体" w:hAnsi="宋体"/>
          <w:sz w:val="32"/>
        </w:rPr>
        <w:sectPr>
          <w:footerReference r:id="rId7" w:type="first"/>
          <w:headerReference r:id="rId3" w:type="default"/>
          <w:footerReference r:id="rId5" w:type="default"/>
          <w:headerReference r:id="rId4" w:type="even"/>
          <w:footerReference r:id="rId6" w:type="even"/>
          <w:pgSz w:w="13607" w:h="16840"/>
          <w:pgMar w:top="1551" w:right="1800" w:bottom="1440" w:left="1800" w:header="851" w:footer="992" w:gutter="0"/>
          <w:pgNumType w:fmt="numberInDash" w:start="1"/>
          <w:cols w:space="720" w:num="1"/>
          <w:docGrid w:linePitch="312" w:charSpace="0"/>
        </w:sect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w:t>
      </w:r>
      <w:r>
        <w:rPr>
          <w:rFonts w:hint="eastAsia" w:ascii="仿宋" w:hAnsi="仿宋" w:eastAsia="仿宋"/>
          <w:sz w:val="30"/>
          <w:szCs w:val="30"/>
          <w:lang w:val="en-US" w:eastAsia="zh-CN"/>
        </w:rPr>
        <w:t>三</w:t>
      </w:r>
      <w:r>
        <w:rPr>
          <w:rFonts w:hint="eastAsia" w:ascii="仿宋" w:hAnsi="仿宋" w:eastAsia="仿宋"/>
          <w:sz w:val="30"/>
          <w:szCs w:val="30"/>
        </w:rPr>
        <w:t>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460" w:lineRule="exact"/>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各供应商：</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都江堰光明光电材料有限责任公司2025年度</w:t>
      </w:r>
      <w:r>
        <w:rPr>
          <w:rFonts w:hint="eastAsia" w:ascii="仿宋" w:hAnsi="仿宋" w:eastAsia="仿宋" w:cs="Times New Roman"/>
          <w:b/>
          <w:bCs/>
          <w:color w:val="000000"/>
          <w:kern w:val="0"/>
          <w:sz w:val="24"/>
          <w:u w:val="single"/>
          <w:lang w:val="en-US" w:eastAsia="zh-CN"/>
        </w:rPr>
        <w:t>零星锆刚玉制品</w:t>
      </w:r>
      <w:r>
        <w:rPr>
          <w:rFonts w:hint="eastAsia" w:ascii="仿宋" w:hAnsi="仿宋" w:eastAsia="仿宋" w:cs="Times New Roman"/>
          <w:b w:val="0"/>
          <w:bCs w:val="0"/>
          <w:color w:val="000000"/>
          <w:kern w:val="0"/>
          <w:sz w:val="24"/>
          <w:u w:val="none"/>
          <w:lang w:val="en-US" w:eastAsia="zh-CN"/>
        </w:rPr>
        <w:t>现面向社会公开询比采购</w:t>
      </w:r>
      <w:r>
        <w:rPr>
          <w:rFonts w:hint="eastAsia" w:ascii="仿宋" w:hAnsi="仿宋" w:eastAsia="仿宋" w:cs="Times New Roman"/>
          <w:color w:val="000000"/>
          <w:kern w:val="0"/>
          <w:sz w:val="24"/>
          <w:lang w:val="en-US" w:eastAsia="zh-CN"/>
        </w:rPr>
        <w:t>，兹邀请符合本次要求的供应商参加报价。</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一、项目名称</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项目名称：2025年度零星锆刚玉制品询价采购</w:t>
      </w:r>
    </w:p>
    <w:p>
      <w:pPr>
        <w:spacing w:line="460" w:lineRule="exact"/>
        <w:ind w:firstLine="480" w:firstLineChars="200"/>
        <w:rPr>
          <w:rFonts w:hint="default"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项目编号：DJYGM-ND-2512</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二、项目简要说明</w:t>
      </w:r>
    </w:p>
    <w:p>
      <w:pPr>
        <w:spacing w:line="460" w:lineRule="exact"/>
        <w:ind w:left="239" w:leftChars="114" w:firstLine="240" w:firstLineChars="100"/>
        <w:rPr>
          <w:rFonts w:hint="default"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本次采购的零星锆刚玉制品主要包括锆刚玉组合料盆、锆刚玉搅拌浆、零星电熔锆刚玉砖，以及日常砖材的打磨、钻孔等加工。</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三、合格供应商资格要求</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供应商参加本次采购活动具备下列条件：</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（二）具有满足本项目所必需的设备和专业技术能力。</w:t>
      </w:r>
    </w:p>
    <w:p>
      <w:pPr>
        <w:spacing w:line="460" w:lineRule="exact"/>
        <w:ind w:firstLine="480" w:firstLineChars="200"/>
        <w:rPr>
          <w:rFonts w:hint="eastAsia" w:ascii="仿宋" w:hAnsi="仿宋" w:eastAsia="仿宋" w:cs="Times New Roman"/>
          <w:color w:val="C00000"/>
          <w:kern w:val="0"/>
          <w:sz w:val="24"/>
          <w:szCs w:val="24"/>
          <w:lang w:val="en-US" w:eastAsia="zh-CN" w:bidi="ar-SA"/>
        </w:rPr>
      </w:pPr>
      <w:r>
        <w:rPr>
          <w:rFonts w:hint="eastAsia" w:ascii="仿宋" w:hAnsi="仿宋" w:eastAsia="仿宋" w:cs="Times New Roman"/>
          <w:color w:val="C00000"/>
          <w:kern w:val="0"/>
          <w:sz w:val="24"/>
          <w:szCs w:val="24"/>
          <w:lang w:val="en-US" w:eastAsia="zh-CN" w:bidi="ar-SA"/>
        </w:rPr>
        <w:t>（三）本项目不接受“三无”供应商响应，报价单位需提供证明其为非“三无”供应商的相关证明材料。</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（注：“三无”供应商是指无实缴注册资本、无参保人员、无生产经营场所的供应商，满足其一即为“三无”）</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（四）本项目不接受联合体询价。</w:t>
      </w:r>
    </w:p>
    <w:p>
      <w:pPr>
        <w:spacing w:line="460" w:lineRule="exact"/>
        <w:ind w:firstLine="480" w:firstLineChars="200"/>
        <w:rPr>
          <w:rFonts w:hint="default"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四、询价采购书的获取：在成都光明光电官网上自行下载，网址： http://www.cdgmgd.com/</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五、报价文件的递交</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请按询价采购书要求，于2025年6月3日17：00前将报价文件寄回到（或送达）：都江堰光明光电材料有限责任公司财务部，收件人：邓建国，电话：028-87118620。公司地址：四川省都江堰市蒲阳镇光泰路10号。</w:t>
      </w:r>
    </w:p>
    <w:p>
      <w:pPr>
        <w:spacing w:line="460" w:lineRule="exact"/>
        <w:ind w:firstLine="480" w:firstLineChars="2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六、联系方式：</w:t>
      </w:r>
    </w:p>
    <w:p>
      <w:pPr>
        <w:spacing w:line="460" w:lineRule="exact"/>
        <w:ind w:left="239" w:leftChars="114" w:firstLine="240" w:firstLineChars="100"/>
        <w:rPr>
          <w:rFonts w:hint="default"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业务咨询人：余女士                 联系电话：13568842997</w:t>
      </w:r>
    </w:p>
    <w:p>
      <w:pPr>
        <w:spacing w:line="460" w:lineRule="exact"/>
        <w:ind w:left="239" w:leftChars="114" w:firstLine="240" w:firstLineChars="1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异议受理部门：市场部 余女士        联系电话：028-87117177</w:t>
      </w:r>
    </w:p>
    <w:p>
      <w:pPr>
        <w:spacing w:line="460" w:lineRule="exact"/>
        <w:ind w:left="239" w:leftChars="114" w:firstLine="240" w:firstLineChars="100"/>
        <w:rPr>
          <w:rFonts w:hint="default"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采购监督部门：财务部 李先生</w:t>
      </w:r>
      <w:r>
        <w:rPr>
          <w:rFonts w:hint="eastAsia" w:ascii="仿宋" w:hAnsi="仿宋" w:eastAsia="仿宋" w:cs="Times New Roman"/>
          <w:color w:val="000000"/>
          <w:kern w:val="0"/>
          <w:sz w:val="24"/>
          <w:szCs w:val="24"/>
          <w:lang w:val="en-US" w:eastAsia="zh-CN" w:bidi="ar-SA"/>
        </w:rPr>
        <w:tab/>
      </w:r>
      <w:r>
        <w:rPr>
          <w:rFonts w:hint="eastAsia" w:ascii="仿宋" w:hAnsi="仿宋" w:eastAsia="仿宋" w:cs="Times New Roman"/>
          <w:color w:val="000000"/>
          <w:kern w:val="0"/>
          <w:sz w:val="24"/>
          <w:szCs w:val="24"/>
          <w:lang w:val="en-US" w:eastAsia="zh-CN" w:bidi="ar-SA"/>
        </w:rPr>
        <w:tab/>
      </w:r>
      <w:r>
        <w:rPr>
          <w:rFonts w:hint="eastAsia" w:ascii="仿宋" w:hAnsi="仿宋" w:eastAsia="仿宋" w:cs="Times New Roman"/>
          <w:color w:val="000000"/>
          <w:kern w:val="0"/>
          <w:sz w:val="24"/>
          <w:szCs w:val="24"/>
          <w:lang w:val="en-US" w:eastAsia="zh-CN" w:bidi="ar-SA"/>
        </w:rPr>
        <w:tab/>
      </w:r>
      <w:r>
        <w:rPr>
          <w:rFonts w:hint="eastAsia" w:ascii="仿宋" w:hAnsi="仿宋" w:eastAsia="仿宋" w:cs="Times New Roman"/>
          <w:color w:val="000000"/>
          <w:kern w:val="0"/>
          <w:sz w:val="24"/>
          <w:szCs w:val="24"/>
          <w:lang w:val="en-US" w:eastAsia="zh-CN" w:bidi="ar-SA"/>
        </w:rPr>
        <w:t>联系电话：028-87118620</w:t>
      </w:r>
    </w:p>
    <w:p>
      <w:pPr>
        <w:spacing w:line="460" w:lineRule="exact"/>
        <w:ind w:firstLine="5040" w:firstLineChars="2100"/>
        <w:rPr>
          <w:rFonts w:hint="eastAsia"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都江堰光明光电材料有限责任公司</w:t>
      </w:r>
    </w:p>
    <w:p>
      <w:pPr>
        <w:spacing w:line="460" w:lineRule="exact"/>
        <w:ind w:firstLine="6000" w:firstLineChars="2500"/>
        <w:rPr>
          <w:rFonts w:hint="default" w:ascii="仿宋" w:hAnsi="仿宋" w:eastAsia="仿宋" w:cs="Times New Roman"/>
          <w:color w:val="000000"/>
          <w:kern w:val="0"/>
          <w:sz w:val="24"/>
          <w:szCs w:val="24"/>
          <w:lang w:val="en-US" w:eastAsia="zh-CN" w:bidi="ar-SA"/>
        </w:rPr>
      </w:pPr>
      <w:r>
        <w:rPr>
          <w:rFonts w:hint="eastAsia" w:ascii="仿宋" w:hAnsi="仿宋" w:eastAsia="仿宋" w:cs="Times New Roman"/>
          <w:color w:val="000000"/>
          <w:kern w:val="0"/>
          <w:sz w:val="24"/>
          <w:szCs w:val="24"/>
          <w:lang w:val="en-US" w:eastAsia="zh-CN" w:bidi="ar-SA"/>
        </w:rPr>
        <w:t>2025年5月26日</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00" w:firstLineChars="50"/>
        <w:rPr>
          <w:rFonts w:ascii="仿宋" w:hAnsi="仿宋" w:eastAsia="仿宋"/>
          <w:color w:val="FF0000"/>
          <w:sz w:val="20"/>
          <w:szCs w:val="20"/>
        </w:rPr>
      </w:pPr>
      <w:r>
        <w:rPr>
          <w:rFonts w:hint="eastAsia" w:ascii="仿宋" w:hAnsi="仿宋" w:eastAsia="仿宋"/>
          <w:color w:val="FF0000"/>
          <w:sz w:val="20"/>
          <w:szCs w:val="20"/>
        </w:rPr>
        <w:t>注：标记※的条款，报价单位需完全符合且响应。</w:t>
      </w:r>
    </w:p>
    <w:tbl>
      <w:tblPr>
        <w:tblStyle w:val="15"/>
        <w:tblW w:w="95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4"/>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664"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hint="eastAsia" w:ascii="仿宋" w:hAnsi="仿宋" w:eastAsia="仿宋"/>
                <w:sz w:val="20"/>
                <w:szCs w:val="20"/>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ascii="仿宋" w:hAnsi="仿宋" w:eastAsia="仿宋"/>
                <w:sz w:val="20"/>
                <w:szCs w:val="20"/>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0"/>
                <w:szCs w:val="20"/>
              </w:rPr>
            </w:pPr>
            <w:r>
              <w:rPr>
                <w:rFonts w:hint="eastAsia" w:ascii="仿宋" w:hAnsi="仿宋" w:eastAsia="仿宋"/>
                <w:sz w:val="20"/>
                <w:szCs w:val="20"/>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ascii="仿宋" w:hAnsi="仿宋" w:eastAsia="仿宋"/>
                <w:sz w:val="20"/>
                <w:szCs w:val="20"/>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0"/>
                <w:szCs w:val="20"/>
              </w:rPr>
            </w:pPr>
            <w:r>
              <w:rPr>
                <w:rFonts w:hint="eastAsia" w:ascii="仿宋" w:hAnsi="仿宋" w:eastAsia="仿宋" w:cs="仿宋_GB2312"/>
                <w:kern w:val="0"/>
                <w:sz w:val="20"/>
                <w:szCs w:val="20"/>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是否接受中间商</w:t>
            </w:r>
          </w:p>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供应商提出问题的</w:t>
            </w:r>
          </w:p>
          <w:p>
            <w:pPr>
              <w:snapToGrid w:val="0"/>
              <w:spacing w:line="400" w:lineRule="exact"/>
              <w:jc w:val="center"/>
              <w:rPr>
                <w:rFonts w:ascii="仿宋" w:hAnsi="仿宋" w:eastAsia="仿宋"/>
                <w:color w:val="FF000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0"/>
                <w:szCs w:val="20"/>
              </w:rPr>
            </w:pPr>
            <w:r>
              <w:rPr>
                <w:rFonts w:hint="eastAsia" w:ascii="仿宋" w:hAnsi="仿宋" w:eastAsia="仿宋" w:cs="仿宋_GB2312"/>
                <w:kern w:val="0"/>
                <w:sz w:val="20"/>
                <w:szCs w:val="20"/>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采购人书面澄清的</w:t>
            </w:r>
          </w:p>
          <w:p>
            <w:pPr>
              <w:autoSpaceDE w:val="0"/>
              <w:autoSpaceDN w:val="0"/>
              <w:adjustRightInd w:val="0"/>
              <w:spacing w:line="400" w:lineRule="exact"/>
              <w:jc w:val="center"/>
              <w:rPr>
                <w:rFonts w:ascii="仿宋" w:hAnsi="仿宋" w:eastAsia="仿宋" w:cs="仿宋_GB2312"/>
                <w:color w:val="FF0000"/>
                <w:kern w:val="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olor w:val="FF0000"/>
                <w:sz w:val="20"/>
                <w:szCs w:val="20"/>
              </w:rPr>
            </w:pPr>
            <w:r>
              <w:rPr>
                <w:rFonts w:hint="eastAsia" w:ascii="仿宋" w:hAnsi="仿宋" w:eastAsia="仿宋" w:cs="仿宋_GB2312"/>
                <w:sz w:val="20"/>
                <w:szCs w:val="20"/>
              </w:rPr>
              <w:t>供应商在</w:t>
            </w:r>
            <w:r>
              <w:rPr>
                <w:rFonts w:ascii="仿宋" w:hAnsi="仿宋" w:eastAsia="仿宋" w:cs="仿宋_GB2312"/>
                <w:sz w:val="20"/>
                <w:szCs w:val="20"/>
              </w:rPr>
              <w:t>48</w:t>
            </w:r>
            <w:r>
              <w:rPr>
                <w:rFonts w:hint="eastAsia" w:ascii="仿宋" w:hAnsi="仿宋" w:eastAsia="仿宋" w:cs="仿宋_GB2312"/>
                <w:sz w:val="20"/>
                <w:szCs w:val="20"/>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color w:val="FF0000"/>
                <w:sz w:val="20"/>
                <w:szCs w:val="20"/>
              </w:rPr>
              <w:t>※</w:t>
            </w:r>
            <w:r>
              <w:rPr>
                <w:rFonts w:hint="eastAsia" w:ascii="仿宋" w:hAnsi="仿宋" w:eastAsia="仿宋"/>
                <w:sz w:val="20"/>
                <w:szCs w:val="20"/>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响应文件签字或</w:t>
            </w:r>
          </w:p>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color w:val="000000"/>
                <w:kern w:val="0"/>
                <w:sz w:val="20"/>
                <w:szCs w:val="20"/>
                <w:lang w:val="en-US" w:eastAsia="zh-CN" w:bidi="ar-SA"/>
              </w:rPr>
              <w:t>报价资料每页均需盖参与公司的鲜章。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0"/>
                <w:szCs w:val="20"/>
              </w:rPr>
            </w:pPr>
            <w:r>
              <w:rPr>
                <w:rFonts w:hint="eastAsia" w:ascii="仿宋" w:hAnsi="仿宋" w:eastAsia="仿宋" w:cs="仿宋_GB2312"/>
                <w:sz w:val="20"/>
                <w:szCs w:val="20"/>
              </w:rPr>
              <w:t>装订牢固、密封，并应编制目录和连续页码</w:t>
            </w:r>
          </w:p>
          <w:p>
            <w:pPr>
              <w:snapToGrid w:val="0"/>
              <w:spacing w:line="400" w:lineRule="exact"/>
              <w:rPr>
                <w:rFonts w:ascii="仿宋" w:hAnsi="仿宋" w:eastAsia="仿宋" w:cs="仿宋_GB2312"/>
                <w:kern w:val="0"/>
                <w:sz w:val="20"/>
                <w:szCs w:val="20"/>
              </w:rPr>
            </w:pPr>
            <w:r>
              <w:rPr>
                <w:rFonts w:hint="eastAsia" w:ascii="楷体" w:hAnsi="楷体" w:eastAsia="楷体" w:cs="仿宋_GB2312"/>
                <w:sz w:val="20"/>
                <w:szCs w:val="20"/>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付款方法和条件</w:t>
            </w:r>
          </w:p>
        </w:tc>
        <w:tc>
          <w:tcPr>
            <w:tcW w:w="6021" w:type="dxa"/>
            <w:tcBorders>
              <w:top w:val="single" w:color="auto" w:sz="4" w:space="0"/>
              <w:left w:val="single" w:color="auto" w:sz="4" w:space="0"/>
              <w:bottom w:val="single" w:color="auto" w:sz="4" w:space="0"/>
            </w:tcBorders>
            <w:vAlign w:val="center"/>
          </w:tcPr>
          <w:p>
            <w:pPr>
              <w:spacing w:line="340" w:lineRule="exact"/>
              <w:jc w:val="left"/>
              <w:rPr>
                <w:rFonts w:ascii="仿宋" w:hAnsi="仿宋" w:eastAsia="仿宋" w:cs="仿宋_GB2312"/>
                <w:sz w:val="20"/>
                <w:szCs w:val="20"/>
              </w:rPr>
            </w:pPr>
            <w:r>
              <w:rPr>
                <w:rFonts w:hint="eastAsia" w:ascii="仿宋" w:hAnsi="仿宋" w:eastAsia="仿宋" w:cs="仿宋_GB2312"/>
                <w:sz w:val="20"/>
                <w:szCs w:val="20"/>
              </w:rPr>
              <w:t>货到验收合格</w:t>
            </w:r>
            <w:r>
              <w:rPr>
                <w:rFonts w:hint="eastAsia" w:ascii="仿宋" w:hAnsi="仿宋" w:eastAsia="仿宋" w:cs="仿宋_GB2312"/>
                <w:sz w:val="20"/>
                <w:szCs w:val="20"/>
                <w:lang w:eastAsia="zh-CN"/>
              </w:rPr>
              <w:t>，</w:t>
            </w:r>
            <w:r>
              <w:rPr>
                <w:rFonts w:hint="eastAsia" w:ascii="仿宋" w:hAnsi="仿宋" w:eastAsia="仿宋" w:cs="仿宋_GB2312"/>
                <w:sz w:val="20"/>
                <w:szCs w:val="20"/>
              </w:rPr>
              <w:t>双方确认实际收货数量，购方收到发票挂账后</w:t>
            </w:r>
            <w:r>
              <w:rPr>
                <w:rFonts w:hint="eastAsia" w:ascii="仿宋" w:hAnsi="仿宋" w:eastAsia="仿宋" w:cs="仿宋_GB2312"/>
                <w:sz w:val="20"/>
                <w:szCs w:val="20"/>
                <w:lang w:eastAsia="zh-CN"/>
              </w:rPr>
              <w:t>，</w:t>
            </w:r>
            <w:r>
              <w:rPr>
                <w:rFonts w:hint="eastAsia" w:ascii="仿宋" w:hAnsi="仿宋" w:eastAsia="仿宋" w:cs="仿宋_GB2312"/>
                <w:sz w:val="20"/>
                <w:szCs w:val="20"/>
              </w:rPr>
              <w:t>三个月滚动付款</w:t>
            </w:r>
            <w:r>
              <w:rPr>
                <w:rFonts w:hint="eastAsia" w:ascii="仿宋" w:hAnsi="仿宋" w:eastAsia="仿宋" w:cs="仿宋_GB2312"/>
                <w:sz w:val="20"/>
                <w:szCs w:val="20"/>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0"/>
                <w:szCs w:val="20"/>
              </w:rPr>
            </w:pPr>
            <w:r>
              <w:rPr>
                <w:rFonts w:hint="eastAsia" w:ascii="仿宋" w:hAnsi="仿宋" w:eastAsia="仿宋" w:cs="仿宋_GB2312"/>
                <w:kern w:val="0"/>
                <w:sz w:val="20"/>
                <w:szCs w:val="20"/>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sz w:val="20"/>
                <w:szCs w:val="20"/>
              </w:rPr>
              <w:t>否</w:t>
            </w:r>
          </w:p>
        </w:tc>
      </w:tr>
    </w:tbl>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一、比价内容：</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1</w:t>
      </w:r>
      <w:r>
        <w:rPr>
          <w:rFonts w:hint="eastAsia" w:ascii="仿宋" w:hAnsi="仿宋" w:eastAsia="仿宋" w:cs="仿宋_GB2312"/>
          <w:kern w:val="2"/>
          <w:sz w:val="20"/>
          <w:szCs w:val="20"/>
          <w:lang w:val="en-US" w:eastAsia="zh-CN" w:bidi="ar-SA"/>
        </w:rPr>
        <w:t>、价格：在供应商集中比价最低报价基础上，公司与各供应商再进行最终价格谈判，当双方价格协商一致后，原则上价格不再变动。以上所报物资价格必须是含税（原则上</w:t>
      </w:r>
      <w:r>
        <w:rPr>
          <w:rFonts w:hint="default" w:ascii="仿宋" w:hAnsi="仿宋" w:eastAsia="仿宋" w:cs="仿宋_GB2312"/>
          <w:kern w:val="2"/>
          <w:sz w:val="20"/>
          <w:szCs w:val="20"/>
          <w:lang w:val="en-US" w:eastAsia="zh-CN" w:bidi="ar-SA"/>
        </w:rPr>
        <w:t>13%</w:t>
      </w:r>
      <w:r>
        <w:rPr>
          <w:rFonts w:hint="eastAsia" w:ascii="仿宋" w:hAnsi="仿宋" w:eastAsia="仿宋" w:cs="仿宋_GB2312"/>
          <w:kern w:val="2"/>
          <w:sz w:val="20"/>
          <w:szCs w:val="20"/>
          <w:lang w:val="en-US" w:eastAsia="zh-CN" w:bidi="ar-SA"/>
        </w:rPr>
        <w:t>）到厂价。</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2</w:t>
      </w:r>
      <w:r>
        <w:rPr>
          <w:rFonts w:hint="eastAsia" w:ascii="仿宋" w:hAnsi="仿宋" w:eastAsia="仿宋" w:cs="仿宋_GB2312"/>
          <w:kern w:val="2"/>
          <w:sz w:val="20"/>
          <w:szCs w:val="20"/>
          <w:lang w:val="en-US" w:eastAsia="zh-CN" w:bidi="ar-SA"/>
        </w:rPr>
        <w:t>、合同或订单：经公司评审小组评审后，公司与入选供应商，按《中华人民共和国民法典》签订年度意向采购合同、协议。在实际执行意向合同时，公司按需求计划，给供应商下达采购订单，采购订单需注明规格型号、数量、交货期。当市场价格出现较大波动时，供应商和采购方提出涨价或降价要求，都由供应商发出调价申请函，说明调价原因，公司再按供应商调价函最低报价，重新审计价格，按最新调价价格执行，其余条款不变。调价函可作为框架协议附件保存。</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3</w:t>
      </w:r>
      <w:r>
        <w:rPr>
          <w:rFonts w:hint="eastAsia" w:ascii="仿宋" w:hAnsi="仿宋" w:eastAsia="仿宋" w:cs="仿宋_GB2312"/>
          <w:kern w:val="2"/>
          <w:sz w:val="20"/>
          <w:szCs w:val="20"/>
          <w:lang w:val="en-US" w:eastAsia="zh-CN" w:bidi="ar-SA"/>
        </w:rPr>
        <w:t>、数量：采购数量按每月实际需求量执行，每单无需再另行签订采购合同。</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b/>
          <w:bCs/>
          <w:kern w:val="2"/>
          <w:sz w:val="20"/>
          <w:szCs w:val="20"/>
          <w:lang w:val="en-US" w:eastAsia="zh-CN" w:bidi="ar-SA"/>
        </w:rPr>
      </w:pPr>
      <w:r>
        <w:rPr>
          <w:rFonts w:hint="default" w:ascii="仿宋" w:hAnsi="仿宋" w:eastAsia="仿宋" w:cs="仿宋_GB2312"/>
          <w:kern w:val="2"/>
          <w:sz w:val="20"/>
          <w:szCs w:val="20"/>
          <w:lang w:val="en-US" w:eastAsia="zh-CN" w:bidi="ar-SA"/>
        </w:rPr>
        <w:t>4</w:t>
      </w:r>
      <w:r>
        <w:rPr>
          <w:rFonts w:hint="eastAsia" w:ascii="仿宋" w:hAnsi="仿宋" w:eastAsia="仿宋" w:cs="仿宋_GB2312"/>
          <w:kern w:val="2"/>
          <w:sz w:val="20"/>
          <w:szCs w:val="20"/>
          <w:lang w:val="en-US" w:eastAsia="zh-CN" w:bidi="ar-SA"/>
        </w:rPr>
        <w:t>、</w:t>
      </w:r>
      <w:r>
        <w:rPr>
          <w:rFonts w:hint="eastAsia" w:ascii="仿宋" w:hAnsi="仿宋" w:eastAsia="仿宋" w:cs="仿宋_GB2312"/>
          <w:b/>
          <w:bCs/>
          <w:kern w:val="2"/>
          <w:sz w:val="20"/>
          <w:szCs w:val="20"/>
          <w:lang w:val="en-US" w:eastAsia="zh-CN" w:bidi="ar-SA"/>
        </w:rPr>
        <w:t>质量：按合同或需方要求。</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5</w:t>
      </w:r>
      <w:r>
        <w:rPr>
          <w:rFonts w:hint="eastAsia" w:ascii="仿宋" w:hAnsi="仿宋" w:eastAsia="仿宋" w:cs="仿宋_GB2312"/>
          <w:kern w:val="2"/>
          <w:sz w:val="20"/>
          <w:szCs w:val="20"/>
          <w:lang w:val="en-US" w:eastAsia="zh-CN" w:bidi="ar-SA"/>
        </w:rPr>
        <w:t>、付款周期及方式：原则上实行货到票到三个月内滚动付款方式。即供方货到验收合格，需方收到该批货增值税发票并在财务挂账，三个月账期到后，以银行转账形式结算该批次货款。</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6</w:t>
      </w:r>
      <w:r>
        <w:rPr>
          <w:rFonts w:hint="eastAsia" w:ascii="仿宋" w:hAnsi="仿宋" w:eastAsia="仿宋" w:cs="仿宋_GB2312"/>
          <w:kern w:val="2"/>
          <w:sz w:val="20"/>
          <w:szCs w:val="20"/>
          <w:lang w:val="en-US" w:eastAsia="zh-CN" w:bidi="ar-SA"/>
        </w:rPr>
        <w:t>、其他：我们提倡和鼓励供应商对市场价格行情进行持续关注，及时低价格储备辅料，达到供需双方共同降低采购成本的目的，公司将对报价最低的供应商，在采购数量上进行倾斜。</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二、中选人必须对报价文件负全责，并在中选后10个工作日内与采购人签订合同。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三、各供应商报价均以人民币元为单位。</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四、各报价项目只能有唯一报价，不接受有选择的报价。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五、下列情况将被视为无效报价文件（取消报价与评审资格）：</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（一）报价文件未在规定时间内送达指定地点；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（二）报价文件中的各项内容填列不完整或有涂改现象的，供应商公章和供应商代表签字不齐的；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（三）供应商擅自改变货物型号、配置的；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（四）经评审小组判定为故意压低价格，不符合市场价格规律的；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（五）法律、法规规定的其他无效情况；</w:t>
      </w:r>
    </w:p>
    <w:p>
      <w:pPr>
        <w:spacing w:line="360" w:lineRule="auto"/>
        <w:rPr>
          <w:rFonts w:hint="eastAsia" w:ascii="仿宋" w:hAnsi="仿宋" w:eastAsia="仿宋" w:cs="仿宋_GB2312"/>
          <w:b/>
          <w:bCs/>
          <w:color w:val="C00000"/>
          <w:kern w:val="2"/>
          <w:sz w:val="20"/>
          <w:szCs w:val="20"/>
          <w:lang w:val="en-US" w:eastAsia="zh-CN" w:bidi="ar-SA"/>
        </w:rPr>
      </w:pPr>
      <w:r>
        <w:rPr>
          <w:rFonts w:hint="eastAsia" w:ascii="仿宋" w:hAnsi="仿宋" w:eastAsia="仿宋" w:cs="仿宋_GB2312"/>
          <w:b/>
          <w:bCs/>
          <w:color w:val="C00000"/>
          <w:kern w:val="2"/>
          <w:sz w:val="20"/>
          <w:szCs w:val="20"/>
          <w:lang w:val="en-US" w:eastAsia="zh-CN" w:bidi="ar-SA"/>
        </w:rPr>
        <w:t>（六）供应商未按“第三部分”文件格式要求，提供天眼查官网查询的“工商信息”页面截图（须盖公章）；或经我司复核供应商存在“无实缴资本”、“无参保人员”、“无生产经营场所”等“三无”情形之一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供应商拒不进行澄清、说明、补正的，或者不能在规定时间内作出书面澄清、说明、补正的，询价小组将否决其报价。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七、出现下列情形之一的，评审小组有权否决供应商的报价或取消采购活动：</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（一）出现影响采购公正的违法、违规行为的；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（二）供应商的报价均超过了采购预算，采购单位不能支付的；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（三）因重大变故，采购任务取消的；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（四）评审小组经评审认为所有报价文件都不符合询价文件要求的。</w:t>
      </w:r>
    </w:p>
    <w:p>
      <w:pPr>
        <w:spacing w:line="360" w:lineRule="auto"/>
        <w:rPr>
          <w:rFonts w:hint="eastAsia" w:ascii="仿宋" w:hAnsi="仿宋" w:eastAsia="仿宋" w:cs="仿宋_GB2312"/>
          <w:kern w:val="2"/>
          <w:sz w:val="20"/>
          <w:szCs w:val="20"/>
          <w:lang w:val="en-US" w:eastAsia="zh-CN" w:bidi="ar-SA"/>
        </w:rPr>
      </w:pPr>
      <w:bookmarkStart w:id="1" w:name="_Toc217446103"/>
      <w:r>
        <w:rPr>
          <w:rFonts w:hint="eastAsia" w:ascii="仿宋" w:hAnsi="仿宋" w:eastAsia="仿宋" w:cs="仿宋_GB2312"/>
          <w:kern w:val="2"/>
          <w:sz w:val="20"/>
          <w:szCs w:val="20"/>
          <w:lang w:val="en-US" w:eastAsia="zh-CN" w:bidi="ar-SA"/>
        </w:rPr>
        <w:t>八、评审细则及标准</w:t>
      </w:r>
      <w:bookmarkEnd w:id="1"/>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（一）评审小组只对通过初审的响应文件，根据询价文件规定的评审程序及标准进行评价和比较。</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（二）在确定评审结果后，采购人将《供应商确认通知单》通过原询价文件发布平台进行公示，并通知此次采购的中选供应商签订合同。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九、合同签订</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（一）供应商须在接到（或应当接到）采购人所发出的《供应商确认通知单》10个工作日内与采购人签订正式采购合同；</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（二）《供应商确认通知单》对采购人和供应商均具有法律约束力；</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w:t>
      </w:r>
      <w:r>
        <w:rPr>
          <w:rFonts w:hint="eastAsia" w:ascii="方正小标宋简体" w:hAnsi="仿宋" w:eastAsia="方正小标宋简体"/>
          <w:sz w:val="36"/>
          <w:szCs w:val="36"/>
          <w:lang w:val="en-US" w:eastAsia="zh-CN"/>
        </w:rPr>
        <w:t>三</w:t>
      </w:r>
      <w:r>
        <w:rPr>
          <w:rFonts w:hint="eastAsia" w:ascii="方正小标宋简体" w:hAnsi="仿宋" w:eastAsia="方正小标宋简体"/>
          <w:sz w:val="36"/>
          <w:szCs w:val="36"/>
        </w:rPr>
        <w:t>部分 文件格式</w:t>
      </w:r>
    </w:p>
    <w:p>
      <w:pPr>
        <w:spacing w:line="540" w:lineRule="exact"/>
        <w:rPr>
          <w:rFonts w:ascii="仿宋" w:hAnsi="仿宋" w:eastAsia="仿宋"/>
          <w:bCs/>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tabs>
          <w:tab w:val="left" w:pos="1985"/>
        </w:tabs>
        <w:autoSpaceDE w:val="0"/>
        <w:autoSpaceDN w:val="0"/>
        <w:adjustRightInd w:val="0"/>
        <w:spacing w:line="540" w:lineRule="exact"/>
        <w:ind w:firstLine="1500" w:firstLineChars="5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hint="eastAsia" w:ascii="仿宋" w:hAnsi="仿宋" w:eastAsia="仿宋" w:cs="Times New Roman"/>
          <w:b/>
          <w:bCs/>
          <w:color w:val="000000"/>
          <w:kern w:val="0"/>
          <w:sz w:val="24"/>
          <w:u w:val="single"/>
          <w:lang w:val="en-US" w:eastAsia="zh-CN"/>
        </w:rPr>
        <w:t>2025年度零星锆刚玉制品询价采购</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460" w:lineRule="exact"/>
        <w:ind w:firstLine="1500" w:firstLineChars="500"/>
        <w:rPr>
          <w:rFonts w:hint="default" w:ascii="仿宋" w:hAnsi="仿宋" w:eastAsia="仿宋"/>
          <w:sz w:val="30"/>
          <w:szCs w:val="30"/>
          <w:u w:val="single"/>
          <w:lang w:val="en-US"/>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cs="Times New Roman"/>
          <w:color w:val="000000"/>
          <w:kern w:val="0"/>
          <w:sz w:val="24"/>
          <w:u w:val="single"/>
          <w:lang w:val="en-US" w:eastAsia="zh-CN"/>
        </w:rPr>
        <w:t xml:space="preserve">DJYGM-ND-2512                  </w:t>
      </w:r>
    </w:p>
    <w:p>
      <w:pPr>
        <w:spacing w:line="540" w:lineRule="exact"/>
        <w:rPr>
          <w:rFonts w:hint="eastAsia" w:ascii="仿宋" w:hAnsi="仿宋" w:eastAsia="仿宋"/>
          <w:sz w:val="30"/>
          <w:szCs w:val="30"/>
          <w:lang w:val="en-US" w:eastAsia="zh-CN"/>
        </w:rPr>
      </w:pPr>
      <w:r>
        <w:rPr>
          <w:rFonts w:hint="eastAsia" w:ascii="仿宋" w:hAnsi="仿宋" w:eastAsia="仿宋"/>
          <w:sz w:val="30"/>
          <w:szCs w:val="30"/>
          <w:lang w:val="en-US" w:eastAsia="zh-CN"/>
        </w:rPr>
        <w:t xml:space="preserve"> </w:t>
      </w:r>
    </w:p>
    <w:p>
      <w:pPr>
        <w:spacing w:line="540" w:lineRule="exact"/>
        <w:ind w:firstLine="1500" w:firstLineChars="5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1500" w:firstLineChars="5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lang w:val="en-US" w:eastAsia="zh-CN"/>
        </w:rPr>
        <w:t>二五</w:t>
      </w:r>
      <w:r>
        <w:rPr>
          <w:rFonts w:hint="eastAsia" w:ascii="仿宋" w:hAnsi="仿宋" w:eastAsia="仿宋"/>
          <w:sz w:val="30"/>
          <w:szCs w:val="30"/>
        </w:rPr>
        <w:t xml:space="preserve">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ascii="仿宋" w:hAnsi="仿宋" w:eastAsia="仿宋"/>
          <w:sz w:val="30"/>
          <w:szCs w:val="30"/>
        </w:rPr>
        <w:t>致：</w:t>
      </w:r>
      <w:r>
        <w:rPr>
          <w:rFonts w:hint="eastAsia" w:ascii="仿宋" w:hAnsi="仿宋" w:eastAsia="仿宋"/>
          <w:sz w:val="30"/>
          <w:szCs w:val="30"/>
          <w:u w:val="single"/>
          <w:lang w:val="en-US" w:eastAsia="zh-CN"/>
        </w:rPr>
        <w:t>都江堰光明光电材料有限责任公司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w:t>
      </w:r>
      <w:r>
        <w:rPr>
          <w:rFonts w:hint="eastAsia" w:ascii="仿宋" w:hAnsi="仿宋" w:eastAsia="仿宋"/>
          <w:sz w:val="30"/>
          <w:szCs w:val="30"/>
          <w:lang w:val="en-US" w:eastAsia="zh-CN"/>
        </w:rPr>
        <w:t>报价</w:t>
      </w:r>
      <w:r>
        <w:rPr>
          <w:rFonts w:ascii="仿宋" w:hAnsi="仿宋" w:eastAsia="仿宋"/>
          <w:sz w:val="30"/>
          <w:szCs w:val="30"/>
        </w:rPr>
        <w:t>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表</w:t>
      </w:r>
    </w:p>
    <w:tbl>
      <w:tblPr>
        <w:tblStyle w:val="15"/>
        <w:tblW w:w="84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5"/>
        <w:gridCol w:w="2778"/>
        <w:gridCol w:w="2604"/>
        <w:gridCol w:w="1062"/>
        <w:gridCol w:w="10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ind w:firstLine="240" w:firstLineChars="100"/>
              <w:textAlignment w:val="auto"/>
              <w:rPr>
                <w:rFonts w:ascii="仿宋_GB2312" w:hAnsi="宋体" w:eastAsia="仿宋_GB2312"/>
                <w:sz w:val="24"/>
              </w:rPr>
            </w:pPr>
            <w:r>
              <w:rPr>
                <w:rFonts w:hint="eastAsia" w:ascii="仿宋_GB2312" w:hAnsi="宋体" w:eastAsia="仿宋_GB2312"/>
                <w:sz w:val="24"/>
              </w:rPr>
              <w:t>序号</w:t>
            </w:r>
          </w:p>
        </w:tc>
        <w:tc>
          <w:tcPr>
            <w:tcW w:w="2778"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sz w:val="24"/>
              </w:rPr>
            </w:pPr>
            <w:r>
              <w:rPr>
                <w:rFonts w:hint="eastAsia" w:ascii="仿宋_GB2312" w:hAnsi="宋体" w:eastAsia="仿宋_GB2312"/>
                <w:sz w:val="24"/>
              </w:rPr>
              <w:t>物资名称</w:t>
            </w:r>
          </w:p>
        </w:tc>
        <w:tc>
          <w:tcPr>
            <w:tcW w:w="260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sz w:val="24"/>
              </w:rPr>
            </w:pPr>
            <w:r>
              <w:rPr>
                <w:rFonts w:hint="eastAsia" w:ascii="仿宋_GB2312" w:hAnsi="宋体" w:eastAsia="仿宋_GB2312"/>
                <w:sz w:val="24"/>
              </w:rPr>
              <w:t>规格型号</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sz w:val="24"/>
              </w:rPr>
            </w:pPr>
            <w:r>
              <w:rPr>
                <w:rFonts w:hint="eastAsia" w:ascii="仿宋_GB2312" w:hAnsi="宋体" w:eastAsia="仿宋_GB2312"/>
                <w:sz w:val="24"/>
              </w:rPr>
              <w:t>单位</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sz w:val="24"/>
              </w:rPr>
            </w:pPr>
            <w:r>
              <w:rPr>
                <w:rFonts w:hint="eastAsia" w:ascii="仿宋_GB2312" w:hAnsi="宋体" w:eastAsia="仿宋_GB2312"/>
                <w:sz w:val="24"/>
              </w:rPr>
              <w:t>单价(元)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sz w:val="24"/>
              </w:rPr>
            </w:pPr>
            <w:r>
              <w:rPr>
                <w:rFonts w:hint="eastAsia" w:ascii="仿宋_GB2312" w:hAnsi="宋体" w:eastAsia="仿宋_GB2312"/>
                <w:sz w:val="24"/>
              </w:rPr>
              <w:t>1</w:t>
            </w:r>
          </w:p>
        </w:tc>
        <w:tc>
          <w:tcPr>
            <w:tcW w:w="2778" w:type="dxa"/>
            <w:noWrap/>
            <w:vAlign w:val="center"/>
          </w:tcPr>
          <w:p>
            <w:pPr>
              <w:keepNext w:val="0"/>
              <w:keepLines w:val="0"/>
              <w:widowControl/>
              <w:suppressLineNumbers w:val="0"/>
              <w:jc w:val="left"/>
              <w:textAlignment w:val="center"/>
              <w:rPr>
                <w:rFonts w:hint="eastAsia"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 xml:space="preserve">锆刚玉料盆 </w:t>
            </w:r>
          </w:p>
        </w:tc>
        <w:tc>
          <w:tcPr>
            <w:tcW w:w="2604" w:type="dxa"/>
            <w:noWrap/>
            <w:vAlign w:val="center"/>
          </w:tcPr>
          <w:p>
            <w:pPr>
              <w:keepNext w:val="0"/>
              <w:keepLines w:val="0"/>
              <w:widowControl/>
              <w:suppressLineNumbers w:val="0"/>
              <w:jc w:val="left"/>
              <w:textAlignment w:val="center"/>
              <w:rPr>
                <w:rFonts w:hint="eastAsia"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AZS-33#WS C型料盆</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ind w:firstLine="240" w:firstLineChars="100"/>
              <w:jc w:val="both"/>
              <w:textAlignment w:val="auto"/>
              <w:rPr>
                <w:rFonts w:hint="eastAsia"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件</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sz w:val="24"/>
                <w:lang w:val="en-US" w:eastAsia="zh-CN"/>
              </w:rPr>
            </w:pPr>
            <w:r>
              <w:rPr>
                <w:rFonts w:hint="eastAsia" w:ascii="仿宋_GB2312" w:hAnsi="宋体" w:eastAsia="仿宋_GB2312"/>
                <w:sz w:val="24"/>
                <w:lang w:val="en-US" w:eastAsia="zh-CN"/>
              </w:rPr>
              <w:t>2</w:t>
            </w:r>
          </w:p>
        </w:tc>
        <w:tc>
          <w:tcPr>
            <w:tcW w:w="2778" w:type="dxa"/>
            <w:noWrap/>
            <w:vAlign w:val="center"/>
          </w:tcPr>
          <w:p>
            <w:pPr>
              <w:keepNext w:val="0"/>
              <w:keepLines w:val="0"/>
              <w:widowControl/>
              <w:suppressLineNumbers w:val="0"/>
              <w:jc w:val="left"/>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锆刚玉组合料盆</w:t>
            </w:r>
          </w:p>
        </w:tc>
        <w:tc>
          <w:tcPr>
            <w:tcW w:w="2604" w:type="dxa"/>
            <w:noWrap/>
            <w:vAlign w:val="center"/>
          </w:tcPr>
          <w:p>
            <w:pPr>
              <w:keepNext w:val="0"/>
              <w:keepLines w:val="0"/>
              <w:widowControl/>
              <w:suppressLineNumbers w:val="0"/>
              <w:jc w:val="left"/>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AZS-41#WS C型料盆</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ind w:firstLine="240" w:firstLineChars="100"/>
              <w:jc w:val="both"/>
              <w:textAlignment w:val="auto"/>
              <w:rPr>
                <w:rFonts w:hint="default" w:ascii="仿宋_GB2312" w:hAnsi="宋体" w:eastAsia="仿宋_GB2312" w:cs="宋体"/>
                <w:kern w:val="0"/>
                <w:sz w:val="24"/>
                <w:lang w:val="en-US" w:eastAsia="zh-CN"/>
              </w:rPr>
            </w:pPr>
            <w:r>
              <w:rPr>
                <w:rFonts w:hint="eastAsia" w:ascii="仿宋_GB2312" w:hAnsi="宋体" w:eastAsia="仿宋_GB2312" w:cs="宋体"/>
                <w:kern w:val="0"/>
                <w:sz w:val="24"/>
                <w:lang w:val="en-US" w:eastAsia="zh-CN"/>
              </w:rPr>
              <w:t>套</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3</w:t>
            </w:r>
          </w:p>
        </w:tc>
        <w:tc>
          <w:tcPr>
            <w:tcW w:w="2778" w:type="dxa"/>
            <w:noWrap/>
            <w:vAlign w:val="center"/>
          </w:tcPr>
          <w:p>
            <w:pPr>
              <w:keepNext w:val="0"/>
              <w:keepLines w:val="0"/>
              <w:widowControl/>
              <w:suppressLineNumbers w:val="0"/>
              <w:jc w:val="left"/>
              <w:textAlignment w:val="center"/>
              <w:rPr>
                <w:rFonts w:hint="eastAsia" w:ascii="宋体" w:hAnsi="宋体" w:eastAsia="宋体" w:cs="Tahoma"/>
                <w:kern w:val="0"/>
                <w:sz w:val="18"/>
                <w:szCs w:val="18"/>
                <w:lang w:val="zh-CN" w:eastAsia="zh-CN" w:bidi="ar-SA"/>
              </w:rPr>
            </w:pPr>
            <w:r>
              <w:rPr>
                <w:rFonts w:hint="eastAsia" w:ascii="宋体" w:hAnsi="宋体" w:eastAsia="宋体" w:cs="宋体"/>
                <w:i w:val="0"/>
                <w:color w:val="000000"/>
                <w:kern w:val="0"/>
                <w:sz w:val="24"/>
                <w:szCs w:val="24"/>
                <w:u w:val="none"/>
                <w:lang w:val="en-US" w:eastAsia="zh-CN" w:bidi="ar"/>
              </w:rPr>
              <w:t xml:space="preserve">搅拌桨 </w:t>
            </w:r>
          </w:p>
        </w:tc>
        <w:tc>
          <w:tcPr>
            <w:tcW w:w="2604" w:type="dxa"/>
            <w:noWrap/>
            <w:vAlign w:val="center"/>
          </w:tcPr>
          <w:p>
            <w:pPr>
              <w:keepNext w:val="0"/>
              <w:keepLines w:val="0"/>
              <w:widowControl/>
              <w:suppressLineNumbers w:val="0"/>
              <w:jc w:val="left"/>
              <w:textAlignment w:val="center"/>
              <w:rPr>
                <w:rFonts w:hint="eastAsia"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锆刚玉</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ind w:firstLine="240" w:firstLineChars="100"/>
              <w:jc w:val="both"/>
              <w:textAlignment w:val="auto"/>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件</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4</w:t>
            </w:r>
          </w:p>
        </w:tc>
        <w:tc>
          <w:tcPr>
            <w:tcW w:w="2778" w:type="dxa"/>
            <w:noWrap/>
            <w:vAlign w:val="center"/>
          </w:tcPr>
          <w:p>
            <w:pPr>
              <w:keepNext w:val="0"/>
              <w:keepLines w:val="0"/>
              <w:widowControl/>
              <w:suppressLineNumbers w:val="0"/>
              <w:jc w:val="left"/>
              <w:textAlignment w:val="center"/>
              <w:rPr>
                <w:rFonts w:hint="eastAsia" w:ascii="宋体" w:hAnsi="宋体" w:eastAsia="宋体" w:cs="Tahoma"/>
                <w:kern w:val="0"/>
                <w:sz w:val="18"/>
                <w:szCs w:val="18"/>
                <w:lang w:val="zh-CN" w:eastAsia="zh-CN" w:bidi="ar-SA"/>
              </w:rPr>
            </w:pPr>
            <w:r>
              <w:rPr>
                <w:rFonts w:hint="eastAsia" w:ascii="宋体" w:hAnsi="宋体" w:eastAsia="宋体" w:cs="宋体"/>
                <w:i w:val="0"/>
                <w:color w:val="000000"/>
                <w:kern w:val="0"/>
                <w:sz w:val="24"/>
                <w:szCs w:val="24"/>
                <w:u w:val="none"/>
                <w:lang w:val="en-US" w:eastAsia="zh-CN" w:bidi="ar"/>
              </w:rPr>
              <w:t xml:space="preserve">锆刚玉电熔砖  </w:t>
            </w:r>
          </w:p>
        </w:tc>
        <w:tc>
          <w:tcPr>
            <w:tcW w:w="2604" w:type="dxa"/>
            <w:noWrap/>
            <w:vAlign w:val="center"/>
          </w:tcPr>
          <w:p>
            <w:pPr>
              <w:keepNext w:val="0"/>
              <w:keepLines w:val="0"/>
              <w:widowControl/>
              <w:suppressLineNumbers w:val="0"/>
              <w:jc w:val="left"/>
              <w:textAlignment w:val="center"/>
              <w:rPr>
                <w:rFonts w:hint="eastAsia"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AZS- 33#WS</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吨</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5</w:t>
            </w:r>
          </w:p>
        </w:tc>
        <w:tc>
          <w:tcPr>
            <w:tcW w:w="2778" w:type="dxa"/>
            <w:noWrap/>
            <w:vAlign w:val="center"/>
          </w:tcPr>
          <w:p>
            <w:pPr>
              <w:keepNext w:val="0"/>
              <w:keepLines w:val="0"/>
              <w:widowControl/>
              <w:suppressLineNumbers w:val="0"/>
              <w:jc w:val="left"/>
              <w:textAlignment w:val="center"/>
              <w:rPr>
                <w:rFonts w:hint="eastAsia"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 xml:space="preserve">锆刚玉电熔砖 </w:t>
            </w:r>
          </w:p>
        </w:tc>
        <w:tc>
          <w:tcPr>
            <w:tcW w:w="2604" w:type="dxa"/>
            <w:noWrap/>
            <w:vAlign w:val="center"/>
          </w:tcPr>
          <w:p>
            <w:pPr>
              <w:keepNext w:val="0"/>
              <w:keepLines w:val="0"/>
              <w:widowControl/>
              <w:suppressLineNumbers w:val="0"/>
              <w:jc w:val="left"/>
              <w:textAlignment w:val="center"/>
              <w:rPr>
                <w:rFonts w:hint="default"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AZS- 33#PT</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吨</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6</w:t>
            </w:r>
          </w:p>
        </w:tc>
        <w:tc>
          <w:tcPr>
            <w:tcW w:w="2778" w:type="dxa"/>
            <w:noWrap/>
            <w:vAlign w:val="center"/>
          </w:tcPr>
          <w:p>
            <w:pPr>
              <w:keepNext w:val="0"/>
              <w:keepLines w:val="0"/>
              <w:widowControl/>
              <w:suppressLineNumbers w:val="0"/>
              <w:jc w:val="left"/>
              <w:textAlignment w:val="center"/>
              <w:rPr>
                <w:rFonts w:hint="eastAsia"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 xml:space="preserve">锆刚玉电熔砖 </w:t>
            </w:r>
          </w:p>
        </w:tc>
        <w:tc>
          <w:tcPr>
            <w:tcW w:w="2604" w:type="dxa"/>
            <w:noWrap/>
            <w:vAlign w:val="center"/>
          </w:tcPr>
          <w:p>
            <w:pPr>
              <w:keepNext w:val="0"/>
              <w:keepLines w:val="0"/>
              <w:widowControl/>
              <w:suppressLineNumbers w:val="0"/>
              <w:jc w:val="left"/>
              <w:textAlignment w:val="center"/>
              <w:rPr>
                <w:rFonts w:hint="default"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 xml:space="preserve">AZS-41#WS </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吨</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7</w:t>
            </w:r>
          </w:p>
        </w:tc>
        <w:tc>
          <w:tcPr>
            <w:tcW w:w="2778" w:type="dxa"/>
            <w:vMerge w:val="restart"/>
            <w:noWrap/>
            <w:vAlign w:val="center"/>
          </w:tcPr>
          <w:p>
            <w:pPr>
              <w:keepNext w:val="0"/>
              <w:keepLines w:val="0"/>
              <w:widowControl/>
              <w:suppressLineNumbers w:val="0"/>
              <w:jc w:val="left"/>
              <w:textAlignment w:val="center"/>
              <w:rPr>
                <w:rFonts w:hint="default"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AZS-33#WS</w:t>
            </w:r>
            <w:r>
              <w:rPr>
                <w:rFonts w:hint="eastAsia" w:ascii="宋体" w:hAnsi="宋体" w:cs="宋体"/>
                <w:i w:val="0"/>
                <w:color w:val="000000"/>
                <w:kern w:val="0"/>
                <w:sz w:val="24"/>
                <w:szCs w:val="24"/>
                <w:u w:val="none"/>
                <w:lang w:val="en-US" w:eastAsia="zh-CN" w:bidi="ar"/>
              </w:rPr>
              <w:t>（专用）</w:t>
            </w:r>
          </w:p>
        </w:tc>
        <w:tc>
          <w:tcPr>
            <w:tcW w:w="2604" w:type="dxa"/>
            <w:noWrap/>
            <w:vAlign w:val="center"/>
          </w:tcPr>
          <w:p>
            <w:pPr>
              <w:keepNext w:val="0"/>
              <w:keepLines w:val="0"/>
              <w:widowControl/>
              <w:suppressLineNumbers w:val="0"/>
              <w:jc w:val="left"/>
              <w:textAlignment w:val="center"/>
              <w:rPr>
                <w:rFonts w:hint="default"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340*207*30</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块</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8</w:t>
            </w:r>
          </w:p>
        </w:tc>
        <w:tc>
          <w:tcPr>
            <w:tcW w:w="2778" w:type="dxa"/>
            <w:vMerge w:val="continue"/>
            <w:noWrap/>
            <w:vAlign w:val="center"/>
          </w:tcPr>
          <w:p>
            <w:pPr>
              <w:jc w:val="left"/>
              <w:rPr>
                <w:rFonts w:hint="eastAsia" w:ascii="宋体" w:hAnsi="宋体" w:eastAsia="宋体" w:cs="Tahoma"/>
                <w:kern w:val="0"/>
                <w:sz w:val="18"/>
                <w:szCs w:val="18"/>
                <w:lang w:val="en-US" w:eastAsia="zh-CN" w:bidi="ar-SA"/>
              </w:rPr>
            </w:pPr>
          </w:p>
        </w:tc>
        <w:tc>
          <w:tcPr>
            <w:tcW w:w="2604" w:type="dxa"/>
            <w:noWrap/>
            <w:vAlign w:val="center"/>
          </w:tcPr>
          <w:p>
            <w:pPr>
              <w:keepNext w:val="0"/>
              <w:keepLines w:val="0"/>
              <w:widowControl/>
              <w:suppressLineNumbers w:val="0"/>
              <w:jc w:val="left"/>
              <w:textAlignment w:val="center"/>
              <w:rPr>
                <w:rFonts w:hint="default"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340*177*30</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块</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9</w:t>
            </w:r>
          </w:p>
        </w:tc>
        <w:tc>
          <w:tcPr>
            <w:tcW w:w="2778" w:type="dxa"/>
            <w:vMerge w:val="continue"/>
            <w:noWrap/>
            <w:vAlign w:val="center"/>
          </w:tcPr>
          <w:p>
            <w:pPr>
              <w:jc w:val="left"/>
              <w:rPr>
                <w:rFonts w:hint="eastAsia" w:ascii="宋体" w:hAnsi="宋体" w:eastAsia="宋体" w:cs="Tahoma"/>
                <w:kern w:val="0"/>
                <w:sz w:val="18"/>
                <w:szCs w:val="18"/>
                <w:lang w:val="en-US" w:eastAsia="zh-CN" w:bidi="ar-SA"/>
              </w:rPr>
            </w:pPr>
          </w:p>
        </w:tc>
        <w:tc>
          <w:tcPr>
            <w:tcW w:w="2604" w:type="dxa"/>
            <w:noWrap/>
            <w:vAlign w:val="center"/>
          </w:tcPr>
          <w:p>
            <w:pPr>
              <w:keepNext w:val="0"/>
              <w:keepLines w:val="0"/>
              <w:widowControl/>
              <w:suppressLineNumbers w:val="0"/>
              <w:jc w:val="left"/>
              <w:textAlignment w:val="center"/>
              <w:rPr>
                <w:rFonts w:hint="default"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340*127*30</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块</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10</w:t>
            </w:r>
          </w:p>
        </w:tc>
        <w:tc>
          <w:tcPr>
            <w:tcW w:w="2778" w:type="dxa"/>
            <w:noWrap/>
            <w:vAlign w:val="center"/>
          </w:tcPr>
          <w:p>
            <w:pPr>
              <w:keepNext w:val="0"/>
              <w:keepLines w:val="0"/>
              <w:widowControl/>
              <w:suppressLineNumbers w:val="0"/>
              <w:jc w:val="left"/>
              <w:textAlignment w:val="center"/>
              <w:rPr>
                <w:rFonts w:hint="eastAsia"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加工打磨</w:t>
            </w:r>
          </w:p>
        </w:tc>
        <w:tc>
          <w:tcPr>
            <w:tcW w:w="2604" w:type="dxa"/>
            <w:noWrap/>
            <w:vAlign w:val="center"/>
          </w:tcPr>
          <w:p>
            <w:pPr>
              <w:keepNext w:val="0"/>
              <w:keepLines w:val="0"/>
              <w:widowControl/>
              <w:suppressLineNumbers w:val="0"/>
              <w:jc w:val="left"/>
              <w:textAlignment w:val="center"/>
              <w:rPr>
                <w:rFonts w:hint="default"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按加工面积算</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 w:hRule="atLeast"/>
          <w:jc w:val="center"/>
        </w:trPr>
        <w:tc>
          <w:tcPr>
            <w:tcW w:w="955"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11</w:t>
            </w:r>
          </w:p>
        </w:tc>
        <w:tc>
          <w:tcPr>
            <w:tcW w:w="2778" w:type="dxa"/>
            <w:noWrap/>
            <w:vAlign w:val="center"/>
          </w:tcPr>
          <w:p>
            <w:pPr>
              <w:keepNext w:val="0"/>
              <w:keepLines w:val="0"/>
              <w:widowControl/>
              <w:suppressLineNumbers w:val="0"/>
              <w:jc w:val="left"/>
              <w:textAlignment w:val="center"/>
              <w:rPr>
                <w:rFonts w:hint="eastAsia"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钻孔</w:t>
            </w:r>
          </w:p>
        </w:tc>
        <w:tc>
          <w:tcPr>
            <w:tcW w:w="2604" w:type="dxa"/>
            <w:noWrap/>
            <w:vAlign w:val="center"/>
          </w:tcPr>
          <w:p>
            <w:pPr>
              <w:keepNext w:val="0"/>
              <w:keepLines w:val="0"/>
              <w:widowControl/>
              <w:suppressLineNumbers w:val="0"/>
              <w:jc w:val="left"/>
              <w:textAlignment w:val="center"/>
              <w:rPr>
                <w:rFonts w:hint="default" w:ascii="宋体" w:hAnsi="宋体" w:eastAsia="宋体" w:cs="Tahoma"/>
                <w:kern w:val="0"/>
                <w:sz w:val="18"/>
                <w:szCs w:val="18"/>
                <w:lang w:val="en-US" w:eastAsia="zh-CN" w:bidi="ar-SA"/>
              </w:rPr>
            </w:pPr>
            <w:r>
              <w:rPr>
                <w:rFonts w:hint="eastAsia" w:ascii="宋体" w:hAnsi="宋体" w:eastAsia="宋体" w:cs="宋体"/>
                <w:i w:val="0"/>
                <w:color w:val="000000"/>
                <w:kern w:val="0"/>
                <w:sz w:val="24"/>
                <w:szCs w:val="24"/>
                <w:u w:val="none"/>
                <w:lang w:val="en-US" w:eastAsia="zh-CN" w:bidi="ar"/>
              </w:rPr>
              <w:t>按深度算</w:t>
            </w:r>
          </w:p>
        </w:tc>
        <w:tc>
          <w:tcPr>
            <w:tcW w:w="1062"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hint="eastAsia" w:ascii="仿宋_GB2312" w:hAnsi="宋体" w:eastAsia="仿宋_GB2312" w:cs="宋体"/>
                <w:kern w:val="0"/>
                <w:sz w:val="24"/>
                <w:lang w:eastAsia="zh-CN"/>
              </w:rPr>
            </w:pPr>
            <w:r>
              <w:rPr>
                <w:rFonts w:hint="eastAsia" w:ascii="仿宋_GB2312" w:hAnsi="宋体" w:eastAsia="仿宋_GB2312" w:cs="宋体"/>
                <w:kern w:val="0"/>
                <w:sz w:val="24"/>
                <w:lang w:eastAsia="zh-CN"/>
              </w:rPr>
              <w:t>㎝</w:t>
            </w:r>
          </w:p>
        </w:tc>
        <w:tc>
          <w:tcPr>
            <w:tcW w:w="1014" w:type="dxa"/>
            <w:noWrap/>
            <w:vAlign w:val="center"/>
          </w:tcPr>
          <w:p>
            <w:pPr>
              <w:keepNext w:val="0"/>
              <w:keepLines w:val="0"/>
              <w:pageBreakBefore w:val="0"/>
              <w:kinsoku/>
              <w:overflowPunct/>
              <w:topLinePunct w:val="0"/>
              <w:autoSpaceDE/>
              <w:autoSpaceDN/>
              <w:bidi w:val="0"/>
              <w:adjustRightInd/>
              <w:snapToGrid/>
              <w:spacing w:line="340" w:lineRule="exact"/>
              <w:jc w:val="center"/>
              <w:textAlignment w:val="auto"/>
              <w:rPr>
                <w:rFonts w:ascii="仿宋_GB2312" w:hAnsi="宋体" w:eastAsia="仿宋_GB2312"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8413" w:type="dxa"/>
            <w:gridSpan w:val="5"/>
            <w:noWrap/>
            <w:vAlign w:val="center"/>
          </w:tcPr>
          <w:p>
            <w:pPr>
              <w:keepNext w:val="0"/>
              <w:keepLines w:val="0"/>
              <w:pageBreakBefore w:val="0"/>
              <w:kinsoku/>
              <w:overflowPunct/>
              <w:topLinePunct w:val="0"/>
              <w:autoSpaceDE/>
              <w:autoSpaceDN/>
              <w:bidi w:val="0"/>
              <w:adjustRightInd/>
              <w:snapToGrid/>
              <w:spacing w:line="340" w:lineRule="exact"/>
              <w:jc w:val="left"/>
              <w:textAlignment w:val="auto"/>
              <w:rPr>
                <w:rFonts w:ascii="仿宋_GB2312" w:hAnsi="宋体" w:eastAsia="仿宋_GB2312"/>
                <w:sz w:val="24"/>
              </w:rPr>
            </w:pPr>
            <w:r>
              <w:rPr>
                <w:rFonts w:hint="eastAsia" w:ascii="仿宋_GB2312" w:hAnsi="宋体" w:eastAsia="仿宋_GB2312"/>
                <w:sz w:val="24"/>
              </w:rPr>
              <w:t>1、产品质量符合国家及行业标准。</w:t>
            </w:r>
          </w:p>
          <w:p>
            <w:pPr>
              <w:keepNext w:val="0"/>
              <w:keepLines w:val="0"/>
              <w:pageBreakBefore w:val="0"/>
              <w:kinsoku/>
              <w:overflowPunct/>
              <w:topLinePunct w:val="0"/>
              <w:autoSpaceDE/>
              <w:autoSpaceDN/>
              <w:bidi w:val="0"/>
              <w:adjustRightInd/>
              <w:snapToGrid/>
              <w:spacing w:line="340" w:lineRule="exact"/>
              <w:jc w:val="both"/>
              <w:textAlignment w:val="auto"/>
              <w:rPr>
                <w:rFonts w:hint="eastAsia" w:ascii="仿宋_GB2312" w:hAnsi="宋体" w:eastAsia="仿宋_GB2312"/>
                <w:sz w:val="24"/>
              </w:rPr>
            </w:pPr>
            <w:r>
              <w:rPr>
                <w:rFonts w:hint="eastAsia" w:ascii="仿宋_GB2312" w:hAnsi="宋体" w:eastAsia="仿宋_GB2312"/>
                <w:sz w:val="24"/>
              </w:rPr>
              <w:t>2、以上所报物资价格</w:t>
            </w:r>
            <w:r>
              <w:rPr>
                <w:rFonts w:hint="eastAsia" w:ascii="仿宋_GB2312" w:hAnsi="宋体" w:eastAsia="仿宋_GB2312"/>
                <w:sz w:val="24"/>
                <w:lang w:val="en-US" w:eastAsia="zh-CN"/>
              </w:rPr>
              <w:t>含运费（来料加工由加工方负责运输)、含</w:t>
            </w:r>
            <w:r>
              <w:rPr>
                <w:rFonts w:hint="eastAsia" w:ascii="仿宋_GB2312" w:hAnsi="宋体" w:eastAsia="仿宋_GB2312"/>
                <w:sz w:val="24"/>
              </w:rPr>
              <w:t>13%</w:t>
            </w:r>
            <w:r>
              <w:rPr>
                <w:rFonts w:hint="eastAsia" w:ascii="仿宋_GB2312" w:hAnsi="宋体" w:eastAsia="仿宋_GB2312"/>
                <w:sz w:val="24"/>
                <w:lang w:val="en-US" w:eastAsia="zh-CN"/>
              </w:rPr>
              <w:t>增值税率</w:t>
            </w:r>
            <w:r>
              <w:rPr>
                <w:rFonts w:hint="eastAsia" w:ascii="仿宋_GB2312" w:hAnsi="宋体" w:eastAsia="仿宋_GB2312"/>
                <w:sz w:val="24"/>
              </w:rPr>
              <w:t>。</w:t>
            </w:r>
          </w:p>
          <w:p>
            <w:pPr>
              <w:keepNext w:val="0"/>
              <w:keepLines w:val="0"/>
              <w:pageBreakBefore w:val="0"/>
              <w:kinsoku/>
              <w:overflowPunct/>
              <w:topLinePunct w:val="0"/>
              <w:autoSpaceDE/>
              <w:autoSpaceDN/>
              <w:bidi w:val="0"/>
              <w:adjustRightInd/>
              <w:snapToGrid/>
              <w:spacing w:line="340" w:lineRule="exact"/>
              <w:jc w:val="both"/>
              <w:textAlignment w:val="auto"/>
              <w:rPr>
                <w:rFonts w:hint="default" w:ascii="仿宋_GB2312" w:hAnsi="宋体" w:eastAsia="仿宋_GB2312"/>
                <w:sz w:val="24"/>
                <w:lang w:val="en-US" w:eastAsia="zh-CN"/>
              </w:rPr>
            </w:pPr>
            <w:r>
              <w:rPr>
                <w:rFonts w:hint="eastAsia" w:ascii="仿宋_GB2312" w:hAnsi="宋体" w:eastAsia="仿宋_GB2312"/>
                <w:sz w:val="24"/>
                <w:lang w:val="en-US" w:eastAsia="zh-CN"/>
              </w:rPr>
              <w:t>3、采购方委外加工的砖材，由加工方负责运输。</w:t>
            </w:r>
          </w:p>
        </w:tc>
      </w:tr>
    </w:tbl>
    <w:p>
      <w:pPr>
        <w:spacing w:line="54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b/>
          <w:bCs/>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u w:val="single"/>
          <w:lang w:val="en-US" w:eastAsia="zh-CN"/>
        </w:rPr>
        <w:t>13%</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w:t>
      </w:r>
      <w:r>
        <w:rPr>
          <w:rFonts w:hint="eastAsia" w:ascii="仿宋" w:hAnsi="仿宋" w:eastAsia="仿宋"/>
          <w:b/>
          <w:bCs/>
          <w:sz w:val="30"/>
          <w:szCs w:val="30"/>
        </w:rPr>
        <w:t>购方收到发票</w:t>
      </w:r>
      <w:r>
        <w:rPr>
          <w:rFonts w:hint="eastAsia" w:ascii="仿宋" w:hAnsi="仿宋" w:eastAsia="仿宋"/>
          <w:b/>
          <w:bCs/>
          <w:sz w:val="30"/>
          <w:szCs w:val="30"/>
          <w:lang w:val="en-US" w:eastAsia="zh-CN"/>
        </w:rPr>
        <w:t>三个月内滚动支付</w:t>
      </w:r>
      <w:r>
        <w:rPr>
          <w:rFonts w:hint="eastAsia" w:ascii="仿宋" w:hAnsi="仿宋" w:eastAsia="仿宋"/>
          <w:b/>
          <w:bCs/>
          <w:sz w:val="30"/>
          <w:szCs w:val="30"/>
        </w:rPr>
        <w:t>。</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r>
        <w:rPr>
          <w:rFonts w:hint="eastAsia" w:ascii="仿宋" w:hAnsi="仿宋" w:eastAsia="仿宋"/>
          <w:sz w:val="30"/>
          <w:szCs w:val="30"/>
        </w:rPr>
        <w:t>报价单位名称（盖章）：           报价单位代表签字：</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hint="eastAsia" w:ascii="仿宋" w:hAnsi="仿宋" w:eastAsia="仿宋" w:cs="宋体"/>
          <w:color w:val="auto"/>
          <w:kern w:val="0"/>
          <w:sz w:val="28"/>
          <w:szCs w:val="28"/>
          <w:lang w:val="en-US" w:eastAsia="zh-CN"/>
        </w:rPr>
      </w:pPr>
      <w:r>
        <w:rPr>
          <w:rFonts w:hint="eastAsia" w:ascii="仿宋" w:hAnsi="仿宋" w:eastAsia="仿宋" w:cs="宋体"/>
          <w:color w:val="auto"/>
          <w:kern w:val="0"/>
          <w:sz w:val="28"/>
          <w:szCs w:val="28"/>
        </w:rPr>
        <w:t>⑤“实缴资本”、“参保人员”</w:t>
      </w:r>
      <w:r>
        <w:rPr>
          <w:rFonts w:hint="eastAsia" w:ascii="仿宋" w:hAnsi="仿宋" w:eastAsia="仿宋" w:cs="宋体"/>
          <w:color w:val="auto"/>
          <w:kern w:val="0"/>
          <w:sz w:val="28"/>
          <w:szCs w:val="28"/>
          <w:lang w:val="en-US" w:eastAsia="zh-CN"/>
        </w:rPr>
        <w:t>证明</w:t>
      </w:r>
    </w:p>
    <w:p>
      <w:pPr>
        <w:spacing w:line="560" w:lineRule="exact"/>
        <w:ind w:left="1260" w:leftChars="600"/>
        <w:rPr>
          <w:rFonts w:hint="default" w:ascii="仿宋" w:hAnsi="仿宋" w:eastAsia="仿宋" w:cs="宋体"/>
          <w:color w:val="auto"/>
          <w:kern w:val="0"/>
          <w:sz w:val="28"/>
          <w:szCs w:val="28"/>
          <w:lang w:val="en-US" w:eastAsia="zh-CN"/>
        </w:rPr>
      </w:pPr>
      <w:r>
        <w:rPr>
          <w:rFonts w:hint="eastAsia" w:ascii="仿宋" w:hAnsi="仿宋" w:eastAsia="仿宋" w:cs="宋体"/>
          <w:color w:val="auto"/>
          <w:kern w:val="0"/>
          <w:sz w:val="28"/>
          <w:szCs w:val="28"/>
        </w:rPr>
        <w:t>⑥</w:t>
      </w:r>
      <w:r>
        <w:rPr>
          <w:rFonts w:hint="eastAsia" w:ascii="仿宋" w:hAnsi="仿宋" w:eastAsia="仿宋" w:cs="宋体"/>
          <w:color w:val="auto"/>
          <w:kern w:val="0"/>
          <w:sz w:val="28"/>
          <w:szCs w:val="28"/>
          <w:lang w:val="en-US" w:eastAsia="zh-CN"/>
        </w:rPr>
        <w:t>固定</w:t>
      </w:r>
      <w:r>
        <w:rPr>
          <w:rFonts w:hint="eastAsia" w:ascii="仿宋" w:hAnsi="仿宋" w:eastAsia="仿宋" w:cs="宋体"/>
          <w:color w:val="auto"/>
          <w:kern w:val="0"/>
          <w:sz w:val="28"/>
          <w:szCs w:val="28"/>
        </w:rPr>
        <w:t>生产经营场所</w:t>
      </w:r>
      <w:r>
        <w:rPr>
          <w:rFonts w:hint="eastAsia" w:ascii="仿宋" w:hAnsi="仿宋" w:eastAsia="仿宋" w:cs="宋体"/>
          <w:color w:val="auto"/>
          <w:kern w:val="0"/>
          <w:sz w:val="28"/>
          <w:szCs w:val="28"/>
          <w:lang w:val="en-US" w:eastAsia="zh-CN"/>
        </w:rPr>
        <w:t>证明（如厂房租赁协议或自有产权证明）</w:t>
      </w:r>
    </w:p>
    <w:p>
      <w:pPr>
        <w:spacing w:line="560" w:lineRule="exact"/>
        <w:ind w:left="1260" w:leftChars="600"/>
        <w:rPr>
          <w:rFonts w:ascii="仿宋" w:hAnsi="仿宋" w:eastAsia="仿宋" w:cs="宋体"/>
          <w:kern w:val="0"/>
          <w:sz w:val="28"/>
          <w:szCs w:val="28"/>
        </w:rPr>
      </w:pPr>
      <w:r>
        <w:rPr>
          <w:rFonts w:hint="eastAsia" w:ascii="仿宋" w:hAnsi="仿宋" w:eastAsia="仿宋" w:cs="仿宋"/>
          <w:kern w:val="0"/>
          <w:sz w:val="28"/>
          <w:szCs w:val="28"/>
        </w:rPr>
        <w:t>⑦</w:t>
      </w:r>
      <w:bookmarkStart w:id="2" w:name="_GoBack"/>
      <w:bookmarkEnd w:id="2"/>
      <w:r>
        <w:rPr>
          <w:rFonts w:hint="eastAsia" w:ascii="仿宋" w:hAnsi="仿宋" w:eastAsia="仿宋" w:cs="宋体"/>
          <w:kern w:val="0"/>
          <w:sz w:val="28"/>
          <w:szCs w:val="28"/>
        </w:rPr>
        <w:t>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60" w:lineRule="exact"/>
        <w:ind w:firstLine="294" w:firstLineChars="98"/>
        <w:rPr>
          <w:rFonts w:hint="default" w:ascii="仿宋" w:hAnsi="仿宋" w:eastAsia="仿宋"/>
          <w:sz w:val="30"/>
          <w:szCs w:val="30"/>
          <w:lang w:val="en-US" w:eastAsia="zh-CN"/>
        </w:rPr>
      </w:pPr>
    </w:p>
    <w:sectPr>
      <w:headerReference r:id="rId8" w:type="default"/>
      <w:pgSz w:w="11906" w:h="16838"/>
      <w:pgMar w:top="62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MS Gothic">
    <w:panose1 w:val="020B0609070205080204"/>
    <w:charset w:val="80"/>
    <w:family w:val="modern"/>
    <w:pitch w:val="default"/>
    <w:sig w:usb0="E00002FF" w:usb1="6AC7FDFB" w:usb2="08000012" w:usb3="00000000" w:csb0="4002009F" w:csb1="DFD70000"/>
  </w:font>
  <w:font w:name="楷体">
    <w:panose1 w:val="02010609060101010101"/>
    <w:charset w:val="86"/>
    <w:family w:val="modern"/>
    <w:pitch w:val="default"/>
    <w:sig w:usb0="800002BF" w:usb1="38CF7CFA" w:usb2="00000016"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jc w:val="center"/>
      <w:rPr>
        <w:rStyle w:val="18"/>
        <w:rFonts w:ascii="宋体" w:hAnsi="宋体"/>
        <w:sz w:val="28"/>
        <w:szCs w:val="28"/>
      </w:rPr>
    </w:pPr>
    <w:r>
      <w:rPr>
        <w:rFonts w:ascii="宋体" w:hAnsi="宋体"/>
        <w:sz w:val="28"/>
        <w:szCs w:val="28"/>
      </w:rPr>
      <w:fldChar w:fldCharType="begin"/>
    </w:r>
    <w:r>
      <w:rPr>
        <w:rStyle w:val="18"/>
        <w:rFonts w:ascii="宋体" w:hAnsi="宋体"/>
        <w:sz w:val="28"/>
        <w:szCs w:val="28"/>
      </w:rPr>
      <w:instrText xml:space="preserve">PAGE  </w:instrText>
    </w:r>
    <w:r>
      <w:rPr>
        <w:rFonts w:ascii="宋体" w:hAnsi="宋体"/>
        <w:sz w:val="28"/>
        <w:szCs w:val="28"/>
      </w:rPr>
      <w:fldChar w:fldCharType="separate"/>
    </w:r>
    <w:r>
      <w:rPr>
        <w:rStyle w:val="18"/>
        <w:rFonts w:ascii="宋体" w:hAnsi="宋体"/>
        <w:sz w:val="28"/>
        <w:szCs w:val="28"/>
      </w:rPr>
      <w:t>- 1 -</w:t>
    </w:r>
    <w:r>
      <w:rPr>
        <w:rFonts w:ascii="宋体" w:hAnsi="宋体"/>
        <w:sz w:val="28"/>
        <w:szCs w:val="28"/>
      </w:rPr>
      <w:fldChar w:fldCharType="end"/>
    </w: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rPr>
        <w:rStyle w:val="18"/>
      </w:rPr>
    </w:pPr>
    <w:r>
      <w:fldChar w:fldCharType="begin"/>
    </w:r>
    <w:r>
      <w:rPr>
        <w:rStyle w:val="18"/>
      </w:rPr>
      <w:instrText xml:space="preserve">PAGE  </w:instrText>
    </w:r>
    <w:r>
      <w:fldChar w:fldCharType="end"/>
    </w:r>
  </w:p>
  <w:p>
    <w:pPr>
      <w:pStyle w:val="11"/>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rPr>
      <w:t>四川省工商行政管理局数据中心建设项目政府采购—招标文件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rPr>
        <w:rFonts w:ascii="黑体" w:hAnsi="黑体" w:eastAsia="黑体"/>
        <w:sz w:val="28"/>
        <w:szCs w:val="28"/>
      </w:rPr>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178"/>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05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393"/>
    <w:rsid w:val="007A560D"/>
    <w:rsid w:val="007A5F95"/>
    <w:rsid w:val="007B22F4"/>
    <w:rsid w:val="007B4FE1"/>
    <w:rsid w:val="007C12A4"/>
    <w:rsid w:val="007C33BB"/>
    <w:rsid w:val="007C37FC"/>
    <w:rsid w:val="007C7930"/>
    <w:rsid w:val="007C7F0B"/>
    <w:rsid w:val="007D075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21C4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D5364"/>
    <w:rsid w:val="00AE0642"/>
    <w:rsid w:val="00AE07F6"/>
    <w:rsid w:val="00AE1FDF"/>
    <w:rsid w:val="00AE25A4"/>
    <w:rsid w:val="00AE3697"/>
    <w:rsid w:val="00AE54BC"/>
    <w:rsid w:val="00AE7B7C"/>
    <w:rsid w:val="00AF0CAF"/>
    <w:rsid w:val="00AF2CFE"/>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6D94"/>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32AA"/>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7670D3B"/>
    <w:rsid w:val="0AC8066A"/>
    <w:rsid w:val="0E487BB6"/>
    <w:rsid w:val="115C1106"/>
    <w:rsid w:val="12D42042"/>
    <w:rsid w:val="158242C4"/>
    <w:rsid w:val="170209AC"/>
    <w:rsid w:val="1C3C2974"/>
    <w:rsid w:val="212958D0"/>
    <w:rsid w:val="22DA4E65"/>
    <w:rsid w:val="27B91ECD"/>
    <w:rsid w:val="2C3D76B5"/>
    <w:rsid w:val="2C6923FD"/>
    <w:rsid w:val="353C7B99"/>
    <w:rsid w:val="367D7888"/>
    <w:rsid w:val="3A232346"/>
    <w:rsid w:val="3DE90D5D"/>
    <w:rsid w:val="415A73C9"/>
    <w:rsid w:val="424D4810"/>
    <w:rsid w:val="42DD7A61"/>
    <w:rsid w:val="469516A2"/>
    <w:rsid w:val="48E37289"/>
    <w:rsid w:val="53BB5D38"/>
    <w:rsid w:val="54387631"/>
    <w:rsid w:val="582F4FA6"/>
    <w:rsid w:val="5BA84B60"/>
    <w:rsid w:val="5D224E6D"/>
    <w:rsid w:val="5FFB256E"/>
    <w:rsid w:val="61973D32"/>
    <w:rsid w:val="63623A3E"/>
    <w:rsid w:val="6AF17C50"/>
    <w:rsid w:val="6F9B571F"/>
    <w:rsid w:val="701A14C1"/>
    <w:rsid w:val="70B60DD1"/>
    <w:rsid w:val="72E10E16"/>
    <w:rsid w:val="750139B7"/>
    <w:rsid w:val="7CA67D0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0"/>
    <w:semiHidden/>
    <w:qFormat/>
    <w:uiPriority w:val="99"/>
    <w:pPr>
      <w:jc w:val="left"/>
    </w:pPr>
    <w:rPr>
      <w:kern w:val="0"/>
      <w:sz w:val="24"/>
    </w:rPr>
  </w:style>
  <w:style w:type="paragraph" w:styleId="5">
    <w:name w:val="Body Text"/>
    <w:basedOn w:val="1"/>
    <w:link w:val="33"/>
    <w:qFormat/>
    <w:uiPriority w:val="99"/>
    <w:pPr>
      <w:spacing w:after="120"/>
    </w:pPr>
    <w:rPr>
      <w:kern w:val="0"/>
      <w:sz w:val="24"/>
    </w:rPr>
  </w:style>
  <w:style w:type="paragraph" w:styleId="6">
    <w:name w:val="Body Text Indent"/>
    <w:basedOn w:val="1"/>
    <w:link w:val="24"/>
    <w:qFormat/>
    <w:uiPriority w:val="99"/>
    <w:pPr>
      <w:spacing w:after="120"/>
      <w:ind w:left="420" w:leftChars="200"/>
    </w:pPr>
    <w:rPr>
      <w:kern w:val="0"/>
      <w:sz w:val="24"/>
    </w:rPr>
  </w:style>
  <w:style w:type="paragraph" w:styleId="7">
    <w:name w:val="Plain Text"/>
    <w:basedOn w:val="1"/>
    <w:link w:val="23"/>
    <w:qFormat/>
    <w:uiPriority w:val="0"/>
    <w:rPr>
      <w:rFonts w:ascii="宋体" w:hAnsi="Courier New"/>
      <w:kern w:val="0"/>
      <w:szCs w:val="21"/>
    </w:rPr>
  </w:style>
  <w:style w:type="paragraph" w:styleId="8">
    <w:name w:val="Date"/>
    <w:basedOn w:val="1"/>
    <w:next w:val="1"/>
    <w:link w:val="25"/>
    <w:qFormat/>
    <w:uiPriority w:val="99"/>
    <w:pPr>
      <w:ind w:left="100" w:leftChars="2500"/>
    </w:pPr>
    <w:rPr>
      <w:kern w:val="0"/>
      <w:sz w:val="24"/>
    </w:rPr>
  </w:style>
  <w:style w:type="paragraph" w:styleId="9">
    <w:name w:val="Body Text Indent 2"/>
    <w:basedOn w:val="1"/>
    <w:link w:val="27"/>
    <w:qFormat/>
    <w:uiPriority w:val="99"/>
    <w:pPr>
      <w:spacing w:after="120" w:line="480" w:lineRule="auto"/>
      <w:ind w:left="420" w:leftChars="200"/>
    </w:pPr>
    <w:rPr>
      <w:kern w:val="0"/>
      <w:sz w:val="24"/>
    </w:rPr>
  </w:style>
  <w:style w:type="paragraph" w:styleId="10">
    <w:name w:val="Balloon Text"/>
    <w:basedOn w:val="1"/>
    <w:link w:val="32"/>
    <w:semiHidden/>
    <w:qFormat/>
    <w:uiPriority w:val="99"/>
    <w:rPr>
      <w:kern w:val="0"/>
      <w:sz w:val="18"/>
      <w:szCs w:val="18"/>
    </w:rPr>
  </w:style>
  <w:style w:type="paragraph" w:styleId="11">
    <w:name w:val="footer"/>
    <w:basedOn w:val="1"/>
    <w:link w:val="29"/>
    <w:qFormat/>
    <w:uiPriority w:val="99"/>
    <w:pPr>
      <w:tabs>
        <w:tab w:val="center" w:pos="4153"/>
        <w:tab w:val="right" w:pos="8306"/>
      </w:tabs>
      <w:snapToGrid w:val="0"/>
      <w:jc w:val="left"/>
    </w:pPr>
    <w:rPr>
      <w:kern w:val="0"/>
      <w:sz w:val="18"/>
      <w:szCs w:val="18"/>
    </w:rPr>
  </w:style>
  <w:style w:type="paragraph" w:styleId="12">
    <w:name w:val="header"/>
    <w:basedOn w:val="1"/>
    <w:link w:val="28"/>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1"/>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Emphasis"/>
    <w:basedOn w:val="17"/>
    <w:qFormat/>
    <w:locked/>
    <w:uiPriority w:val="20"/>
    <w:rPr>
      <w:i/>
      <w:iCs/>
    </w:rPr>
  </w:style>
  <w:style w:type="character" w:styleId="20">
    <w:name w:val="Hyperlink"/>
    <w:basedOn w:val="17"/>
    <w:unhideWhenUsed/>
    <w:qFormat/>
    <w:uiPriority w:val="99"/>
    <w:rPr>
      <w:color w:val="0000FF" w:themeColor="hyperlink"/>
      <w:u w:val="single"/>
      <w14:textFill>
        <w14:solidFill>
          <w14:schemeClr w14:val="hlink"/>
        </w14:solidFill>
      </w14:textFill>
    </w:rPr>
  </w:style>
  <w:style w:type="character" w:styleId="21">
    <w:name w:val="annotation reference"/>
    <w:basedOn w:val="17"/>
    <w:semiHidden/>
    <w:qFormat/>
    <w:uiPriority w:val="99"/>
    <w:rPr>
      <w:rFonts w:cs="Times New Roman"/>
      <w:sz w:val="21"/>
    </w:rPr>
  </w:style>
  <w:style w:type="character" w:customStyle="1" w:styleId="22">
    <w:name w:val="标题 2 字符"/>
    <w:basedOn w:val="17"/>
    <w:link w:val="3"/>
    <w:qFormat/>
    <w:locked/>
    <w:uiPriority w:val="99"/>
    <w:rPr>
      <w:rFonts w:ascii="Arial" w:hAnsi="Arial" w:eastAsia="黑体" w:cs="Times New Roman"/>
      <w:b/>
      <w:sz w:val="20"/>
    </w:rPr>
  </w:style>
  <w:style w:type="character" w:customStyle="1" w:styleId="23">
    <w:name w:val="纯文本 字符"/>
    <w:basedOn w:val="17"/>
    <w:link w:val="7"/>
    <w:qFormat/>
    <w:locked/>
    <w:uiPriority w:val="99"/>
    <w:rPr>
      <w:rFonts w:ascii="宋体" w:hAnsi="Courier New" w:eastAsia="宋体" w:cs="Times New Roman"/>
      <w:sz w:val="21"/>
    </w:rPr>
  </w:style>
  <w:style w:type="character" w:customStyle="1" w:styleId="24">
    <w:name w:val="正文文本缩进 字符"/>
    <w:basedOn w:val="17"/>
    <w:link w:val="6"/>
    <w:qFormat/>
    <w:locked/>
    <w:uiPriority w:val="99"/>
    <w:rPr>
      <w:rFonts w:ascii="Times New Roman" w:hAnsi="Times New Roman" w:eastAsia="宋体" w:cs="Times New Roman"/>
      <w:sz w:val="24"/>
    </w:rPr>
  </w:style>
  <w:style w:type="character" w:customStyle="1" w:styleId="25">
    <w:name w:val="日期 字符"/>
    <w:basedOn w:val="17"/>
    <w:link w:val="8"/>
    <w:qFormat/>
    <w:locked/>
    <w:uiPriority w:val="99"/>
    <w:rPr>
      <w:rFonts w:ascii="Times New Roman" w:hAnsi="Times New Roman" w:eastAsia="宋体" w:cs="Times New Roman"/>
      <w:sz w:val="24"/>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字符"/>
    <w:basedOn w:val="17"/>
    <w:link w:val="9"/>
    <w:qFormat/>
    <w:locked/>
    <w:uiPriority w:val="99"/>
    <w:rPr>
      <w:rFonts w:ascii="Times New Roman" w:hAnsi="Times New Roman" w:eastAsia="宋体" w:cs="Times New Roman"/>
      <w:sz w:val="24"/>
    </w:rPr>
  </w:style>
  <w:style w:type="character" w:customStyle="1" w:styleId="28">
    <w:name w:val="页眉 字符"/>
    <w:basedOn w:val="17"/>
    <w:link w:val="12"/>
    <w:qFormat/>
    <w:locked/>
    <w:uiPriority w:val="99"/>
    <w:rPr>
      <w:rFonts w:ascii="Times New Roman" w:hAnsi="Times New Roman" w:eastAsia="宋体" w:cs="Times New Roman"/>
      <w:sz w:val="18"/>
    </w:rPr>
  </w:style>
  <w:style w:type="character" w:customStyle="1" w:styleId="29">
    <w:name w:val="页脚 字符"/>
    <w:basedOn w:val="17"/>
    <w:link w:val="11"/>
    <w:qFormat/>
    <w:locked/>
    <w:uiPriority w:val="99"/>
    <w:rPr>
      <w:rFonts w:ascii="Times New Roman" w:hAnsi="Times New Roman" w:eastAsia="宋体" w:cs="Times New Roman"/>
      <w:sz w:val="18"/>
    </w:rPr>
  </w:style>
  <w:style w:type="character" w:customStyle="1" w:styleId="30">
    <w:name w:val="批注文字 字符"/>
    <w:basedOn w:val="17"/>
    <w:link w:val="4"/>
    <w:semiHidden/>
    <w:qFormat/>
    <w:locked/>
    <w:uiPriority w:val="99"/>
    <w:rPr>
      <w:rFonts w:ascii="Times New Roman" w:hAnsi="Times New Roman" w:cs="Times New Roman"/>
      <w:sz w:val="24"/>
    </w:rPr>
  </w:style>
  <w:style w:type="character" w:customStyle="1" w:styleId="31">
    <w:name w:val="批注主题 字符"/>
    <w:basedOn w:val="30"/>
    <w:link w:val="14"/>
    <w:semiHidden/>
    <w:qFormat/>
    <w:locked/>
    <w:uiPriority w:val="99"/>
    <w:rPr>
      <w:rFonts w:ascii="Times New Roman" w:hAnsi="Times New Roman" w:cs="Times New Roman"/>
      <w:b/>
      <w:sz w:val="24"/>
    </w:rPr>
  </w:style>
  <w:style w:type="character" w:customStyle="1" w:styleId="32">
    <w:name w:val="批注框文本 字符"/>
    <w:basedOn w:val="17"/>
    <w:link w:val="10"/>
    <w:semiHidden/>
    <w:qFormat/>
    <w:locked/>
    <w:uiPriority w:val="99"/>
    <w:rPr>
      <w:rFonts w:ascii="Times New Roman" w:hAnsi="Times New Roman" w:cs="Times New Roman"/>
      <w:sz w:val="18"/>
    </w:rPr>
  </w:style>
  <w:style w:type="character" w:customStyle="1" w:styleId="33">
    <w:name w:val="正文文本 字符"/>
    <w:basedOn w:val="17"/>
    <w:link w:val="5"/>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21</Pages>
  <Words>1207</Words>
  <Characters>6886</Characters>
  <Lines>57</Lines>
  <Paragraphs>16</Paragraphs>
  <TotalTime>1</TotalTime>
  <ScaleCrop>false</ScaleCrop>
  <LinksUpToDate>false</LinksUpToDate>
  <CharactersWithSpaces>8077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余华</cp:lastModifiedBy>
  <cp:lastPrinted>2023-11-04T00:06:00Z</cp:lastPrinted>
  <dcterms:modified xsi:type="dcterms:W3CDTF">2025-05-26T01:16:01Z</dcterms:modified>
  <cp:revision>497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22F0249A52D3412E9E86241A6D1C04D9</vt:lpwstr>
  </property>
</Properties>
</file>