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8DC87">
      <w:pPr>
        <w:spacing w:line="800" w:lineRule="exact"/>
        <w:jc w:val="center"/>
        <w:rPr>
          <w:rFonts w:asciiTheme="majorEastAsia" w:hAnsiTheme="majorEastAsia" w:eastAsiaTheme="majorEastAsia"/>
          <w:b/>
          <w:bCs/>
          <w:color w:val="000000" w:themeColor="text1"/>
          <w:spacing w:val="38"/>
          <w:sz w:val="72"/>
          <w:szCs w:val="72"/>
        </w:rPr>
      </w:pPr>
    </w:p>
    <w:p w14:paraId="2B63725D">
      <w:pPr>
        <w:spacing w:line="800" w:lineRule="exact"/>
        <w:jc w:val="center"/>
        <w:rPr>
          <w:rFonts w:asciiTheme="majorEastAsia" w:hAnsiTheme="majorEastAsia" w:eastAsiaTheme="majorEastAsia"/>
          <w:b/>
          <w:bCs/>
          <w:color w:val="000000" w:themeColor="text1"/>
          <w:spacing w:val="38"/>
          <w:sz w:val="72"/>
          <w:szCs w:val="72"/>
        </w:rPr>
      </w:pPr>
    </w:p>
    <w:p w14:paraId="359BCDB7">
      <w:pPr>
        <w:spacing w:line="800" w:lineRule="exact"/>
        <w:jc w:val="center"/>
        <w:rPr>
          <w:rFonts w:asciiTheme="majorEastAsia" w:hAnsiTheme="majorEastAsia" w:eastAsiaTheme="majorEastAsia"/>
          <w:b/>
          <w:bCs/>
          <w:color w:val="000000" w:themeColor="text1"/>
          <w:spacing w:val="38"/>
          <w:sz w:val="72"/>
          <w:szCs w:val="72"/>
        </w:rPr>
      </w:pPr>
      <w:r>
        <w:rPr>
          <w:rFonts w:hint="eastAsia" w:asciiTheme="majorEastAsia" w:hAnsiTheme="majorEastAsia" w:eastAsiaTheme="majorEastAsia"/>
          <w:b/>
          <w:bCs/>
          <w:color w:val="000000" w:themeColor="text1"/>
          <w:spacing w:val="38"/>
          <w:sz w:val="72"/>
          <w:szCs w:val="72"/>
        </w:rPr>
        <w:t>询价文件</w:t>
      </w:r>
    </w:p>
    <w:p w14:paraId="4A505AE7">
      <w:pPr>
        <w:spacing w:line="800" w:lineRule="exact"/>
        <w:ind w:firstLine="2160" w:firstLineChars="600"/>
        <w:rPr>
          <w:rFonts w:asciiTheme="majorEastAsia" w:hAnsiTheme="majorEastAsia" w:eastAsiaTheme="majorEastAsia"/>
          <w:color w:val="000000" w:themeColor="text1"/>
          <w:sz w:val="36"/>
          <w:szCs w:val="36"/>
        </w:rPr>
      </w:pPr>
    </w:p>
    <w:p w14:paraId="60BA0C7B">
      <w:pPr>
        <w:spacing w:line="800" w:lineRule="exact"/>
        <w:ind w:firstLine="1080" w:firstLineChars="300"/>
        <w:rPr>
          <w:rFonts w:hint="eastAsia" w:asciiTheme="majorEastAsia" w:hAnsiTheme="majorEastAsia" w:eastAsiaTheme="majorEastAsia" w:cstheme="majorEastAsia"/>
          <w:b/>
          <w:bCs/>
          <w:color w:val="000000" w:themeColor="text1"/>
          <w:spacing w:val="38"/>
          <w:sz w:val="36"/>
          <w:szCs w:val="36"/>
          <w:lang w:val="en-US" w:eastAsia="zh-CN"/>
        </w:rPr>
      </w:pPr>
      <w:r>
        <w:rPr>
          <w:rFonts w:hint="eastAsia" w:asciiTheme="majorEastAsia" w:hAnsiTheme="majorEastAsia" w:eastAsiaTheme="majorEastAsia" w:cstheme="majorEastAsia"/>
          <w:b/>
          <w:bCs/>
          <w:color w:val="000000" w:themeColor="text1"/>
          <w:sz w:val="36"/>
          <w:szCs w:val="36"/>
        </w:rPr>
        <w:t>项目名称：202</w:t>
      </w:r>
      <w:r>
        <w:rPr>
          <w:rFonts w:hint="eastAsia" w:asciiTheme="majorEastAsia" w:hAnsiTheme="majorEastAsia" w:eastAsiaTheme="majorEastAsia" w:cstheme="majorEastAsia"/>
          <w:b/>
          <w:bCs/>
          <w:color w:val="000000" w:themeColor="text1"/>
          <w:sz w:val="36"/>
          <w:szCs w:val="36"/>
          <w:lang w:val="en-US" w:eastAsia="zh-CN"/>
        </w:rPr>
        <w:t>5</w:t>
      </w:r>
      <w:r>
        <w:rPr>
          <w:rFonts w:hint="eastAsia" w:asciiTheme="majorEastAsia" w:hAnsiTheme="majorEastAsia" w:eastAsiaTheme="majorEastAsia" w:cstheme="majorEastAsia"/>
          <w:b/>
          <w:bCs/>
          <w:color w:val="000000" w:themeColor="text1"/>
          <w:sz w:val="36"/>
          <w:szCs w:val="36"/>
        </w:rPr>
        <w:t>年化工产品年度</w:t>
      </w:r>
      <w:r>
        <w:rPr>
          <w:rFonts w:hint="eastAsia" w:asciiTheme="majorEastAsia" w:hAnsiTheme="majorEastAsia" w:eastAsiaTheme="majorEastAsia" w:cstheme="majorEastAsia"/>
          <w:b/>
          <w:bCs/>
          <w:color w:val="000000" w:themeColor="text1"/>
          <w:sz w:val="36"/>
          <w:szCs w:val="36"/>
          <w:lang w:val="en-US" w:eastAsia="zh-CN"/>
        </w:rPr>
        <w:t>询比价</w:t>
      </w:r>
    </w:p>
    <w:p w14:paraId="1A783ED1">
      <w:pPr>
        <w:spacing w:line="800" w:lineRule="exact"/>
        <w:ind w:firstLine="4776" w:firstLineChars="600"/>
        <w:rPr>
          <w:rFonts w:asciiTheme="majorEastAsia" w:hAnsiTheme="majorEastAsia" w:eastAsiaTheme="majorEastAsia"/>
          <w:b/>
          <w:bCs/>
          <w:color w:val="000000" w:themeColor="text1"/>
          <w:spacing w:val="38"/>
          <w:sz w:val="72"/>
          <w:szCs w:val="72"/>
        </w:rPr>
      </w:pPr>
    </w:p>
    <w:p w14:paraId="1B72ECB9">
      <w:pPr>
        <w:spacing w:line="500" w:lineRule="exact"/>
        <w:rPr>
          <w:rFonts w:asciiTheme="majorEastAsia" w:hAnsiTheme="majorEastAsia" w:eastAsiaTheme="majorEastAsia"/>
          <w:b/>
          <w:bCs/>
          <w:color w:val="000000" w:themeColor="text1"/>
          <w:spacing w:val="38"/>
          <w:sz w:val="72"/>
          <w:szCs w:val="72"/>
        </w:rPr>
      </w:pPr>
    </w:p>
    <w:p w14:paraId="179802CC">
      <w:pPr>
        <w:spacing w:line="500" w:lineRule="exact"/>
        <w:rPr>
          <w:rFonts w:asciiTheme="majorEastAsia" w:hAnsiTheme="majorEastAsia" w:eastAsiaTheme="majorEastAsia"/>
          <w:b/>
          <w:bCs/>
          <w:color w:val="000000" w:themeColor="text1"/>
          <w:spacing w:val="38"/>
          <w:sz w:val="72"/>
          <w:szCs w:val="72"/>
        </w:rPr>
      </w:pPr>
    </w:p>
    <w:p w14:paraId="39E83286">
      <w:pPr>
        <w:spacing w:line="500" w:lineRule="exact"/>
        <w:rPr>
          <w:rFonts w:asciiTheme="majorEastAsia" w:hAnsiTheme="majorEastAsia" w:eastAsiaTheme="majorEastAsia"/>
          <w:b/>
          <w:bCs/>
          <w:color w:val="000000" w:themeColor="text1"/>
          <w:spacing w:val="38"/>
          <w:sz w:val="72"/>
          <w:szCs w:val="72"/>
        </w:rPr>
      </w:pPr>
    </w:p>
    <w:p w14:paraId="21C54B87">
      <w:pPr>
        <w:spacing w:line="500" w:lineRule="exact"/>
        <w:rPr>
          <w:rFonts w:asciiTheme="majorEastAsia" w:hAnsiTheme="majorEastAsia" w:eastAsiaTheme="majorEastAsia"/>
          <w:b/>
          <w:bCs/>
          <w:color w:val="000000" w:themeColor="text1"/>
          <w:spacing w:val="38"/>
          <w:sz w:val="72"/>
          <w:szCs w:val="72"/>
        </w:rPr>
      </w:pPr>
    </w:p>
    <w:p w14:paraId="6E07852D">
      <w:pPr>
        <w:spacing w:line="500" w:lineRule="exact"/>
        <w:rPr>
          <w:rFonts w:asciiTheme="majorEastAsia" w:hAnsiTheme="majorEastAsia" w:eastAsiaTheme="majorEastAsia"/>
          <w:b/>
          <w:bCs/>
          <w:color w:val="000000" w:themeColor="text1"/>
          <w:spacing w:val="38"/>
          <w:sz w:val="72"/>
          <w:szCs w:val="72"/>
        </w:rPr>
      </w:pPr>
    </w:p>
    <w:p w14:paraId="72A8CAFA">
      <w:pPr>
        <w:spacing w:line="500" w:lineRule="exact"/>
        <w:rPr>
          <w:rFonts w:asciiTheme="majorEastAsia" w:hAnsiTheme="majorEastAsia" w:eastAsiaTheme="majorEastAsia"/>
          <w:b/>
          <w:bCs/>
          <w:color w:val="000000" w:themeColor="text1"/>
          <w:spacing w:val="38"/>
          <w:sz w:val="72"/>
          <w:szCs w:val="72"/>
        </w:rPr>
      </w:pPr>
    </w:p>
    <w:p w14:paraId="4E5C979C">
      <w:pPr>
        <w:spacing w:line="500" w:lineRule="exact"/>
        <w:rPr>
          <w:rFonts w:asciiTheme="majorEastAsia" w:hAnsiTheme="majorEastAsia" w:eastAsiaTheme="majorEastAsia"/>
          <w:b/>
          <w:bCs/>
          <w:color w:val="000000" w:themeColor="text1"/>
          <w:spacing w:val="38"/>
          <w:sz w:val="72"/>
          <w:szCs w:val="72"/>
        </w:rPr>
      </w:pPr>
    </w:p>
    <w:p w14:paraId="56347CE9">
      <w:pPr>
        <w:spacing w:line="500" w:lineRule="exact"/>
        <w:rPr>
          <w:rFonts w:asciiTheme="majorEastAsia" w:hAnsiTheme="majorEastAsia" w:eastAsiaTheme="majorEastAsia"/>
          <w:b/>
          <w:bCs/>
          <w:color w:val="000000" w:themeColor="text1"/>
          <w:spacing w:val="38"/>
          <w:sz w:val="72"/>
          <w:szCs w:val="72"/>
        </w:rPr>
      </w:pPr>
    </w:p>
    <w:p w14:paraId="43E645C2">
      <w:pPr>
        <w:spacing w:line="500" w:lineRule="exact"/>
        <w:rPr>
          <w:rFonts w:asciiTheme="majorEastAsia" w:hAnsiTheme="majorEastAsia" w:eastAsiaTheme="majorEastAsia"/>
          <w:b/>
          <w:bCs/>
          <w:color w:val="000000" w:themeColor="text1"/>
          <w:spacing w:val="38"/>
          <w:sz w:val="72"/>
          <w:szCs w:val="72"/>
        </w:rPr>
      </w:pPr>
    </w:p>
    <w:p w14:paraId="11E11C74">
      <w:pPr>
        <w:spacing w:line="500" w:lineRule="exact"/>
        <w:rPr>
          <w:rFonts w:asciiTheme="majorEastAsia" w:hAnsiTheme="majorEastAsia" w:eastAsiaTheme="majorEastAsia"/>
          <w:b/>
          <w:bCs/>
          <w:color w:val="000000" w:themeColor="text1"/>
          <w:spacing w:val="38"/>
          <w:sz w:val="72"/>
          <w:szCs w:val="72"/>
        </w:rPr>
      </w:pPr>
    </w:p>
    <w:p w14:paraId="6DA8A11C">
      <w:pPr>
        <w:spacing w:line="500" w:lineRule="exact"/>
        <w:rPr>
          <w:rFonts w:asciiTheme="majorEastAsia" w:hAnsiTheme="majorEastAsia" w:eastAsiaTheme="majorEastAsia"/>
          <w:b/>
          <w:bCs/>
          <w:color w:val="000000" w:themeColor="text1"/>
          <w:spacing w:val="38"/>
          <w:sz w:val="72"/>
          <w:szCs w:val="72"/>
        </w:rPr>
      </w:pPr>
    </w:p>
    <w:p w14:paraId="5610DEAA">
      <w:pPr>
        <w:spacing w:line="500" w:lineRule="exact"/>
        <w:rPr>
          <w:rFonts w:asciiTheme="majorEastAsia" w:hAnsiTheme="majorEastAsia" w:eastAsiaTheme="majorEastAsia"/>
          <w:b/>
          <w:bCs/>
          <w:color w:val="000000" w:themeColor="text1"/>
          <w:spacing w:val="38"/>
          <w:sz w:val="72"/>
          <w:szCs w:val="72"/>
        </w:rPr>
      </w:pPr>
    </w:p>
    <w:p w14:paraId="15F1192E">
      <w:pPr>
        <w:spacing w:line="500" w:lineRule="exact"/>
        <w:rPr>
          <w:rFonts w:asciiTheme="majorEastAsia" w:hAnsiTheme="majorEastAsia" w:eastAsiaTheme="majorEastAsia"/>
          <w:b/>
          <w:bCs/>
          <w:color w:val="000000" w:themeColor="text1"/>
          <w:spacing w:val="38"/>
          <w:sz w:val="72"/>
          <w:szCs w:val="72"/>
        </w:rPr>
      </w:pPr>
    </w:p>
    <w:p w14:paraId="5BB446F0">
      <w:pPr>
        <w:spacing w:line="500" w:lineRule="exact"/>
        <w:rPr>
          <w:rFonts w:asciiTheme="majorEastAsia" w:hAnsiTheme="majorEastAsia" w:eastAsiaTheme="majorEastAsia"/>
          <w:b/>
          <w:bCs/>
          <w:color w:val="000000" w:themeColor="text1"/>
          <w:spacing w:val="38"/>
          <w:sz w:val="72"/>
          <w:szCs w:val="72"/>
        </w:rPr>
      </w:pPr>
    </w:p>
    <w:p w14:paraId="67C3033D">
      <w:pPr>
        <w:spacing w:line="500" w:lineRule="exact"/>
        <w:jc w:val="center"/>
        <w:rPr>
          <w:rFonts w:asciiTheme="majorEastAsia" w:hAnsiTheme="majorEastAsia" w:eastAsiaTheme="majorEastAsia"/>
          <w:color w:val="000000" w:themeColor="text1"/>
          <w:sz w:val="44"/>
          <w:szCs w:val="44"/>
        </w:rPr>
      </w:pPr>
      <w:r>
        <w:rPr>
          <w:rFonts w:asciiTheme="majorEastAsia" w:hAnsiTheme="majorEastAsia" w:eastAsiaTheme="majorEastAsia"/>
          <w:color w:val="000000" w:themeColor="text1"/>
          <w:sz w:val="44"/>
          <w:szCs w:val="44"/>
        </w:rPr>
        <w:t>成都光明派特贵金属有限公司</w:t>
      </w:r>
    </w:p>
    <w:p w14:paraId="424887FB">
      <w:pPr>
        <w:spacing w:line="500" w:lineRule="exact"/>
        <w:jc w:val="center"/>
        <w:rPr>
          <w:rFonts w:asciiTheme="majorEastAsia" w:hAnsiTheme="majorEastAsia" w:eastAsiaTheme="majorEastAsia"/>
          <w:color w:val="000000" w:themeColor="text1"/>
          <w:sz w:val="30"/>
          <w:szCs w:val="30"/>
        </w:rPr>
      </w:pPr>
    </w:p>
    <w:p w14:paraId="716FAF12">
      <w:pPr>
        <w:spacing w:line="500" w:lineRule="exact"/>
        <w:jc w:val="center"/>
        <w:rPr>
          <w:rFonts w:asciiTheme="majorEastAsia" w:hAnsiTheme="majorEastAsia" w:eastAsiaTheme="majorEastAsia"/>
          <w:color w:val="000000" w:themeColor="text1"/>
          <w:sz w:val="30"/>
          <w:szCs w:val="30"/>
        </w:rPr>
      </w:pPr>
      <w:r>
        <w:rPr>
          <w:rFonts w:hint="eastAsia" w:asciiTheme="majorEastAsia" w:hAnsiTheme="majorEastAsia" w:eastAsiaTheme="majorEastAsia"/>
          <w:color w:val="000000" w:themeColor="text1"/>
          <w:sz w:val="30"/>
          <w:szCs w:val="30"/>
        </w:rPr>
        <w:t>二○二</w:t>
      </w:r>
      <w:r>
        <w:rPr>
          <w:rFonts w:hint="eastAsia" w:asciiTheme="majorEastAsia" w:hAnsiTheme="majorEastAsia" w:eastAsiaTheme="majorEastAsia"/>
          <w:color w:val="000000" w:themeColor="text1"/>
          <w:sz w:val="30"/>
          <w:szCs w:val="30"/>
          <w:lang w:val="en-US" w:eastAsia="zh-CN"/>
        </w:rPr>
        <w:t>五</w:t>
      </w:r>
      <w:r>
        <w:rPr>
          <w:rFonts w:hint="eastAsia" w:asciiTheme="majorEastAsia" w:hAnsiTheme="majorEastAsia" w:eastAsiaTheme="majorEastAsia"/>
          <w:color w:val="000000" w:themeColor="text1"/>
          <w:sz w:val="30"/>
          <w:szCs w:val="30"/>
        </w:rPr>
        <w:t>年</w:t>
      </w:r>
      <w:r>
        <w:rPr>
          <w:rFonts w:hint="eastAsia" w:asciiTheme="majorEastAsia" w:hAnsiTheme="majorEastAsia" w:eastAsiaTheme="majorEastAsia"/>
          <w:color w:val="000000" w:themeColor="text1"/>
          <w:sz w:val="30"/>
          <w:szCs w:val="30"/>
          <w:lang w:val="en-US" w:eastAsia="zh-CN"/>
        </w:rPr>
        <w:t>五</w:t>
      </w:r>
      <w:r>
        <w:rPr>
          <w:rFonts w:hint="eastAsia" w:asciiTheme="majorEastAsia" w:hAnsiTheme="majorEastAsia" w:eastAsiaTheme="majorEastAsia"/>
          <w:color w:val="000000" w:themeColor="text1"/>
          <w:sz w:val="30"/>
          <w:szCs w:val="30"/>
        </w:rPr>
        <w:t>月</w:t>
      </w:r>
    </w:p>
    <w:p w14:paraId="26D07090">
      <w:pPr>
        <w:spacing w:line="500" w:lineRule="exact"/>
        <w:jc w:val="center"/>
        <w:rPr>
          <w:rFonts w:asciiTheme="majorEastAsia" w:hAnsiTheme="majorEastAsia" w:eastAsiaTheme="majorEastAsia"/>
          <w:color w:val="000000" w:themeColor="text1"/>
          <w:sz w:val="36"/>
          <w:szCs w:val="36"/>
        </w:rPr>
      </w:pPr>
    </w:p>
    <w:sdt>
      <w:sdtPr>
        <w:rPr>
          <w:rFonts w:ascii="宋体" w:hAnsi="宋体"/>
          <w:b/>
          <w:bCs/>
          <w:sz w:val="48"/>
          <w:szCs w:val="48"/>
        </w:rPr>
        <w:id w:val="147482471"/>
        <w:docPartObj>
          <w:docPartGallery w:val="Table of Contents"/>
          <w:docPartUnique/>
        </w:docPartObj>
      </w:sdtPr>
      <w:sdtEndPr>
        <w:rPr>
          <w:rFonts w:asciiTheme="majorEastAsia" w:hAnsiTheme="majorEastAsia" w:eastAsiaTheme="majorEastAsia"/>
          <w:b/>
          <w:bCs/>
          <w:color w:val="000000" w:themeColor="text1"/>
          <w:sz w:val="21"/>
          <w:szCs w:val="24"/>
        </w:rPr>
      </w:sdtEndPr>
      <w:sdtContent>
        <w:p w14:paraId="124BAD0A">
          <w:pPr>
            <w:jc w:val="center"/>
            <w:rPr>
              <w:b/>
              <w:bCs/>
              <w:sz w:val="48"/>
              <w:szCs w:val="48"/>
            </w:rPr>
          </w:pPr>
          <w:r>
            <w:rPr>
              <w:rFonts w:ascii="宋体" w:hAnsi="宋体"/>
              <w:b/>
              <w:bCs/>
              <w:sz w:val="48"/>
              <w:szCs w:val="48"/>
            </w:rPr>
            <w:t>目</w:t>
          </w:r>
          <w:r>
            <w:rPr>
              <w:rFonts w:hint="eastAsia" w:ascii="宋体" w:hAnsi="宋体"/>
              <w:b/>
              <w:bCs/>
              <w:sz w:val="48"/>
              <w:szCs w:val="48"/>
            </w:rPr>
            <w:t xml:space="preserve"> </w:t>
          </w:r>
          <w:r>
            <w:rPr>
              <w:rFonts w:ascii="宋体" w:hAnsi="宋体"/>
              <w:b/>
              <w:bCs/>
              <w:sz w:val="48"/>
              <w:szCs w:val="48"/>
            </w:rPr>
            <w:t>录</w:t>
          </w:r>
        </w:p>
        <w:p w14:paraId="443AFF03">
          <w:pPr>
            <w:pStyle w:val="13"/>
            <w:tabs>
              <w:tab w:val="right" w:leader="dot" w:pos="9746"/>
            </w:tabs>
            <w:rPr>
              <w:sz w:val="36"/>
              <w:szCs w:val="36"/>
            </w:rPr>
          </w:pPr>
          <w:r>
            <w:rPr>
              <w:rFonts w:asciiTheme="majorEastAsia" w:hAnsiTheme="majorEastAsia" w:eastAsiaTheme="majorEastAsia"/>
              <w:color w:val="000000" w:themeColor="text1"/>
              <w:sz w:val="36"/>
              <w:szCs w:val="36"/>
            </w:rPr>
            <w:fldChar w:fldCharType="begin"/>
          </w:r>
          <w:r>
            <w:rPr>
              <w:rFonts w:asciiTheme="majorEastAsia" w:hAnsiTheme="majorEastAsia" w:eastAsiaTheme="majorEastAsia"/>
              <w:color w:val="000000" w:themeColor="text1"/>
              <w:sz w:val="36"/>
              <w:szCs w:val="36"/>
            </w:rPr>
            <w:instrText xml:space="preserve">TOC \o "1-1" \h \u </w:instrText>
          </w:r>
          <w:r>
            <w:rPr>
              <w:rFonts w:asciiTheme="majorEastAsia" w:hAnsiTheme="majorEastAsia" w:eastAsiaTheme="majorEastAsia"/>
              <w:color w:val="000000" w:themeColor="text1"/>
              <w:sz w:val="36"/>
              <w:szCs w:val="36"/>
            </w:rPr>
            <w:fldChar w:fldCharType="separate"/>
          </w:r>
          <w:r>
            <w:fldChar w:fldCharType="begin"/>
          </w:r>
          <w:r>
            <w:instrText xml:space="preserve"> HYPERLINK \l "_Toc16641" </w:instrText>
          </w:r>
          <w:r>
            <w:fldChar w:fldCharType="separate"/>
          </w:r>
          <w:r>
            <w:rPr>
              <w:rFonts w:hint="eastAsia"/>
              <w:sz w:val="36"/>
              <w:szCs w:val="36"/>
            </w:rPr>
            <w:t>第一部分</w:t>
          </w:r>
          <w:r>
            <w:rPr>
              <w:sz w:val="36"/>
              <w:szCs w:val="36"/>
            </w:rPr>
            <w:t xml:space="preserve">  </w:t>
          </w:r>
          <w:r>
            <w:rPr>
              <w:rFonts w:hint="eastAsia"/>
              <w:sz w:val="36"/>
              <w:szCs w:val="36"/>
            </w:rPr>
            <w:t>询价比价邀请函</w:t>
          </w:r>
          <w:r>
            <w:rPr>
              <w:sz w:val="36"/>
              <w:szCs w:val="36"/>
            </w:rPr>
            <w:tab/>
          </w:r>
          <w:r>
            <w:rPr>
              <w:sz w:val="36"/>
              <w:szCs w:val="36"/>
            </w:rPr>
            <w:fldChar w:fldCharType="begin"/>
          </w:r>
          <w:r>
            <w:rPr>
              <w:sz w:val="36"/>
              <w:szCs w:val="36"/>
            </w:rPr>
            <w:instrText xml:space="preserve"> PAGEREF _Toc16641 \h </w:instrText>
          </w:r>
          <w:r>
            <w:rPr>
              <w:sz w:val="36"/>
              <w:szCs w:val="36"/>
            </w:rPr>
            <w:fldChar w:fldCharType="separate"/>
          </w:r>
          <w:r>
            <w:rPr>
              <w:sz w:val="36"/>
              <w:szCs w:val="36"/>
            </w:rPr>
            <w:t>3</w:t>
          </w:r>
          <w:r>
            <w:rPr>
              <w:sz w:val="36"/>
              <w:szCs w:val="36"/>
            </w:rPr>
            <w:fldChar w:fldCharType="end"/>
          </w:r>
          <w:r>
            <w:rPr>
              <w:sz w:val="36"/>
              <w:szCs w:val="36"/>
            </w:rPr>
            <w:fldChar w:fldCharType="end"/>
          </w:r>
        </w:p>
        <w:p w14:paraId="755C44A7">
          <w:pPr>
            <w:pStyle w:val="13"/>
            <w:tabs>
              <w:tab w:val="right" w:leader="dot" w:pos="9746"/>
            </w:tabs>
            <w:rPr>
              <w:sz w:val="36"/>
              <w:szCs w:val="36"/>
            </w:rPr>
          </w:pPr>
          <w:r>
            <w:fldChar w:fldCharType="begin"/>
          </w:r>
          <w:r>
            <w:instrText xml:space="preserve"> HYPERLINK \l "_Toc15283" </w:instrText>
          </w:r>
          <w:r>
            <w:fldChar w:fldCharType="separate"/>
          </w:r>
          <w:r>
            <w:rPr>
              <w:rFonts w:hint="eastAsia"/>
              <w:sz w:val="36"/>
              <w:szCs w:val="36"/>
            </w:rPr>
            <w:t>第二部分  供应商须知</w:t>
          </w:r>
          <w:r>
            <w:rPr>
              <w:sz w:val="36"/>
              <w:szCs w:val="36"/>
            </w:rPr>
            <w:tab/>
          </w:r>
          <w:r>
            <w:rPr>
              <w:sz w:val="36"/>
              <w:szCs w:val="36"/>
            </w:rPr>
            <w:fldChar w:fldCharType="begin"/>
          </w:r>
          <w:r>
            <w:rPr>
              <w:sz w:val="36"/>
              <w:szCs w:val="36"/>
            </w:rPr>
            <w:instrText xml:space="preserve"> PAGEREF _Toc15283 \h </w:instrText>
          </w:r>
          <w:r>
            <w:rPr>
              <w:sz w:val="36"/>
              <w:szCs w:val="36"/>
            </w:rPr>
            <w:fldChar w:fldCharType="separate"/>
          </w:r>
          <w:r>
            <w:rPr>
              <w:sz w:val="36"/>
              <w:szCs w:val="36"/>
            </w:rPr>
            <w:t>4</w:t>
          </w:r>
          <w:r>
            <w:rPr>
              <w:sz w:val="36"/>
              <w:szCs w:val="36"/>
            </w:rPr>
            <w:fldChar w:fldCharType="end"/>
          </w:r>
          <w:r>
            <w:rPr>
              <w:sz w:val="36"/>
              <w:szCs w:val="36"/>
            </w:rPr>
            <w:fldChar w:fldCharType="end"/>
          </w:r>
        </w:p>
        <w:p w14:paraId="7B2A18D6">
          <w:pPr>
            <w:pStyle w:val="13"/>
            <w:tabs>
              <w:tab w:val="right" w:leader="dot" w:pos="9746"/>
            </w:tabs>
            <w:rPr>
              <w:sz w:val="36"/>
              <w:szCs w:val="36"/>
            </w:rPr>
          </w:pPr>
          <w:r>
            <w:fldChar w:fldCharType="begin"/>
          </w:r>
          <w:r>
            <w:instrText xml:space="preserve"> HYPERLINK \l "_Toc17598" </w:instrText>
          </w:r>
          <w:r>
            <w:fldChar w:fldCharType="separate"/>
          </w:r>
          <w:r>
            <w:rPr>
              <w:rFonts w:hint="eastAsia"/>
              <w:sz w:val="36"/>
              <w:szCs w:val="36"/>
            </w:rPr>
            <w:t>第三部分  供应商要求</w:t>
          </w:r>
          <w:r>
            <w:rPr>
              <w:sz w:val="36"/>
              <w:szCs w:val="36"/>
            </w:rPr>
            <w:tab/>
          </w:r>
          <w:r>
            <w:rPr>
              <w:sz w:val="36"/>
              <w:szCs w:val="36"/>
            </w:rPr>
            <w:fldChar w:fldCharType="begin"/>
          </w:r>
          <w:r>
            <w:rPr>
              <w:sz w:val="36"/>
              <w:szCs w:val="36"/>
            </w:rPr>
            <w:instrText xml:space="preserve"> PAGEREF _Toc17598 \h </w:instrText>
          </w:r>
          <w:r>
            <w:rPr>
              <w:sz w:val="36"/>
              <w:szCs w:val="36"/>
            </w:rPr>
            <w:fldChar w:fldCharType="separate"/>
          </w:r>
          <w:r>
            <w:rPr>
              <w:sz w:val="36"/>
              <w:szCs w:val="36"/>
            </w:rPr>
            <w:t>8</w:t>
          </w:r>
          <w:r>
            <w:rPr>
              <w:sz w:val="36"/>
              <w:szCs w:val="36"/>
            </w:rPr>
            <w:fldChar w:fldCharType="end"/>
          </w:r>
          <w:r>
            <w:rPr>
              <w:sz w:val="36"/>
              <w:szCs w:val="36"/>
            </w:rPr>
            <w:fldChar w:fldCharType="end"/>
          </w:r>
        </w:p>
        <w:p w14:paraId="31238F2B">
          <w:pPr>
            <w:pStyle w:val="13"/>
            <w:tabs>
              <w:tab w:val="right" w:leader="dot" w:pos="9746"/>
            </w:tabs>
            <w:rPr>
              <w:sz w:val="36"/>
              <w:szCs w:val="36"/>
            </w:rPr>
          </w:pPr>
          <w:r>
            <w:fldChar w:fldCharType="begin"/>
          </w:r>
          <w:r>
            <w:instrText xml:space="preserve"> HYPERLINK \l "_Toc5286" </w:instrText>
          </w:r>
          <w:r>
            <w:fldChar w:fldCharType="separate"/>
          </w:r>
          <w:r>
            <w:rPr>
              <w:rFonts w:hint="eastAsia"/>
              <w:sz w:val="36"/>
              <w:szCs w:val="36"/>
            </w:rPr>
            <w:t>第四部分  合同条款</w:t>
          </w:r>
          <w:r>
            <w:rPr>
              <w:sz w:val="36"/>
              <w:szCs w:val="36"/>
            </w:rPr>
            <w:tab/>
          </w:r>
          <w:r>
            <w:rPr>
              <w:sz w:val="36"/>
              <w:szCs w:val="36"/>
            </w:rPr>
            <w:fldChar w:fldCharType="begin"/>
          </w:r>
          <w:r>
            <w:rPr>
              <w:sz w:val="36"/>
              <w:szCs w:val="36"/>
            </w:rPr>
            <w:instrText xml:space="preserve"> PAGEREF _Toc5286 \h </w:instrText>
          </w:r>
          <w:r>
            <w:rPr>
              <w:sz w:val="36"/>
              <w:szCs w:val="36"/>
            </w:rPr>
            <w:fldChar w:fldCharType="separate"/>
          </w:r>
          <w:r>
            <w:rPr>
              <w:sz w:val="36"/>
              <w:szCs w:val="36"/>
            </w:rPr>
            <w:t>10</w:t>
          </w:r>
          <w:r>
            <w:rPr>
              <w:sz w:val="36"/>
              <w:szCs w:val="36"/>
            </w:rPr>
            <w:fldChar w:fldCharType="end"/>
          </w:r>
          <w:r>
            <w:rPr>
              <w:sz w:val="36"/>
              <w:szCs w:val="36"/>
            </w:rPr>
            <w:fldChar w:fldCharType="end"/>
          </w:r>
        </w:p>
        <w:p w14:paraId="03B94531">
          <w:pPr>
            <w:rPr>
              <w:rFonts w:asciiTheme="majorEastAsia" w:hAnsiTheme="majorEastAsia" w:eastAsiaTheme="majorEastAsia"/>
              <w:color w:val="000000" w:themeColor="text1"/>
              <w:sz w:val="20"/>
            </w:rPr>
          </w:pPr>
          <w:r>
            <w:rPr>
              <w:rFonts w:asciiTheme="majorEastAsia" w:hAnsiTheme="majorEastAsia" w:eastAsiaTheme="majorEastAsia"/>
              <w:color w:val="000000" w:themeColor="text1"/>
              <w:sz w:val="36"/>
              <w:szCs w:val="36"/>
            </w:rPr>
            <w:fldChar w:fldCharType="end"/>
          </w:r>
        </w:p>
      </w:sdtContent>
    </w:sdt>
    <w:p w14:paraId="79AEAD70">
      <w:pPr>
        <w:rPr>
          <w:rFonts w:asciiTheme="majorEastAsia" w:hAnsiTheme="majorEastAsia" w:eastAsiaTheme="majorEastAsia"/>
          <w:color w:val="000000" w:themeColor="text1"/>
          <w:sz w:val="20"/>
        </w:rPr>
      </w:pPr>
    </w:p>
    <w:p w14:paraId="38A43CC3">
      <w:pPr>
        <w:rPr>
          <w:rFonts w:asciiTheme="majorEastAsia" w:hAnsiTheme="majorEastAsia" w:eastAsiaTheme="majorEastAsia"/>
          <w:color w:val="000000" w:themeColor="text1"/>
          <w:sz w:val="20"/>
        </w:rPr>
      </w:pPr>
    </w:p>
    <w:p w14:paraId="64CF1C7B">
      <w:pPr>
        <w:rPr>
          <w:rFonts w:asciiTheme="majorEastAsia" w:hAnsiTheme="majorEastAsia" w:eastAsiaTheme="majorEastAsia"/>
          <w:color w:val="000000" w:themeColor="text1"/>
          <w:sz w:val="20"/>
        </w:rPr>
      </w:pPr>
    </w:p>
    <w:p w14:paraId="58018E92">
      <w:pPr>
        <w:rPr>
          <w:rFonts w:asciiTheme="majorEastAsia" w:hAnsiTheme="majorEastAsia" w:eastAsiaTheme="majorEastAsia"/>
          <w:color w:val="000000" w:themeColor="text1"/>
          <w:sz w:val="20"/>
        </w:rPr>
      </w:pPr>
    </w:p>
    <w:p w14:paraId="5B768EA4">
      <w:pPr>
        <w:rPr>
          <w:rFonts w:asciiTheme="majorEastAsia" w:hAnsiTheme="majorEastAsia" w:eastAsiaTheme="majorEastAsia"/>
          <w:color w:val="000000" w:themeColor="text1"/>
          <w:sz w:val="20"/>
        </w:rPr>
      </w:pPr>
    </w:p>
    <w:p w14:paraId="4623A764">
      <w:pPr>
        <w:rPr>
          <w:rFonts w:asciiTheme="majorEastAsia" w:hAnsiTheme="majorEastAsia" w:eastAsiaTheme="majorEastAsia"/>
          <w:color w:val="000000" w:themeColor="text1"/>
          <w:sz w:val="20"/>
        </w:rPr>
      </w:pPr>
    </w:p>
    <w:p w14:paraId="201EBFB9">
      <w:pPr>
        <w:rPr>
          <w:rFonts w:asciiTheme="majorEastAsia" w:hAnsiTheme="majorEastAsia" w:eastAsiaTheme="majorEastAsia"/>
          <w:color w:val="000000" w:themeColor="text1"/>
          <w:sz w:val="20"/>
        </w:rPr>
      </w:pPr>
    </w:p>
    <w:p w14:paraId="44DDB3A0">
      <w:pPr>
        <w:rPr>
          <w:rFonts w:asciiTheme="majorEastAsia" w:hAnsiTheme="majorEastAsia" w:eastAsiaTheme="majorEastAsia"/>
          <w:color w:val="000000" w:themeColor="text1"/>
          <w:sz w:val="20"/>
        </w:rPr>
      </w:pPr>
    </w:p>
    <w:p w14:paraId="3AB0538E">
      <w:pPr>
        <w:rPr>
          <w:rFonts w:asciiTheme="majorEastAsia" w:hAnsiTheme="majorEastAsia" w:eastAsiaTheme="majorEastAsia"/>
          <w:color w:val="000000" w:themeColor="text1"/>
          <w:sz w:val="20"/>
        </w:rPr>
      </w:pPr>
    </w:p>
    <w:p w14:paraId="667C3A60">
      <w:pPr>
        <w:rPr>
          <w:rFonts w:asciiTheme="majorEastAsia" w:hAnsiTheme="majorEastAsia" w:eastAsiaTheme="majorEastAsia"/>
          <w:color w:val="000000" w:themeColor="text1"/>
          <w:sz w:val="20"/>
        </w:rPr>
      </w:pPr>
    </w:p>
    <w:p w14:paraId="7F49E125">
      <w:pPr>
        <w:rPr>
          <w:rFonts w:asciiTheme="majorEastAsia" w:hAnsiTheme="majorEastAsia" w:eastAsiaTheme="majorEastAsia"/>
          <w:color w:val="000000" w:themeColor="text1"/>
          <w:sz w:val="20"/>
        </w:rPr>
      </w:pPr>
    </w:p>
    <w:p w14:paraId="6C3D19DC">
      <w:pPr>
        <w:rPr>
          <w:rFonts w:asciiTheme="majorEastAsia" w:hAnsiTheme="majorEastAsia" w:eastAsiaTheme="majorEastAsia"/>
          <w:color w:val="000000" w:themeColor="text1"/>
          <w:sz w:val="20"/>
        </w:rPr>
      </w:pPr>
    </w:p>
    <w:p w14:paraId="5C9C9A2C">
      <w:pPr>
        <w:rPr>
          <w:rFonts w:asciiTheme="majorEastAsia" w:hAnsiTheme="majorEastAsia" w:eastAsiaTheme="majorEastAsia"/>
          <w:color w:val="000000" w:themeColor="text1"/>
          <w:sz w:val="20"/>
        </w:rPr>
      </w:pPr>
    </w:p>
    <w:p w14:paraId="5ADB148F">
      <w:pPr>
        <w:rPr>
          <w:rFonts w:asciiTheme="majorEastAsia" w:hAnsiTheme="majorEastAsia" w:eastAsiaTheme="majorEastAsia"/>
          <w:color w:val="000000" w:themeColor="text1"/>
          <w:sz w:val="20"/>
        </w:rPr>
      </w:pPr>
    </w:p>
    <w:p w14:paraId="28A4D86C">
      <w:pPr>
        <w:rPr>
          <w:rFonts w:asciiTheme="majorEastAsia" w:hAnsiTheme="majorEastAsia" w:eastAsiaTheme="majorEastAsia"/>
          <w:color w:val="000000" w:themeColor="text1"/>
          <w:sz w:val="20"/>
        </w:rPr>
      </w:pPr>
      <w:r>
        <w:rPr>
          <w:rFonts w:asciiTheme="majorEastAsia" w:hAnsiTheme="majorEastAsia" w:eastAsiaTheme="majorEastAsia"/>
          <w:color w:val="000000" w:themeColor="text1"/>
          <w:sz w:val="20"/>
        </w:rPr>
        <w:br w:type="page"/>
      </w:r>
    </w:p>
    <w:p w14:paraId="44C350FE">
      <w:pPr>
        <w:pStyle w:val="2"/>
        <w:jc w:val="center"/>
        <w:rPr>
          <w:sz w:val="30"/>
          <w:szCs w:val="30"/>
        </w:rPr>
      </w:pPr>
      <w:bookmarkStart w:id="0" w:name="_Toc16641"/>
      <w:r>
        <w:rPr>
          <w:rFonts w:hint="eastAsia"/>
          <w:sz w:val="30"/>
          <w:szCs w:val="30"/>
        </w:rPr>
        <w:t>第一部分</w:t>
      </w:r>
      <w:r>
        <w:rPr>
          <w:sz w:val="30"/>
          <w:szCs w:val="30"/>
        </w:rPr>
        <w:t xml:space="preserve">  </w:t>
      </w:r>
      <w:r>
        <w:rPr>
          <w:rFonts w:hint="eastAsia"/>
          <w:sz w:val="30"/>
          <w:szCs w:val="30"/>
        </w:rPr>
        <w:t>询价比价邀请函</w:t>
      </w:r>
      <w:bookmarkEnd w:id="0"/>
    </w:p>
    <w:p w14:paraId="74278DA5">
      <w:pPr>
        <w:spacing w:line="460" w:lineRule="exact"/>
        <w:rPr>
          <w:rFonts w:asciiTheme="majorEastAsia" w:hAnsiTheme="majorEastAsia" w:eastAsiaTheme="majorEastAsia"/>
          <w:b/>
          <w:bCs/>
          <w:color w:val="000000" w:themeColor="text1"/>
          <w:sz w:val="24"/>
        </w:rPr>
      </w:pPr>
      <w:r>
        <w:rPr>
          <w:rFonts w:hint="eastAsia" w:asciiTheme="majorEastAsia" w:hAnsiTheme="majorEastAsia" w:eastAsiaTheme="majorEastAsia"/>
          <w:b/>
          <w:bCs/>
          <w:color w:val="000000" w:themeColor="text1"/>
          <w:sz w:val="24"/>
        </w:rPr>
        <w:t>各供应商：</w:t>
      </w:r>
    </w:p>
    <w:p w14:paraId="6591A89D">
      <w:pPr>
        <w:spacing w:line="408" w:lineRule="auto"/>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成都光明派特贵金属有限公司决定对生产所需化工产品面向社会比选。本公司本着“公开、公平、公正”的原则和“互利共赢、共同发展”的理念，热忱欢迎有意愿与公司合作的潜在供应商，积极参与报价、供货，并按照我司要求提供样品、试用验证等流程，待产品评审合格后，进入公司合格供应商体系。</w:t>
      </w:r>
    </w:p>
    <w:p w14:paraId="5277B73D">
      <w:pPr>
        <w:spacing w:line="460" w:lineRule="exact"/>
        <w:ind w:firstLine="480" w:firstLineChars="200"/>
        <w:rPr>
          <w:rFonts w:asciiTheme="majorEastAsia" w:hAnsiTheme="majorEastAsia" w:eastAsiaTheme="majorEastAsia"/>
          <w:b/>
          <w:color w:val="000000" w:themeColor="text1"/>
          <w:sz w:val="24"/>
        </w:rPr>
      </w:pPr>
      <w:r>
        <w:rPr>
          <w:rFonts w:hint="eastAsia" w:asciiTheme="majorEastAsia" w:hAnsiTheme="majorEastAsia" w:eastAsiaTheme="majorEastAsia"/>
          <w:b/>
          <w:color w:val="000000" w:themeColor="text1"/>
          <w:sz w:val="24"/>
        </w:rPr>
        <w:t>一、合格供应商资格要求</w:t>
      </w:r>
    </w:p>
    <w:p w14:paraId="26A7D09B">
      <w:pPr>
        <w:spacing w:line="460" w:lineRule="exact"/>
        <w:ind w:firstLine="540" w:firstLineChars="200"/>
        <w:rPr>
          <w:rFonts w:asciiTheme="majorEastAsia" w:hAnsiTheme="majorEastAsia" w:eastAsiaTheme="majorEastAsia"/>
          <w:color w:val="000000" w:themeColor="text1"/>
          <w:spacing w:val="15"/>
          <w:sz w:val="24"/>
        </w:rPr>
      </w:pPr>
      <w:r>
        <w:rPr>
          <w:rFonts w:hint="eastAsia" w:asciiTheme="majorEastAsia" w:hAnsiTheme="majorEastAsia" w:eastAsiaTheme="majorEastAsia"/>
          <w:color w:val="000000" w:themeColor="text1"/>
          <w:spacing w:val="15"/>
          <w:sz w:val="24"/>
        </w:rPr>
        <w:t>供应商参加本次采购活动具备下列条件：</w:t>
      </w:r>
    </w:p>
    <w:p w14:paraId="4354FFB7">
      <w:pPr>
        <w:pStyle w:val="8"/>
        <w:numPr>
          <w:ilvl w:val="0"/>
          <w:numId w:val="1"/>
        </w:numPr>
        <w:tabs>
          <w:tab w:val="left" w:pos="2340"/>
        </w:tabs>
        <w:spacing w:line="460" w:lineRule="exact"/>
        <w:ind w:left="328" w:leftChars="0" w:firstLine="512" w:firstLineChars="0"/>
        <w:jc w:val="left"/>
        <w:rPr>
          <w:rFonts w:asciiTheme="majorEastAsia" w:hAnsiTheme="majorEastAsia" w:eastAsiaTheme="majorEastAsia"/>
        </w:rPr>
      </w:pPr>
      <w:r>
        <w:rPr>
          <w:rFonts w:hint="eastAsia" w:asciiTheme="majorEastAsia" w:hAnsiTheme="majorEastAsia" w:eastAsiaTheme="majorEastAsia"/>
          <w:bCs/>
          <w:color w:val="000000" w:themeColor="text1"/>
          <w:spacing w:val="8"/>
        </w:rPr>
        <w:t>供应商</w:t>
      </w:r>
      <w:r>
        <w:rPr>
          <w:rFonts w:hint="eastAsia" w:asciiTheme="majorEastAsia" w:hAnsiTheme="majorEastAsia" w:eastAsiaTheme="majorEastAsia"/>
          <w:color w:val="000000" w:themeColor="text1"/>
        </w:rPr>
        <w:t>注册资金不低于500万元人民币，且企业财务资信状况良好，具有独立承担民事责任的法人或其他经济组织，并</w:t>
      </w:r>
      <w:r>
        <w:rPr>
          <w:rFonts w:hint="eastAsia" w:asciiTheme="minorEastAsia" w:hAnsiTheme="minorEastAsia" w:eastAsiaTheme="minorEastAsia" w:cstheme="minorEastAsia"/>
          <w:color w:val="000000" w:themeColor="text1"/>
          <w:u w:val="single"/>
        </w:rPr>
        <w:t>提供单位社保缴存证明、实缴资本证明、</w:t>
      </w:r>
      <w:r>
        <w:rPr>
          <w:rFonts w:hint="eastAsia" w:asciiTheme="majorEastAsia" w:hAnsiTheme="majorEastAsia" w:eastAsiaTheme="majorEastAsia"/>
          <w:color w:val="000000" w:themeColor="text1"/>
        </w:rPr>
        <w:t>营业执照；</w:t>
      </w:r>
    </w:p>
    <w:p w14:paraId="7D18D281">
      <w:pPr>
        <w:pStyle w:val="8"/>
        <w:numPr>
          <w:ilvl w:val="0"/>
          <w:numId w:val="1"/>
        </w:numPr>
        <w:tabs>
          <w:tab w:val="left" w:pos="2340"/>
        </w:tabs>
        <w:spacing w:line="460" w:lineRule="exact"/>
        <w:ind w:left="328" w:leftChars="0" w:firstLine="480" w:firstLineChars="0"/>
        <w:jc w:val="left"/>
        <w:rPr>
          <w:rFonts w:asciiTheme="majorEastAsia" w:hAnsiTheme="majorEastAsia" w:eastAsiaTheme="majorEastAsia"/>
        </w:rPr>
      </w:pPr>
      <w:r>
        <w:rPr>
          <w:rFonts w:hint="eastAsia" w:asciiTheme="majorEastAsia" w:hAnsiTheme="majorEastAsia" w:eastAsiaTheme="majorEastAsia" w:cstheme="majorEastAsia"/>
          <w:color w:val="000000" w:themeColor="text1"/>
          <w:shd w:val="clear" w:color="auto" w:fill="FFFFFF"/>
        </w:rPr>
        <w:t>供应商不得为列入中国兵器装备集团、光明集团及我公司供应商黑名单中的供应商</w:t>
      </w:r>
      <w:r>
        <w:rPr>
          <w:rFonts w:hint="eastAsia" w:asciiTheme="majorEastAsia" w:hAnsiTheme="majorEastAsia" w:eastAsiaTheme="majorEastAsia" w:cstheme="majorEastAsia"/>
          <w:color w:val="000000" w:themeColor="text1"/>
          <w:shd w:val="clear" w:color="auto" w:fill="FFFFFF"/>
          <w:lang w:val="en-US" w:eastAsia="zh-CN"/>
        </w:rPr>
        <w:t>。</w:t>
      </w:r>
    </w:p>
    <w:p w14:paraId="57EDCA04">
      <w:pPr>
        <w:spacing w:line="460" w:lineRule="exact"/>
        <w:ind w:firstLine="480" w:firstLineChars="200"/>
        <w:rPr>
          <w:rFonts w:asciiTheme="majorEastAsia" w:hAnsiTheme="majorEastAsia" w:eastAsiaTheme="majorEastAsia"/>
          <w:b/>
          <w:color w:val="000000" w:themeColor="text1"/>
          <w:sz w:val="24"/>
        </w:rPr>
      </w:pPr>
      <w:r>
        <w:rPr>
          <w:rFonts w:hint="eastAsia" w:asciiTheme="majorEastAsia" w:hAnsiTheme="majorEastAsia" w:eastAsiaTheme="majorEastAsia"/>
          <w:b/>
          <w:color w:val="000000" w:themeColor="text1"/>
          <w:sz w:val="24"/>
        </w:rPr>
        <w:t>二、询价采购公告</w:t>
      </w:r>
    </w:p>
    <w:p w14:paraId="20701A43">
      <w:pPr>
        <w:pStyle w:val="35"/>
        <w:spacing w:line="460" w:lineRule="exact"/>
        <w:ind w:firstLine="48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公告时间：202</w:t>
      </w: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年</w:t>
      </w: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月</w:t>
      </w:r>
      <w:r>
        <w:rPr>
          <w:rFonts w:hint="eastAsia" w:asciiTheme="majorEastAsia" w:hAnsiTheme="majorEastAsia" w:eastAsiaTheme="majorEastAsia"/>
          <w:color w:val="000000" w:themeColor="text1"/>
          <w:sz w:val="24"/>
          <w:lang w:val="en-US" w:eastAsia="zh-CN"/>
        </w:rPr>
        <w:t>13</w:t>
      </w:r>
      <w:r>
        <w:rPr>
          <w:rFonts w:hint="eastAsia" w:asciiTheme="majorEastAsia" w:hAnsiTheme="majorEastAsia" w:eastAsiaTheme="majorEastAsia"/>
          <w:color w:val="000000" w:themeColor="text1"/>
          <w:sz w:val="24"/>
        </w:rPr>
        <w:t>日— 202</w:t>
      </w: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年</w:t>
      </w: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月</w:t>
      </w:r>
      <w:r>
        <w:rPr>
          <w:rFonts w:hint="eastAsia" w:asciiTheme="majorEastAsia" w:hAnsiTheme="majorEastAsia" w:eastAsiaTheme="majorEastAsia"/>
          <w:color w:val="000000" w:themeColor="text1"/>
          <w:sz w:val="24"/>
          <w:lang w:val="en-US" w:eastAsia="zh-CN"/>
        </w:rPr>
        <w:t>19</w:t>
      </w:r>
      <w:r>
        <w:rPr>
          <w:rFonts w:hint="eastAsia" w:asciiTheme="majorEastAsia" w:hAnsiTheme="majorEastAsia" w:eastAsiaTheme="majorEastAsia"/>
          <w:color w:val="000000" w:themeColor="text1"/>
          <w:sz w:val="24"/>
        </w:rPr>
        <w:t>日</w:t>
      </w:r>
    </w:p>
    <w:p w14:paraId="7B940B87">
      <w:pPr>
        <w:numPr>
          <w:ilvl w:val="0"/>
          <w:numId w:val="2"/>
        </w:numPr>
        <w:spacing w:line="46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b/>
          <w:color w:val="000000" w:themeColor="text1"/>
          <w:sz w:val="24"/>
        </w:rPr>
        <w:t>报价文件接收信息</w:t>
      </w:r>
    </w:p>
    <w:p w14:paraId="67AC82A3">
      <w:pPr>
        <w:spacing w:line="46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kern w:val="0"/>
          <w:sz w:val="24"/>
        </w:rPr>
        <w:t>（一）</w:t>
      </w:r>
      <w:r>
        <w:rPr>
          <w:rFonts w:hint="eastAsia" w:asciiTheme="majorEastAsia" w:hAnsiTheme="majorEastAsia" w:eastAsiaTheme="majorEastAsia"/>
          <w:color w:val="000000" w:themeColor="text1"/>
          <w:sz w:val="24"/>
        </w:rPr>
        <w:t>报价文件接收截止时间： 202</w:t>
      </w: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年</w:t>
      </w: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月</w:t>
      </w:r>
      <w:r>
        <w:rPr>
          <w:rFonts w:hint="eastAsia" w:asciiTheme="majorEastAsia" w:hAnsiTheme="majorEastAsia" w:eastAsiaTheme="majorEastAsia"/>
          <w:color w:val="000000" w:themeColor="text1"/>
          <w:sz w:val="24"/>
          <w:lang w:val="en-US" w:eastAsia="zh-CN"/>
        </w:rPr>
        <w:t>19</w:t>
      </w:r>
      <w:r>
        <w:rPr>
          <w:rFonts w:hint="eastAsia" w:asciiTheme="majorEastAsia" w:hAnsiTheme="majorEastAsia" w:eastAsiaTheme="majorEastAsia"/>
          <w:color w:val="000000" w:themeColor="text1"/>
          <w:sz w:val="24"/>
        </w:rPr>
        <w:t>日1</w:t>
      </w:r>
      <w:r>
        <w:rPr>
          <w:rFonts w:hint="eastAsia" w:asciiTheme="majorEastAsia" w:hAnsiTheme="majorEastAsia" w:eastAsiaTheme="majorEastAsia"/>
          <w:color w:val="000000" w:themeColor="text1"/>
          <w:sz w:val="24"/>
          <w:lang w:val="en-US" w:eastAsia="zh-CN"/>
        </w:rPr>
        <w:t>0</w:t>
      </w:r>
      <w:r>
        <w:rPr>
          <w:rFonts w:hint="eastAsia" w:asciiTheme="majorEastAsia" w:hAnsiTheme="majorEastAsia" w:eastAsiaTheme="majorEastAsia"/>
          <w:color w:val="000000" w:themeColor="text1"/>
          <w:sz w:val="24"/>
        </w:rPr>
        <w:t>:00。</w:t>
      </w:r>
    </w:p>
    <w:p w14:paraId="704486F2">
      <w:pPr>
        <w:pStyle w:val="35"/>
        <w:spacing w:line="460" w:lineRule="exact"/>
        <w:ind w:firstLine="480"/>
        <w:rPr>
          <w:rFonts w:asciiTheme="majorEastAsia" w:hAnsiTheme="majorEastAsia" w:eastAsiaTheme="majorEastAsia"/>
          <w:bCs/>
          <w:iCs/>
          <w:color w:val="000000" w:themeColor="text1"/>
          <w:sz w:val="24"/>
        </w:rPr>
      </w:pPr>
      <w:r>
        <w:rPr>
          <w:rFonts w:hint="eastAsia" w:asciiTheme="majorEastAsia" w:hAnsiTheme="majorEastAsia" w:eastAsiaTheme="majorEastAsia"/>
          <w:color w:val="000000" w:themeColor="text1"/>
          <w:sz w:val="24"/>
        </w:rPr>
        <w:t>（二）报价文件接收地点：</w:t>
      </w:r>
      <w:r>
        <w:rPr>
          <w:rFonts w:hint="eastAsia" w:cs="宋体" w:asciiTheme="majorEastAsia" w:hAnsiTheme="majorEastAsia" w:eastAsiaTheme="majorEastAsia"/>
          <w:color w:val="000000" w:themeColor="text1"/>
          <w:kern w:val="0"/>
          <w:sz w:val="24"/>
        </w:rPr>
        <w:t xml:space="preserve">成都市龙泉驿区北京路636号 成都光明派特贵金属有限公司综合管理部 </w:t>
      </w:r>
      <w:r>
        <w:rPr>
          <w:rFonts w:hint="eastAsia" w:asciiTheme="majorEastAsia" w:hAnsiTheme="majorEastAsia" w:eastAsiaTheme="majorEastAsia"/>
          <w:bCs/>
          <w:iCs/>
          <w:color w:val="000000" w:themeColor="text1"/>
          <w:sz w:val="24"/>
        </w:rPr>
        <w:t>邮政编码：610100</w:t>
      </w:r>
    </w:p>
    <w:p w14:paraId="5E1AB5C5">
      <w:pPr>
        <w:pStyle w:val="35"/>
        <w:spacing w:line="460" w:lineRule="exact"/>
        <w:ind w:firstLine="48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（三）报价文件接收人：</w:t>
      </w:r>
      <w:r>
        <w:rPr>
          <w:rFonts w:hint="eastAsia" w:cs="宋体" w:asciiTheme="majorEastAsia" w:hAnsiTheme="majorEastAsia" w:eastAsiaTheme="majorEastAsia"/>
          <w:color w:val="000000" w:themeColor="text1"/>
          <w:kern w:val="0"/>
          <w:sz w:val="24"/>
        </w:rPr>
        <w:t>周女士           联系电话：028-88400151    15882165234</w:t>
      </w:r>
    </w:p>
    <w:p w14:paraId="29176A49">
      <w:pPr>
        <w:pStyle w:val="35"/>
        <w:spacing w:line="460" w:lineRule="exact"/>
        <w:ind w:left="720" w:firstLine="480"/>
        <w:rPr>
          <w:rFonts w:asciiTheme="majorEastAsia" w:hAnsiTheme="majorEastAsia" w:eastAsiaTheme="majorEastAsia"/>
          <w:color w:val="000000" w:themeColor="text1"/>
          <w:sz w:val="24"/>
        </w:rPr>
      </w:pPr>
      <w:r>
        <w:rPr>
          <w:rFonts w:hint="eastAsia" w:cs="宋体" w:asciiTheme="majorEastAsia" w:hAnsiTheme="majorEastAsia" w:eastAsiaTheme="majorEastAsia"/>
          <w:color w:val="000000" w:themeColor="text1"/>
          <w:kern w:val="0"/>
          <w:sz w:val="24"/>
        </w:rPr>
        <w:t xml:space="preserve">技术咨询电话：柏先生           </w:t>
      </w:r>
      <w:r>
        <w:rPr>
          <w:rFonts w:hint="eastAsia" w:cs="宋体" w:asciiTheme="majorEastAsia" w:hAnsiTheme="majorEastAsia" w:eastAsiaTheme="majorEastAsia"/>
          <w:iCs/>
          <w:color w:val="000000" w:themeColor="text1"/>
          <w:kern w:val="0"/>
          <w:sz w:val="24"/>
        </w:rPr>
        <w:t>联系电话：15181296062</w:t>
      </w:r>
    </w:p>
    <w:p w14:paraId="6B987051">
      <w:pPr>
        <w:spacing w:line="460" w:lineRule="exact"/>
        <w:ind w:firstLine="1200" w:firstLineChars="500"/>
        <w:rPr>
          <w:rFonts w:asciiTheme="majorEastAsia" w:hAnsiTheme="majorEastAsia" w:eastAsiaTheme="majorEastAsia"/>
          <w:color w:val="000000" w:themeColor="text1"/>
          <w:sz w:val="32"/>
          <w:szCs w:val="32"/>
        </w:rPr>
      </w:pPr>
      <w:r>
        <w:rPr>
          <w:rFonts w:hint="eastAsia" w:asciiTheme="majorEastAsia" w:hAnsiTheme="majorEastAsia" w:eastAsiaTheme="majorEastAsia"/>
          <w:color w:val="000000" w:themeColor="text1"/>
          <w:sz w:val="24"/>
        </w:rPr>
        <w:t>采购监督</w:t>
      </w:r>
      <w:r>
        <w:rPr>
          <w:rFonts w:hint="eastAsia" w:asciiTheme="majorEastAsia" w:hAnsiTheme="majorEastAsia" w:eastAsiaTheme="majorEastAsia"/>
          <w:iCs/>
          <w:color w:val="000000" w:themeColor="text1"/>
          <w:sz w:val="24"/>
        </w:rPr>
        <w:t>人：</w:t>
      </w:r>
      <w:r>
        <w:rPr>
          <w:rFonts w:hint="eastAsia" w:cs="宋体" w:asciiTheme="majorEastAsia" w:hAnsiTheme="majorEastAsia" w:eastAsiaTheme="majorEastAsia"/>
          <w:iCs/>
          <w:color w:val="000000" w:themeColor="text1"/>
          <w:kern w:val="0"/>
          <w:sz w:val="24"/>
          <w:lang w:val="en-US" w:eastAsia="zh-CN"/>
        </w:rPr>
        <w:t>耿先生</w:t>
      </w:r>
      <w:r>
        <w:rPr>
          <w:rFonts w:hint="eastAsia" w:cs="宋体" w:asciiTheme="majorEastAsia" w:hAnsiTheme="majorEastAsia" w:eastAsiaTheme="majorEastAsia"/>
          <w:iCs/>
          <w:color w:val="000000" w:themeColor="text1"/>
          <w:kern w:val="0"/>
          <w:sz w:val="24"/>
        </w:rPr>
        <w:t xml:space="preserve">             联系电话：</w:t>
      </w:r>
      <w:r>
        <w:rPr>
          <w:rFonts w:hint="eastAsia" w:cs="宋体" w:asciiTheme="majorEastAsia" w:hAnsiTheme="majorEastAsia" w:eastAsiaTheme="majorEastAsia"/>
          <w:iCs/>
          <w:color w:val="000000" w:themeColor="text1"/>
          <w:kern w:val="0"/>
          <w:sz w:val="24"/>
          <w:lang w:val="en-US" w:eastAsia="zh-CN"/>
        </w:rPr>
        <w:t>028-88400166</w:t>
      </w:r>
    </w:p>
    <w:p w14:paraId="4F6116A2">
      <w:pPr>
        <w:rPr>
          <w:rFonts w:hint="eastAsia"/>
          <w:sz w:val="30"/>
          <w:szCs w:val="30"/>
        </w:rPr>
      </w:pPr>
      <w:bookmarkStart w:id="1" w:name="_Toc15283"/>
      <w:r>
        <w:rPr>
          <w:rFonts w:hint="eastAsia"/>
          <w:sz w:val="30"/>
          <w:szCs w:val="30"/>
        </w:rPr>
        <w:br w:type="page"/>
      </w:r>
    </w:p>
    <w:p w14:paraId="0A3C32DE">
      <w:pPr>
        <w:pStyle w:val="2"/>
        <w:jc w:val="center"/>
        <w:rPr>
          <w:sz w:val="30"/>
          <w:szCs w:val="30"/>
        </w:rPr>
      </w:pPr>
      <w:bookmarkStart w:id="5" w:name="_GoBack"/>
      <w:bookmarkEnd w:id="5"/>
      <w:r>
        <w:rPr>
          <w:rFonts w:hint="eastAsia"/>
          <w:sz w:val="30"/>
          <w:szCs w:val="30"/>
        </w:rPr>
        <w:t>第二部分  供应商须知</w:t>
      </w:r>
      <w:bookmarkEnd w:id="1"/>
    </w:p>
    <w:p w14:paraId="5DCF9797">
      <w:pPr>
        <w:spacing w:line="500" w:lineRule="exact"/>
        <w:ind w:firstLine="588" w:firstLineChars="245"/>
        <w:rPr>
          <w:rFonts w:asciiTheme="majorEastAsia" w:hAnsiTheme="majorEastAsia" w:eastAsiaTheme="majorEastAsia"/>
          <w:b/>
          <w:bCs/>
          <w:color w:val="000000" w:themeColor="text1"/>
          <w:sz w:val="24"/>
        </w:rPr>
      </w:pPr>
      <w:r>
        <w:rPr>
          <w:rFonts w:hint="eastAsia" w:asciiTheme="majorEastAsia" w:hAnsiTheme="majorEastAsia" w:eastAsiaTheme="majorEastAsia"/>
          <w:b/>
          <w:bCs/>
          <w:color w:val="000000" w:themeColor="text1"/>
          <w:sz w:val="24"/>
        </w:rPr>
        <w:t>前附表：</w:t>
      </w:r>
    </w:p>
    <w:tbl>
      <w:tblPr>
        <w:tblStyle w:val="16"/>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4"/>
        <w:gridCol w:w="1853"/>
        <w:gridCol w:w="6255"/>
      </w:tblGrid>
      <w:tr w14:paraId="490DE2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894" w:type="dxa"/>
            <w:tcBorders>
              <w:top w:val="single" w:color="auto" w:sz="4" w:space="0"/>
              <w:bottom w:val="single" w:color="auto" w:sz="4" w:space="0"/>
              <w:right w:val="single" w:color="auto" w:sz="4" w:space="0"/>
            </w:tcBorders>
            <w:vAlign w:val="center"/>
          </w:tcPr>
          <w:p w14:paraId="74EB7210">
            <w:pPr>
              <w:snapToGrid w:val="0"/>
              <w:jc w:val="center"/>
              <w:rPr>
                <w:rFonts w:ascii="宋体" w:hAnsi="宋体" w:cs="宋体"/>
                <w:b/>
                <w:bCs/>
                <w:color w:val="000000" w:themeColor="text1"/>
                <w:sz w:val="24"/>
              </w:rPr>
            </w:pPr>
            <w:r>
              <w:rPr>
                <w:rFonts w:hint="eastAsia" w:ascii="宋体" w:hAnsi="宋体" w:cs="宋体"/>
                <w:b/>
                <w:bCs/>
                <w:color w:val="000000" w:themeColor="text1"/>
                <w:sz w:val="24"/>
              </w:rPr>
              <w:t>序号</w:t>
            </w:r>
          </w:p>
        </w:tc>
        <w:tc>
          <w:tcPr>
            <w:tcW w:w="1853" w:type="dxa"/>
            <w:tcBorders>
              <w:top w:val="single" w:color="auto" w:sz="4" w:space="0"/>
              <w:left w:val="single" w:color="auto" w:sz="4" w:space="0"/>
              <w:bottom w:val="single" w:color="auto" w:sz="4" w:space="0"/>
              <w:right w:val="single" w:color="auto" w:sz="4" w:space="0"/>
            </w:tcBorders>
            <w:vAlign w:val="center"/>
          </w:tcPr>
          <w:p w14:paraId="5EE57D39">
            <w:pPr>
              <w:snapToGrid w:val="0"/>
              <w:jc w:val="center"/>
              <w:rPr>
                <w:rFonts w:ascii="宋体" w:hAnsi="宋体" w:cs="宋体"/>
                <w:b/>
                <w:bCs/>
                <w:color w:val="000000" w:themeColor="text1"/>
                <w:sz w:val="24"/>
              </w:rPr>
            </w:pPr>
            <w:r>
              <w:rPr>
                <w:rFonts w:hint="eastAsia" w:ascii="宋体" w:hAnsi="宋体" w:cs="宋体"/>
                <w:b/>
                <w:bCs/>
                <w:color w:val="000000" w:themeColor="text1"/>
                <w:sz w:val="24"/>
              </w:rPr>
              <w:t>项目</w:t>
            </w:r>
          </w:p>
        </w:tc>
        <w:tc>
          <w:tcPr>
            <w:tcW w:w="6255" w:type="dxa"/>
            <w:tcBorders>
              <w:top w:val="single" w:color="auto" w:sz="4" w:space="0"/>
              <w:left w:val="single" w:color="auto" w:sz="4" w:space="0"/>
              <w:bottom w:val="single" w:color="auto" w:sz="4" w:space="0"/>
            </w:tcBorders>
            <w:vAlign w:val="center"/>
          </w:tcPr>
          <w:p w14:paraId="6F33C81B">
            <w:pPr>
              <w:tabs>
                <w:tab w:val="left" w:pos="7303"/>
                <w:tab w:val="left" w:pos="7540"/>
              </w:tabs>
              <w:snapToGrid w:val="0"/>
              <w:jc w:val="center"/>
              <w:rPr>
                <w:rFonts w:ascii="宋体" w:hAnsi="宋体" w:cs="宋体"/>
                <w:b/>
                <w:bCs/>
                <w:color w:val="000000" w:themeColor="text1"/>
                <w:sz w:val="24"/>
              </w:rPr>
            </w:pPr>
            <w:r>
              <w:rPr>
                <w:rFonts w:hint="eastAsia" w:ascii="宋体" w:hAnsi="宋体" w:cs="宋体"/>
                <w:b/>
                <w:bCs/>
                <w:color w:val="000000" w:themeColor="text1"/>
                <w:sz w:val="24"/>
              </w:rPr>
              <w:t>内容、要求</w:t>
            </w:r>
          </w:p>
        </w:tc>
      </w:tr>
      <w:tr w14:paraId="27DF96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894" w:type="dxa"/>
            <w:tcBorders>
              <w:top w:val="single" w:color="auto" w:sz="4" w:space="0"/>
              <w:bottom w:val="single" w:color="auto" w:sz="4" w:space="0"/>
              <w:right w:val="single" w:color="auto" w:sz="4" w:space="0"/>
            </w:tcBorders>
            <w:vAlign w:val="center"/>
          </w:tcPr>
          <w:p w14:paraId="357C054D">
            <w:pPr>
              <w:snapToGrid w:val="0"/>
              <w:jc w:val="center"/>
              <w:rPr>
                <w:rFonts w:ascii="宋体" w:hAnsi="宋体" w:cs="宋体"/>
                <w:color w:val="000000" w:themeColor="text1"/>
                <w:sz w:val="24"/>
              </w:rPr>
            </w:pPr>
            <w:r>
              <w:rPr>
                <w:rFonts w:hint="eastAsia" w:ascii="宋体" w:hAnsi="宋体" w:cs="宋体"/>
                <w:color w:val="000000" w:themeColor="text1"/>
                <w:sz w:val="24"/>
              </w:rPr>
              <w:t>1</w:t>
            </w:r>
          </w:p>
        </w:tc>
        <w:tc>
          <w:tcPr>
            <w:tcW w:w="1853" w:type="dxa"/>
            <w:tcBorders>
              <w:top w:val="single" w:color="auto" w:sz="4" w:space="0"/>
              <w:left w:val="single" w:color="auto" w:sz="4" w:space="0"/>
              <w:bottom w:val="single" w:color="auto" w:sz="4" w:space="0"/>
              <w:right w:val="single" w:color="auto" w:sz="4" w:space="0"/>
            </w:tcBorders>
            <w:vAlign w:val="center"/>
          </w:tcPr>
          <w:p w14:paraId="4D43891E">
            <w:pPr>
              <w:snapToGrid w:val="0"/>
              <w:jc w:val="center"/>
              <w:rPr>
                <w:rFonts w:ascii="宋体" w:hAnsi="宋体" w:cs="宋体"/>
                <w:color w:val="000000" w:themeColor="text1"/>
                <w:sz w:val="24"/>
              </w:rPr>
            </w:pPr>
            <w:r>
              <w:rPr>
                <w:rFonts w:hint="eastAsia" w:ascii="宋体" w:hAnsi="宋体" w:cs="宋体"/>
                <w:color w:val="000000" w:themeColor="text1"/>
                <w:sz w:val="24"/>
              </w:rPr>
              <w:t>采购人</w:t>
            </w:r>
          </w:p>
        </w:tc>
        <w:tc>
          <w:tcPr>
            <w:tcW w:w="6255" w:type="dxa"/>
            <w:tcBorders>
              <w:top w:val="single" w:color="auto" w:sz="4" w:space="0"/>
              <w:left w:val="single" w:color="auto" w:sz="4" w:space="0"/>
              <w:bottom w:val="single" w:color="auto" w:sz="4" w:space="0"/>
            </w:tcBorders>
            <w:vAlign w:val="center"/>
          </w:tcPr>
          <w:p w14:paraId="5471764A">
            <w:pPr>
              <w:pStyle w:val="25"/>
              <w:ind w:left="2304" w:hanging="2304" w:hangingChars="960"/>
              <w:rPr>
                <w:rFonts w:hAnsi="宋体"/>
                <w:color w:val="000000" w:themeColor="text1"/>
              </w:rPr>
            </w:pPr>
            <w:r>
              <w:rPr>
                <w:rFonts w:hint="eastAsia" w:hAnsi="宋体"/>
                <w:color w:val="000000" w:themeColor="text1"/>
              </w:rPr>
              <w:t>名称：成都光明派特贵金属有限公司</w:t>
            </w:r>
          </w:p>
          <w:p w14:paraId="1F7DD524">
            <w:pPr>
              <w:pStyle w:val="25"/>
              <w:tabs>
                <w:tab w:val="left" w:pos="7356"/>
              </w:tabs>
              <w:ind w:left="720" w:hanging="720" w:hangingChars="300"/>
              <w:rPr>
                <w:rFonts w:hAnsi="宋体"/>
                <w:color w:val="000000" w:themeColor="text1"/>
              </w:rPr>
            </w:pPr>
            <w:r>
              <w:rPr>
                <w:rFonts w:hint="eastAsia" w:hAnsi="宋体"/>
                <w:color w:val="000000" w:themeColor="text1"/>
              </w:rPr>
              <w:t>地址：成都市龙泉驿区北京路636号</w:t>
            </w:r>
          </w:p>
          <w:p w14:paraId="63BA0D22">
            <w:pPr>
              <w:pStyle w:val="25"/>
              <w:rPr>
                <w:rFonts w:hint="default" w:hAnsi="宋体" w:eastAsia="宋体"/>
                <w:color w:val="000000" w:themeColor="text1"/>
                <w:lang w:val="en-US" w:eastAsia="zh-CN"/>
              </w:rPr>
            </w:pPr>
            <w:r>
              <w:rPr>
                <w:rFonts w:hint="eastAsia" w:hAnsi="宋体"/>
                <w:color w:val="000000" w:themeColor="text1"/>
              </w:rPr>
              <w:t>联系人：</w:t>
            </w:r>
            <w:r>
              <w:rPr>
                <w:rFonts w:hint="eastAsia" w:hAnsi="宋体"/>
                <w:iCs/>
                <w:color w:val="000000" w:themeColor="text1"/>
                <w:u w:val="single"/>
              </w:rPr>
              <w:t>汤先生</w:t>
            </w:r>
          </w:p>
          <w:p w14:paraId="7446B4FC">
            <w:pPr>
              <w:snapToGrid w:val="0"/>
              <w:rPr>
                <w:rFonts w:ascii="宋体" w:hAnsi="宋体" w:cs="宋体"/>
                <w:color w:val="000000" w:themeColor="text1"/>
                <w:sz w:val="24"/>
              </w:rPr>
            </w:pPr>
            <w:r>
              <w:rPr>
                <w:rFonts w:hint="eastAsia" w:ascii="宋体" w:hAnsi="宋体" w:cs="宋体"/>
                <w:color w:val="000000" w:themeColor="text1"/>
                <w:sz w:val="24"/>
              </w:rPr>
              <w:t>电 话：</w:t>
            </w:r>
            <w:r>
              <w:rPr>
                <w:rFonts w:hint="eastAsia" w:ascii="宋体" w:hAnsi="宋体" w:cs="宋体"/>
                <w:color w:val="000000" w:themeColor="text1"/>
                <w:sz w:val="24"/>
                <w:u w:val="single"/>
                <w:lang w:val="en-US" w:eastAsia="zh-CN"/>
              </w:rPr>
              <w:t>13880883138</w:t>
            </w:r>
          </w:p>
        </w:tc>
      </w:tr>
      <w:tr w14:paraId="1EDB37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894" w:type="dxa"/>
            <w:tcBorders>
              <w:top w:val="single" w:color="auto" w:sz="4" w:space="0"/>
              <w:bottom w:val="single" w:color="auto" w:sz="4" w:space="0"/>
              <w:right w:val="single" w:color="auto" w:sz="4" w:space="0"/>
            </w:tcBorders>
            <w:vAlign w:val="center"/>
          </w:tcPr>
          <w:p w14:paraId="4785F61C">
            <w:pPr>
              <w:snapToGrid w:val="0"/>
              <w:jc w:val="center"/>
              <w:rPr>
                <w:rFonts w:ascii="宋体" w:hAnsi="宋体" w:cs="宋体"/>
                <w:color w:val="000000" w:themeColor="text1"/>
                <w:sz w:val="24"/>
              </w:rPr>
            </w:pPr>
            <w:r>
              <w:rPr>
                <w:rFonts w:hint="eastAsia" w:ascii="宋体" w:hAnsi="宋体" w:cs="宋体"/>
                <w:color w:val="000000" w:themeColor="text1"/>
                <w:sz w:val="24"/>
              </w:rPr>
              <w:t>2</w:t>
            </w:r>
          </w:p>
        </w:tc>
        <w:tc>
          <w:tcPr>
            <w:tcW w:w="1853" w:type="dxa"/>
            <w:tcBorders>
              <w:top w:val="single" w:color="auto" w:sz="4" w:space="0"/>
              <w:left w:val="single" w:color="auto" w:sz="4" w:space="0"/>
              <w:bottom w:val="single" w:color="auto" w:sz="4" w:space="0"/>
              <w:right w:val="single" w:color="auto" w:sz="4" w:space="0"/>
            </w:tcBorders>
            <w:vAlign w:val="center"/>
          </w:tcPr>
          <w:p w14:paraId="516743BE">
            <w:pPr>
              <w:snapToGrid w:val="0"/>
              <w:jc w:val="center"/>
              <w:rPr>
                <w:rFonts w:ascii="宋体" w:hAnsi="宋体" w:cs="宋体"/>
                <w:color w:val="000000" w:themeColor="text1"/>
                <w:sz w:val="24"/>
              </w:rPr>
            </w:pPr>
            <w:r>
              <w:rPr>
                <w:rFonts w:hint="eastAsia" w:ascii="宋体" w:hAnsi="宋体" w:cs="宋体"/>
                <w:color w:val="000000" w:themeColor="text1"/>
                <w:sz w:val="24"/>
              </w:rPr>
              <w:t>项目名称</w:t>
            </w:r>
          </w:p>
        </w:tc>
        <w:tc>
          <w:tcPr>
            <w:tcW w:w="6255" w:type="dxa"/>
            <w:tcBorders>
              <w:top w:val="single" w:color="auto" w:sz="4" w:space="0"/>
              <w:left w:val="single" w:color="auto" w:sz="4" w:space="0"/>
              <w:bottom w:val="single" w:color="auto" w:sz="4" w:space="0"/>
            </w:tcBorders>
            <w:vAlign w:val="center"/>
          </w:tcPr>
          <w:p w14:paraId="5241F847">
            <w:pPr>
              <w:rPr>
                <w:rFonts w:ascii="宋体" w:hAnsi="宋体" w:cs="宋体"/>
                <w:color w:val="000000" w:themeColor="text1"/>
                <w:sz w:val="24"/>
              </w:rPr>
            </w:pPr>
            <w:r>
              <w:rPr>
                <w:rFonts w:hint="eastAsia" w:ascii="宋体" w:hAnsi="宋体" w:cs="宋体"/>
                <w:color w:val="000000" w:themeColor="text1"/>
                <w:sz w:val="24"/>
              </w:rPr>
              <w:t>202</w:t>
            </w:r>
            <w:r>
              <w:rPr>
                <w:rFonts w:hint="eastAsia" w:ascii="宋体" w:hAnsi="宋体" w:cs="宋体"/>
                <w:color w:val="000000" w:themeColor="text1"/>
                <w:sz w:val="24"/>
                <w:lang w:val="en-US" w:eastAsia="zh-CN"/>
              </w:rPr>
              <w:t>5</w:t>
            </w:r>
            <w:r>
              <w:rPr>
                <w:rFonts w:hint="eastAsia" w:ascii="宋体" w:hAnsi="宋体" w:cs="宋体"/>
                <w:color w:val="000000" w:themeColor="text1"/>
                <w:sz w:val="24"/>
              </w:rPr>
              <w:t>年化工产品年度询比价</w:t>
            </w:r>
          </w:p>
        </w:tc>
      </w:tr>
      <w:tr w14:paraId="439F23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894" w:type="dxa"/>
            <w:tcBorders>
              <w:top w:val="single" w:color="auto" w:sz="4" w:space="0"/>
              <w:bottom w:val="single" w:color="auto" w:sz="4" w:space="0"/>
              <w:right w:val="single" w:color="auto" w:sz="4" w:space="0"/>
            </w:tcBorders>
            <w:vAlign w:val="center"/>
          </w:tcPr>
          <w:p w14:paraId="6C02F682">
            <w:pPr>
              <w:snapToGrid w:val="0"/>
              <w:jc w:val="center"/>
              <w:rPr>
                <w:rFonts w:ascii="宋体" w:hAnsi="宋体" w:cs="宋体"/>
                <w:color w:val="000000" w:themeColor="text1"/>
                <w:sz w:val="24"/>
              </w:rPr>
            </w:pPr>
            <w:r>
              <w:rPr>
                <w:rFonts w:hint="eastAsia" w:ascii="宋体" w:hAnsi="宋体" w:cs="宋体"/>
                <w:color w:val="000000" w:themeColor="text1"/>
                <w:sz w:val="24"/>
              </w:rPr>
              <w:t>3</w:t>
            </w:r>
          </w:p>
        </w:tc>
        <w:tc>
          <w:tcPr>
            <w:tcW w:w="1853" w:type="dxa"/>
            <w:tcBorders>
              <w:top w:val="single" w:color="auto" w:sz="4" w:space="0"/>
              <w:left w:val="single" w:color="auto" w:sz="4" w:space="0"/>
              <w:bottom w:val="single" w:color="auto" w:sz="4" w:space="0"/>
              <w:right w:val="single" w:color="auto" w:sz="4" w:space="0"/>
            </w:tcBorders>
            <w:vAlign w:val="center"/>
          </w:tcPr>
          <w:p w14:paraId="56E79EB1">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公司地点</w:t>
            </w:r>
          </w:p>
        </w:tc>
        <w:tc>
          <w:tcPr>
            <w:tcW w:w="6255" w:type="dxa"/>
            <w:tcBorders>
              <w:top w:val="single" w:color="auto" w:sz="4" w:space="0"/>
              <w:left w:val="single" w:color="auto" w:sz="4" w:space="0"/>
              <w:bottom w:val="single" w:color="auto" w:sz="4" w:space="0"/>
            </w:tcBorders>
            <w:vAlign w:val="center"/>
          </w:tcPr>
          <w:p w14:paraId="5B0AE0A2">
            <w:pPr>
              <w:pStyle w:val="25"/>
              <w:ind w:left="720" w:hanging="720" w:hangingChars="300"/>
              <w:rPr>
                <w:rFonts w:hAnsi="宋体"/>
                <w:color w:val="000000" w:themeColor="text1"/>
              </w:rPr>
            </w:pPr>
            <w:r>
              <w:rPr>
                <w:rFonts w:hint="eastAsia" w:hAnsi="宋体"/>
                <w:color w:val="000000" w:themeColor="text1"/>
              </w:rPr>
              <w:t>成都市龙泉驿区北京路636号</w:t>
            </w:r>
          </w:p>
        </w:tc>
      </w:tr>
      <w:tr w14:paraId="68A88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94" w:type="dxa"/>
            <w:tcBorders>
              <w:top w:val="single" w:color="auto" w:sz="4" w:space="0"/>
              <w:bottom w:val="single" w:color="auto" w:sz="4" w:space="0"/>
              <w:right w:val="single" w:color="auto" w:sz="4" w:space="0"/>
            </w:tcBorders>
            <w:vAlign w:val="center"/>
          </w:tcPr>
          <w:p w14:paraId="5296994B">
            <w:pPr>
              <w:snapToGrid w:val="0"/>
              <w:jc w:val="center"/>
              <w:rPr>
                <w:rFonts w:ascii="宋体" w:hAnsi="宋体" w:cs="宋体"/>
                <w:color w:val="000000" w:themeColor="text1"/>
                <w:sz w:val="24"/>
              </w:rPr>
            </w:pPr>
            <w:r>
              <w:rPr>
                <w:rFonts w:hint="eastAsia" w:ascii="宋体" w:hAnsi="宋体" w:cs="宋体"/>
                <w:color w:val="000000" w:themeColor="text1"/>
                <w:sz w:val="24"/>
              </w:rPr>
              <w:t>4</w:t>
            </w:r>
          </w:p>
        </w:tc>
        <w:tc>
          <w:tcPr>
            <w:tcW w:w="1853" w:type="dxa"/>
            <w:tcBorders>
              <w:top w:val="single" w:color="auto" w:sz="4" w:space="0"/>
              <w:left w:val="single" w:color="auto" w:sz="4" w:space="0"/>
              <w:bottom w:val="single" w:color="auto" w:sz="4" w:space="0"/>
              <w:right w:val="single" w:color="auto" w:sz="4" w:space="0"/>
            </w:tcBorders>
            <w:vAlign w:val="center"/>
          </w:tcPr>
          <w:p w14:paraId="40278EF3">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是否接受联合体询价</w:t>
            </w:r>
          </w:p>
        </w:tc>
        <w:tc>
          <w:tcPr>
            <w:tcW w:w="6255" w:type="dxa"/>
            <w:tcBorders>
              <w:top w:val="single" w:color="auto" w:sz="4" w:space="0"/>
              <w:left w:val="single" w:color="auto" w:sz="4" w:space="0"/>
              <w:bottom w:val="single" w:color="auto" w:sz="4" w:space="0"/>
            </w:tcBorders>
            <w:vAlign w:val="center"/>
          </w:tcPr>
          <w:p w14:paraId="39EEA376">
            <w:pPr>
              <w:autoSpaceDE w:val="0"/>
              <w:autoSpaceDN w:val="0"/>
              <w:adjustRightInd w:val="0"/>
              <w:rPr>
                <w:rFonts w:ascii="宋体" w:hAnsi="宋体" w:cs="宋体"/>
                <w:color w:val="000000" w:themeColor="text1"/>
                <w:kern w:val="0"/>
                <w:sz w:val="24"/>
              </w:rPr>
            </w:pPr>
            <w:r>
              <w:rPr>
                <w:rFonts w:hint="eastAsia" w:ascii="宋体" w:hAnsi="宋体" w:cs="宋体"/>
                <w:color w:val="000000" w:themeColor="text1"/>
                <w:sz w:val="24"/>
                <w:u w:val="single"/>
              </w:rPr>
              <w:t xml:space="preserve">不接受 </w:t>
            </w:r>
          </w:p>
        </w:tc>
      </w:tr>
      <w:tr w14:paraId="16DC43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894" w:type="dxa"/>
            <w:tcBorders>
              <w:top w:val="single" w:color="auto" w:sz="4" w:space="0"/>
              <w:bottom w:val="single" w:color="auto" w:sz="4" w:space="0"/>
              <w:right w:val="single" w:color="auto" w:sz="4" w:space="0"/>
            </w:tcBorders>
            <w:vAlign w:val="center"/>
          </w:tcPr>
          <w:p w14:paraId="558CD446">
            <w:pPr>
              <w:snapToGrid w:val="0"/>
              <w:jc w:val="center"/>
              <w:rPr>
                <w:rFonts w:ascii="宋体" w:hAnsi="宋体" w:cs="宋体"/>
                <w:color w:val="000000" w:themeColor="text1"/>
                <w:sz w:val="24"/>
              </w:rPr>
            </w:pPr>
            <w:r>
              <w:rPr>
                <w:rFonts w:hint="eastAsia" w:ascii="宋体" w:hAnsi="宋体" w:cs="宋体"/>
                <w:color w:val="000000" w:themeColor="text1"/>
                <w:sz w:val="24"/>
              </w:rPr>
              <w:t>5</w:t>
            </w:r>
          </w:p>
        </w:tc>
        <w:tc>
          <w:tcPr>
            <w:tcW w:w="1853" w:type="dxa"/>
            <w:tcBorders>
              <w:top w:val="single" w:color="auto" w:sz="4" w:space="0"/>
              <w:left w:val="single" w:color="auto" w:sz="4" w:space="0"/>
              <w:bottom w:val="single" w:color="auto" w:sz="4" w:space="0"/>
              <w:right w:val="single" w:color="auto" w:sz="4" w:space="0"/>
            </w:tcBorders>
            <w:vAlign w:val="center"/>
          </w:tcPr>
          <w:p w14:paraId="3ADCA43F">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供应商提出问题的截止时间</w:t>
            </w:r>
          </w:p>
        </w:tc>
        <w:tc>
          <w:tcPr>
            <w:tcW w:w="6255" w:type="dxa"/>
            <w:tcBorders>
              <w:top w:val="single" w:color="auto" w:sz="4" w:space="0"/>
              <w:left w:val="single" w:color="auto" w:sz="4" w:space="0"/>
              <w:bottom w:val="single" w:color="auto" w:sz="4" w:space="0"/>
            </w:tcBorders>
            <w:vAlign w:val="center"/>
          </w:tcPr>
          <w:p w14:paraId="75EF6CF4">
            <w:pPr>
              <w:snapToGrid w:val="0"/>
              <w:rPr>
                <w:rFonts w:ascii="宋体" w:hAnsi="宋体" w:cs="宋体"/>
                <w:color w:val="000000" w:themeColor="text1"/>
                <w:kern w:val="0"/>
                <w:sz w:val="24"/>
              </w:rPr>
            </w:pPr>
            <w:r>
              <w:rPr>
                <w:rFonts w:hint="eastAsia" w:ascii="宋体" w:hAnsi="宋体" w:cs="宋体"/>
                <w:color w:val="000000" w:themeColor="text1"/>
                <w:kern w:val="0"/>
                <w:sz w:val="24"/>
              </w:rPr>
              <w:t>答疑与澄清：如对询价比价文件有误或有不合理要求的，距采购截止日前三天，以书面形式向采购单位提出。</w:t>
            </w:r>
          </w:p>
        </w:tc>
      </w:tr>
      <w:tr w14:paraId="6B4F20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894" w:type="dxa"/>
            <w:tcBorders>
              <w:top w:val="single" w:color="auto" w:sz="4" w:space="0"/>
              <w:bottom w:val="single" w:color="auto" w:sz="4" w:space="0"/>
              <w:right w:val="single" w:color="auto" w:sz="4" w:space="0"/>
            </w:tcBorders>
            <w:vAlign w:val="center"/>
          </w:tcPr>
          <w:p w14:paraId="196B6C0C">
            <w:pPr>
              <w:snapToGrid w:val="0"/>
              <w:jc w:val="center"/>
              <w:rPr>
                <w:rFonts w:ascii="宋体" w:hAnsi="宋体" w:cs="宋体"/>
                <w:color w:val="000000" w:themeColor="text1"/>
                <w:sz w:val="24"/>
              </w:rPr>
            </w:pPr>
            <w:r>
              <w:rPr>
                <w:rFonts w:hint="eastAsia" w:ascii="宋体" w:hAnsi="宋体" w:cs="宋体"/>
                <w:color w:val="000000" w:themeColor="text1"/>
                <w:sz w:val="24"/>
              </w:rPr>
              <w:t>6</w:t>
            </w:r>
          </w:p>
        </w:tc>
        <w:tc>
          <w:tcPr>
            <w:tcW w:w="1853" w:type="dxa"/>
            <w:tcBorders>
              <w:top w:val="single" w:color="auto" w:sz="4" w:space="0"/>
              <w:left w:val="single" w:color="auto" w:sz="4" w:space="0"/>
              <w:bottom w:val="single" w:color="auto" w:sz="4" w:space="0"/>
              <w:right w:val="single" w:color="auto" w:sz="4" w:space="0"/>
            </w:tcBorders>
            <w:vAlign w:val="center"/>
          </w:tcPr>
          <w:p w14:paraId="778E1BC5">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采购人书面澄清的时间</w:t>
            </w:r>
          </w:p>
        </w:tc>
        <w:tc>
          <w:tcPr>
            <w:tcW w:w="6255" w:type="dxa"/>
            <w:tcBorders>
              <w:top w:val="single" w:color="auto" w:sz="4" w:space="0"/>
              <w:left w:val="single" w:color="auto" w:sz="4" w:space="0"/>
              <w:bottom w:val="single" w:color="auto" w:sz="4" w:space="0"/>
            </w:tcBorders>
            <w:vAlign w:val="center"/>
          </w:tcPr>
          <w:p w14:paraId="7F01DC37">
            <w:pPr>
              <w:snapToGrid w:val="0"/>
              <w:rPr>
                <w:rFonts w:ascii="宋体" w:hAnsi="宋体" w:cs="宋体"/>
                <w:color w:val="000000" w:themeColor="text1"/>
                <w:kern w:val="0"/>
                <w:sz w:val="24"/>
              </w:rPr>
            </w:pPr>
            <w:r>
              <w:rPr>
                <w:rFonts w:hint="eastAsia" w:ascii="宋体" w:hAnsi="宋体" w:cs="宋体"/>
                <w:color w:val="000000" w:themeColor="text1"/>
                <w:kern w:val="0"/>
                <w:sz w:val="24"/>
              </w:rPr>
              <w:t>供应商在收到书面答复(补遗书)48小时内应以书面形式向采购人确认。</w:t>
            </w:r>
          </w:p>
        </w:tc>
      </w:tr>
      <w:tr w14:paraId="6100E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94" w:type="dxa"/>
            <w:tcBorders>
              <w:top w:val="single" w:color="auto" w:sz="4" w:space="0"/>
              <w:bottom w:val="single" w:color="auto" w:sz="4" w:space="0"/>
              <w:right w:val="single" w:color="auto" w:sz="4" w:space="0"/>
            </w:tcBorders>
            <w:vAlign w:val="center"/>
          </w:tcPr>
          <w:p w14:paraId="3046C5F6">
            <w:pPr>
              <w:snapToGrid w:val="0"/>
              <w:jc w:val="center"/>
              <w:rPr>
                <w:rFonts w:ascii="宋体" w:hAnsi="宋体" w:cs="宋体"/>
                <w:color w:val="000000" w:themeColor="text1"/>
                <w:sz w:val="24"/>
              </w:rPr>
            </w:pPr>
            <w:r>
              <w:rPr>
                <w:rFonts w:hint="eastAsia" w:ascii="宋体" w:hAnsi="宋体" w:cs="宋体"/>
                <w:color w:val="000000" w:themeColor="text1"/>
                <w:sz w:val="24"/>
              </w:rPr>
              <w:t>7</w:t>
            </w:r>
          </w:p>
        </w:tc>
        <w:tc>
          <w:tcPr>
            <w:tcW w:w="1853" w:type="dxa"/>
            <w:tcBorders>
              <w:top w:val="single" w:color="auto" w:sz="4" w:space="0"/>
              <w:left w:val="single" w:color="auto" w:sz="4" w:space="0"/>
              <w:bottom w:val="single" w:color="auto" w:sz="4" w:space="0"/>
              <w:right w:val="single" w:color="auto" w:sz="4" w:space="0"/>
            </w:tcBorders>
            <w:vAlign w:val="center"/>
          </w:tcPr>
          <w:p w14:paraId="0984ECFE">
            <w:pPr>
              <w:autoSpaceDE w:val="0"/>
              <w:autoSpaceDN w:val="0"/>
              <w:snapToGrid w:val="0"/>
              <w:jc w:val="center"/>
              <w:textAlignment w:val="bottom"/>
              <w:rPr>
                <w:rFonts w:ascii="宋体" w:hAnsi="宋体" w:cs="宋体"/>
                <w:color w:val="000000" w:themeColor="text1"/>
                <w:kern w:val="0"/>
                <w:sz w:val="24"/>
              </w:rPr>
            </w:pPr>
            <w:r>
              <w:rPr>
                <w:rFonts w:hint="eastAsia" w:ascii="宋体" w:hAnsi="宋体" w:cs="宋体"/>
                <w:color w:val="000000" w:themeColor="text1"/>
                <w:kern w:val="0"/>
                <w:sz w:val="24"/>
              </w:rPr>
              <w:t>响应文件签字或盖章要求</w:t>
            </w:r>
          </w:p>
        </w:tc>
        <w:tc>
          <w:tcPr>
            <w:tcW w:w="6255" w:type="dxa"/>
            <w:tcBorders>
              <w:top w:val="single" w:color="auto" w:sz="4" w:space="0"/>
              <w:left w:val="single" w:color="auto" w:sz="4" w:space="0"/>
              <w:bottom w:val="single" w:color="auto" w:sz="4" w:space="0"/>
            </w:tcBorders>
            <w:vAlign w:val="center"/>
          </w:tcPr>
          <w:p w14:paraId="7A527D93">
            <w:pPr>
              <w:autoSpaceDE w:val="0"/>
              <w:autoSpaceDN w:val="0"/>
              <w:adjustRightInd w:val="0"/>
              <w:rPr>
                <w:rFonts w:ascii="宋体" w:hAnsi="宋体" w:cs="宋体"/>
                <w:color w:val="000000" w:themeColor="text1"/>
                <w:kern w:val="0"/>
                <w:sz w:val="24"/>
              </w:rPr>
            </w:pPr>
            <w:r>
              <w:rPr>
                <w:rFonts w:hint="eastAsia" w:ascii="宋体" w:hAnsi="宋体" w:cs="宋体"/>
                <w:color w:val="000000" w:themeColor="text1"/>
                <w:kern w:val="0"/>
                <w:sz w:val="24"/>
              </w:rPr>
              <w:t>响应文件由供应商盖单位章。</w:t>
            </w:r>
          </w:p>
        </w:tc>
      </w:tr>
      <w:tr w14:paraId="79EAE4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94" w:type="dxa"/>
            <w:tcBorders>
              <w:top w:val="single" w:color="auto" w:sz="4" w:space="0"/>
              <w:bottom w:val="single" w:color="auto" w:sz="4" w:space="0"/>
              <w:right w:val="single" w:color="auto" w:sz="4" w:space="0"/>
            </w:tcBorders>
            <w:vAlign w:val="center"/>
          </w:tcPr>
          <w:p w14:paraId="738B6353">
            <w:pPr>
              <w:snapToGrid w:val="0"/>
              <w:jc w:val="center"/>
              <w:rPr>
                <w:rFonts w:ascii="宋体" w:hAnsi="宋体" w:cs="宋体"/>
                <w:color w:val="000000" w:themeColor="text1"/>
                <w:sz w:val="24"/>
              </w:rPr>
            </w:pPr>
            <w:r>
              <w:rPr>
                <w:rFonts w:hint="eastAsia" w:ascii="宋体" w:hAnsi="宋体" w:cs="宋体"/>
                <w:color w:val="000000" w:themeColor="text1"/>
                <w:sz w:val="24"/>
              </w:rPr>
              <w:t>8</w:t>
            </w:r>
          </w:p>
        </w:tc>
        <w:tc>
          <w:tcPr>
            <w:tcW w:w="1853" w:type="dxa"/>
            <w:tcBorders>
              <w:top w:val="single" w:color="auto" w:sz="4" w:space="0"/>
              <w:left w:val="single" w:color="auto" w:sz="4" w:space="0"/>
              <w:bottom w:val="single" w:color="auto" w:sz="4" w:space="0"/>
              <w:right w:val="single" w:color="auto" w:sz="4" w:space="0"/>
            </w:tcBorders>
            <w:vAlign w:val="center"/>
          </w:tcPr>
          <w:p w14:paraId="7939979A">
            <w:pPr>
              <w:autoSpaceDE w:val="0"/>
              <w:autoSpaceDN w:val="0"/>
              <w:snapToGrid w:val="0"/>
              <w:jc w:val="center"/>
              <w:textAlignment w:val="bottom"/>
              <w:rPr>
                <w:rFonts w:ascii="宋体" w:hAnsi="宋体" w:cs="宋体"/>
                <w:color w:val="000000" w:themeColor="text1"/>
                <w:kern w:val="0"/>
                <w:sz w:val="24"/>
              </w:rPr>
            </w:pPr>
            <w:r>
              <w:rPr>
                <w:rFonts w:hint="eastAsia" w:ascii="宋体" w:hAnsi="宋体" w:cs="宋体"/>
                <w:color w:val="000000" w:themeColor="text1"/>
                <w:kern w:val="0"/>
                <w:sz w:val="24"/>
              </w:rPr>
              <w:t>响应文件组成</w:t>
            </w:r>
          </w:p>
        </w:tc>
        <w:tc>
          <w:tcPr>
            <w:tcW w:w="6255" w:type="dxa"/>
            <w:tcBorders>
              <w:top w:val="single" w:color="auto" w:sz="4" w:space="0"/>
              <w:left w:val="single" w:color="auto" w:sz="4" w:space="0"/>
              <w:bottom w:val="single" w:color="auto" w:sz="4" w:space="0"/>
            </w:tcBorders>
            <w:vAlign w:val="center"/>
          </w:tcPr>
          <w:p w14:paraId="52F4CD4C">
            <w:pPr>
              <w:autoSpaceDE w:val="0"/>
              <w:autoSpaceDN w:val="0"/>
              <w:snapToGrid w:val="0"/>
              <w:textAlignment w:val="bottom"/>
              <w:rPr>
                <w:rFonts w:ascii="宋体" w:hAnsi="宋体" w:cs="宋体"/>
                <w:color w:val="000000" w:themeColor="text1"/>
                <w:kern w:val="0"/>
                <w:sz w:val="24"/>
              </w:rPr>
            </w:pPr>
            <w:r>
              <w:rPr>
                <w:rFonts w:hint="eastAsia" w:ascii="宋体" w:hAnsi="宋体" w:cs="宋体"/>
                <w:color w:val="000000" w:themeColor="text1"/>
                <w:kern w:val="0"/>
                <w:sz w:val="24"/>
              </w:rPr>
              <w:t>响应文件由1 份；</w:t>
            </w:r>
          </w:p>
        </w:tc>
      </w:tr>
      <w:tr w14:paraId="6065CE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94" w:type="dxa"/>
            <w:tcBorders>
              <w:top w:val="single" w:color="auto" w:sz="4" w:space="0"/>
              <w:bottom w:val="single" w:color="auto" w:sz="4" w:space="0"/>
              <w:right w:val="single" w:color="auto" w:sz="4" w:space="0"/>
            </w:tcBorders>
            <w:vAlign w:val="center"/>
          </w:tcPr>
          <w:p w14:paraId="1FF27C22">
            <w:pPr>
              <w:snapToGrid w:val="0"/>
              <w:jc w:val="center"/>
              <w:rPr>
                <w:rFonts w:ascii="宋体" w:hAnsi="宋体" w:cs="宋体"/>
                <w:color w:val="000000" w:themeColor="text1"/>
                <w:sz w:val="24"/>
              </w:rPr>
            </w:pPr>
            <w:r>
              <w:rPr>
                <w:rFonts w:hint="eastAsia" w:ascii="宋体" w:hAnsi="宋体" w:cs="宋体"/>
                <w:color w:val="000000" w:themeColor="text1"/>
                <w:sz w:val="24"/>
              </w:rPr>
              <w:t>9</w:t>
            </w:r>
          </w:p>
        </w:tc>
        <w:tc>
          <w:tcPr>
            <w:tcW w:w="1853" w:type="dxa"/>
            <w:tcBorders>
              <w:top w:val="single" w:color="auto" w:sz="4" w:space="0"/>
              <w:left w:val="single" w:color="auto" w:sz="4" w:space="0"/>
              <w:bottom w:val="single" w:color="auto" w:sz="4" w:space="0"/>
              <w:right w:val="single" w:color="auto" w:sz="4" w:space="0"/>
            </w:tcBorders>
            <w:vAlign w:val="center"/>
          </w:tcPr>
          <w:p w14:paraId="5C043F8F">
            <w:pPr>
              <w:autoSpaceDE w:val="0"/>
              <w:autoSpaceDN w:val="0"/>
              <w:snapToGrid w:val="0"/>
              <w:jc w:val="center"/>
              <w:textAlignment w:val="bottom"/>
              <w:rPr>
                <w:rFonts w:ascii="宋体" w:hAnsi="宋体" w:cs="宋体"/>
                <w:color w:val="000000" w:themeColor="text1"/>
                <w:sz w:val="24"/>
              </w:rPr>
            </w:pPr>
            <w:r>
              <w:rPr>
                <w:rFonts w:hint="eastAsia" w:ascii="宋体" w:hAnsi="宋体" w:cs="宋体"/>
                <w:color w:val="000000" w:themeColor="text1"/>
                <w:kern w:val="0"/>
                <w:sz w:val="24"/>
              </w:rPr>
              <w:t>响应文件装订要求</w:t>
            </w:r>
          </w:p>
        </w:tc>
        <w:tc>
          <w:tcPr>
            <w:tcW w:w="6255" w:type="dxa"/>
            <w:tcBorders>
              <w:top w:val="single" w:color="auto" w:sz="4" w:space="0"/>
              <w:left w:val="single" w:color="auto" w:sz="4" w:space="0"/>
              <w:bottom w:val="single" w:color="auto" w:sz="4" w:space="0"/>
            </w:tcBorders>
            <w:vAlign w:val="center"/>
          </w:tcPr>
          <w:p w14:paraId="16790019">
            <w:pPr>
              <w:pStyle w:val="25"/>
              <w:rPr>
                <w:rFonts w:hAnsi="宋体"/>
                <w:color w:val="000000" w:themeColor="text1"/>
              </w:rPr>
            </w:pPr>
            <w:r>
              <w:rPr>
                <w:rFonts w:hint="eastAsia" w:hAnsi="宋体"/>
                <w:color w:val="000000" w:themeColor="text1"/>
              </w:rPr>
              <w:t>1.装订牢固；</w:t>
            </w:r>
          </w:p>
          <w:p w14:paraId="41C7D9E0">
            <w:pPr>
              <w:autoSpaceDE w:val="0"/>
              <w:autoSpaceDN w:val="0"/>
              <w:adjustRightInd w:val="0"/>
              <w:rPr>
                <w:rFonts w:ascii="宋体" w:hAnsi="宋体" w:cs="宋体"/>
                <w:color w:val="000000" w:themeColor="text1"/>
                <w:kern w:val="0"/>
                <w:sz w:val="24"/>
              </w:rPr>
            </w:pPr>
            <w:r>
              <w:rPr>
                <w:rFonts w:hint="eastAsia" w:ascii="宋体" w:hAnsi="宋体" w:cs="宋体"/>
                <w:color w:val="000000" w:themeColor="text1"/>
                <w:sz w:val="24"/>
              </w:rPr>
              <w:t>2.报价函。</w:t>
            </w:r>
          </w:p>
        </w:tc>
      </w:tr>
      <w:tr w14:paraId="6EB320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23" w:hRule="atLeast"/>
          <w:jc w:val="center"/>
        </w:trPr>
        <w:tc>
          <w:tcPr>
            <w:tcW w:w="894" w:type="dxa"/>
            <w:tcBorders>
              <w:top w:val="single" w:color="auto" w:sz="4" w:space="0"/>
              <w:bottom w:val="single" w:color="auto" w:sz="4" w:space="0"/>
              <w:right w:val="single" w:color="auto" w:sz="4" w:space="0"/>
            </w:tcBorders>
            <w:vAlign w:val="center"/>
          </w:tcPr>
          <w:p w14:paraId="7DFF5164">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10</w:t>
            </w:r>
          </w:p>
        </w:tc>
        <w:tc>
          <w:tcPr>
            <w:tcW w:w="1853" w:type="dxa"/>
            <w:tcBorders>
              <w:top w:val="single" w:color="auto" w:sz="4" w:space="0"/>
              <w:left w:val="single" w:color="auto" w:sz="4" w:space="0"/>
              <w:bottom w:val="single" w:color="auto" w:sz="4" w:space="0"/>
              <w:right w:val="single" w:color="auto" w:sz="4" w:space="0"/>
            </w:tcBorders>
            <w:vAlign w:val="center"/>
          </w:tcPr>
          <w:p w14:paraId="5B087267">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封套上写明</w:t>
            </w:r>
          </w:p>
        </w:tc>
        <w:tc>
          <w:tcPr>
            <w:tcW w:w="6255" w:type="dxa"/>
            <w:tcBorders>
              <w:top w:val="single" w:color="auto" w:sz="4" w:space="0"/>
              <w:left w:val="single" w:color="auto" w:sz="4" w:space="0"/>
              <w:bottom w:val="single" w:color="auto" w:sz="4" w:space="0"/>
            </w:tcBorders>
            <w:vAlign w:val="center"/>
          </w:tcPr>
          <w:p w14:paraId="132F31A5">
            <w:pPr>
              <w:pStyle w:val="25"/>
              <w:ind w:left="720" w:hanging="720" w:hangingChars="300"/>
              <w:jc w:val="both"/>
              <w:rPr>
                <w:rFonts w:hAnsi="宋体"/>
                <w:color w:val="000000" w:themeColor="text1"/>
              </w:rPr>
            </w:pPr>
            <w:r>
              <w:rPr>
                <w:rFonts w:hint="eastAsia" w:hAnsi="宋体"/>
                <w:color w:val="000000" w:themeColor="text1"/>
              </w:rPr>
              <w:t>采购人的地址：成都市龙泉驿区北京路636号</w:t>
            </w:r>
          </w:p>
          <w:p w14:paraId="74F8B449">
            <w:pPr>
              <w:pStyle w:val="25"/>
              <w:ind w:left="720" w:hanging="720" w:hangingChars="300"/>
              <w:jc w:val="both"/>
              <w:rPr>
                <w:rFonts w:hAnsi="宋体"/>
                <w:color w:val="000000" w:themeColor="text1"/>
              </w:rPr>
            </w:pPr>
            <w:r>
              <w:rPr>
                <w:rFonts w:hint="eastAsia" w:hAnsi="宋体"/>
                <w:color w:val="000000" w:themeColor="text1"/>
              </w:rPr>
              <w:t>采购人名称：成都光明派特贵金属有限公司</w:t>
            </w:r>
          </w:p>
          <w:p w14:paraId="5B16ACF4">
            <w:pPr>
              <w:rPr>
                <w:rFonts w:ascii="宋体" w:hAnsi="宋体" w:cs="宋体"/>
                <w:color w:val="000000" w:themeColor="text1"/>
                <w:kern w:val="0"/>
                <w:sz w:val="24"/>
              </w:rPr>
            </w:pPr>
            <w:r>
              <w:rPr>
                <w:rFonts w:hint="eastAsia" w:ascii="宋体" w:hAnsi="宋体" w:cs="宋体"/>
                <w:color w:val="000000" w:themeColor="text1"/>
                <w:kern w:val="0"/>
                <w:sz w:val="24"/>
              </w:rPr>
              <w:t>成都光明派特贵金属有限公司</w:t>
            </w:r>
            <w:r>
              <w:rPr>
                <w:rFonts w:hint="eastAsia" w:ascii="宋体" w:hAnsi="宋体" w:cs="宋体"/>
                <w:color w:val="000000" w:themeColor="text1"/>
                <w:sz w:val="24"/>
              </w:rPr>
              <w:t>202</w:t>
            </w:r>
            <w:r>
              <w:rPr>
                <w:rFonts w:hint="eastAsia" w:ascii="宋体" w:hAnsi="宋体" w:cs="宋体"/>
                <w:color w:val="000000" w:themeColor="text1"/>
                <w:sz w:val="24"/>
                <w:lang w:val="en-US" w:eastAsia="zh-CN"/>
              </w:rPr>
              <w:t>5</w:t>
            </w:r>
            <w:r>
              <w:rPr>
                <w:rFonts w:hint="eastAsia" w:ascii="宋体" w:hAnsi="宋体" w:cs="宋体"/>
                <w:color w:val="000000" w:themeColor="text1"/>
                <w:sz w:val="24"/>
              </w:rPr>
              <w:t>年化工产品年度询比价比选</w:t>
            </w:r>
            <w:r>
              <w:rPr>
                <w:rFonts w:hint="eastAsia" w:ascii="宋体" w:hAnsi="宋体" w:cs="宋体"/>
                <w:color w:val="000000" w:themeColor="text1"/>
                <w:kern w:val="0"/>
                <w:sz w:val="24"/>
              </w:rPr>
              <w:t>，在</w:t>
            </w:r>
            <w:r>
              <w:rPr>
                <w:rFonts w:hint="eastAsia" w:ascii="宋体" w:hAnsi="宋体" w:cs="宋体"/>
                <w:color w:val="000000" w:themeColor="text1"/>
                <w:kern w:val="0"/>
                <w:sz w:val="24"/>
                <w:u w:val="single"/>
              </w:rPr>
              <w:t xml:space="preserve"> 202</w:t>
            </w:r>
            <w:r>
              <w:rPr>
                <w:rFonts w:hint="eastAsia" w:ascii="宋体" w:hAnsi="宋体" w:cs="宋体"/>
                <w:color w:val="000000" w:themeColor="text1"/>
                <w:kern w:val="0"/>
                <w:sz w:val="24"/>
                <w:u w:val="single"/>
                <w:lang w:val="en-US" w:eastAsia="zh-CN"/>
              </w:rPr>
              <w:t>5</w:t>
            </w:r>
            <w:r>
              <w:rPr>
                <w:rFonts w:hint="eastAsia" w:ascii="宋体" w:hAnsi="宋体" w:cs="宋体"/>
                <w:color w:val="000000" w:themeColor="text1"/>
                <w:kern w:val="0"/>
                <w:sz w:val="24"/>
              </w:rPr>
              <w:t>年</w:t>
            </w:r>
            <w:r>
              <w:rPr>
                <w:rFonts w:hint="eastAsia" w:ascii="宋体" w:hAnsi="宋体" w:cs="宋体"/>
                <w:color w:val="000000" w:themeColor="text1"/>
                <w:kern w:val="0"/>
                <w:sz w:val="24"/>
                <w:lang w:val="en-US" w:eastAsia="zh-CN"/>
              </w:rPr>
              <w:t>5</w:t>
            </w:r>
            <w:r>
              <w:rPr>
                <w:rFonts w:hint="eastAsia" w:ascii="宋体" w:hAnsi="宋体" w:cs="宋体"/>
                <w:color w:val="000000" w:themeColor="text1"/>
                <w:kern w:val="0"/>
                <w:sz w:val="24"/>
              </w:rPr>
              <w:t>月</w:t>
            </w:r>
            <w:r>
              <w:rPr>
                <w:rFonts w:hint="eastAsia" w:ascii="宋体" w:hAnsi="宋体" w:cs="宋体"/>
                <w:color w:val="000000" w:themeColor="text1"/>
                <w:kern w:val="0"/>
                <w:sz w:val="24"/>
                <w:u w:val="single"/>
              </w:rPr>
              <w:t xml:space="preserve"> </w:t>
            </w:r>
            <w:r>
              <w:rPr>
                <w:rFonts w:hint="eastAsia" w:ascii="宋体" w:hAnsi="宋体" w:cs="宋体"/>
                <w:color w:val="000000" w:themeColor="text1"/>
                <w:kern w:val="0"/>
                <w:sz w:val="24"/>
                <w:u w:val="single"/>
                <w:lang w:val="en-US" w:eastAsia="zh-CN"/>
              </w:rPr>
              <w:t>19</w:t>
            </w:r>
            <w:r>
              <w:rPr>
                <w:rFonts w:hint="eastAsia" w:ascii="宋体" w:hAnsi="宋体" w:cs="宋体"/>
                <w:color w:val="000000" w:themeColor="text1"/>
                <w:kern w:val="0"/>
                <w:sz w:val="24"/>
                <w:u w:val="single"/>
              </w:rPr>
              <w:t xml:space="preserve"> </w:t>
            </w:r>
            <w:r>
              <w:rPr>
                <w:rFonts w:hint="eastAsia" w:ascii="宋体" w:hAnsi="宋体" w:cs="宋体"/>
                <w:color w:val="000000" w:themeColor="text1"/>
                <w:kern w:val="0"/>
                <w:sz w:val="24"/>
              </w:rPr>
              <w:t>日</w:t>
            </w:r>
            <w:r>
              <w:rPr>
                <w:rFonts w:hint="eastAsia" w:ascii="宋体" w:hAnsi="宋体" w:cs="宋体"/>
                <w:color w:val="000000" w:themeColor="text1"/>
                <w:kern w:val="0"/>
                <w:sz w:val="24"/>
                <w:u w:val="single"/>
              </w:rPr>
              <w:t>1</w:t>
            </w:r>
            <w:r>
              <w:rPr>
                <w:rFonts w:hint="eastAsia" w:ascii="宋体" w:hAnsi="宋体" w:cs="宋体"/>
                <w:color w:val="000000" w:themeColor="text1"/>
                <w:kern w:val="0"/>
                <w:sz w:val="24"/>
                <w:u w:val="single"/>
                <w:lang w:val="en-US" w:eastAsia="zh-CN"/>
              </w:rPr>
              <w:t>0</w:t>
            </w:r>
            <w:r>
              <w:rPr>
                <w:rFonts w:hint="eastAsia" w:ascii="宋体" w:hAnsi="宋体" w:cs="宋体"/>
                <w:color w:val="000000" w:themeColor="text1"/>
                <w:kern w:val="0"/>
                <w:sz w:val="24"/>
                <w:u w:val="single"/>
              </w:rPr>
              <w:t xml:space="preserve">:00 </w:t>
            </w:r>
            <w:r>
              <w:rPr>
                <w:rFonts w:hint="eastAsia" w:ascii="宋体" w:hAnsi="宋体" w:cs="宋体"/>
                <w:color w:val="000000" w:themeColor="text1"/>
                <w:kern w:val="0"/>
                <w:sz w:val="24"/>
              </w:rPr>
              <w:t>时前不得开启</w:t>
            </w:r>
          </w:p>
        </w:tc>
      </w:tr>
      <w:tr w14:paraId="26CF3F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4" w:type="dxa"/>
            <w:tcBorders>
              <w:top w:val="single" w:color="auto" w:sz="4" w:space="0"/>
              <w:bottom w:val="single" w:color="auto" w:sz="4" w:space="0"/>
              <w:right w:val="single" w:color="auto" w:sz="4" w:space="0"/>
            </w:tcBorders>
            <w:vAlign w:val="center"/>
          </w:tcPr>
          <w:p w14:paraId="0EE30C5D">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11</w:t>
            </w:r>
          </w:p>
        </w:tc>
        <w:tc>
          <w:tcPr>
            <w:tcW w:w="1853" w:type="dxa"/>
            <w:tcBorders>
              <w:top w:val="single" w:color="auto" w:sz="4" w:space="0"/>
              <w:left w:val="single" w:color="auto" w:sz="4" w:space="0"/>
              <w:bottom w:val="single" w:color="auto" w:sz="4" w:space="0"/>
              <w:right w:val="single" w:color="auto" w:sz="4" w:space="0"/>
            </w:tcBorders>
            <w:vAlign w:val="center"/>
          </w:tcPr>
          <w:p w14:paraId="2846C979">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递交报价文件地点</w:t>
            </w:r>
          </w:p>
        </w:tc>
        <w:tc>
          <w:tcPr>
            <w:tcW w:w="6255" w:type="dxa"/>
            <w:tcBorders>
              <w:top w:val="single" w:color="auto" w:sz="4" w:space="0"/>
              <w:left w:val="single" w:color="auto" w:sz="4" w:space="0"/>
              <w:bottom w:val="single" w:color="auto" w:sz="4" w:space="0"/>
            </w:tcBorders>
            <w:vAlign w:val="center"/>
          </w:tcPr>
          <w:p w14:paraId="1FC49E5B">
            <w:pPr>
              <w:spacing w:line="460" w:lineRule="exact"/>
              <w:rPr>
                <w:rFonts w:ascii="宋体" w:hAnsi="宋体" w:cs="宋体"/>
                <w:color w:val="000000" w:themeColor="text1"/>
                <w:sz w:val="24"/>
              </w:rPr>
            </w:pPr>
            <w:r>
              <w:rPr>
                <w:rFonts w:hint="eastAsia" w:ascii="宋体" w:hAnsi="宋体" w:cs="宋体"/>
                <w:color w:val="000000" w:themeColor="text1"/>
                <w:kern w:val="0"/>
                <w:sz w:val="24"/>
              </w:rPr>
              <w:t>成都市龙泉驿区北京路636号</w:t>
            </w:r>
          </w:p>
        </w:tc>
      </w:tr>
      <w:tr w14:paraId="3F0A2B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894" w:type="dxa"/>
            <w:tcBorders>
              <w:top w:val="single" w:color="auto" w:sz="4" w:space="0"/>
              <w:bottom w:val="single" w:color="auto" w:sz="4" w:space="0"/>
              <w:right w:val="single" w:color="auto" w:sz="4" w:space="0"/>
            </w:tcBorders>
            <w:vAlign w:val="center"/>
          </w:tcPr>
          <w:p w14:paraId="798EC754">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12</w:t>
            </w:r>
          </w:p>
        </w:tc>
        <w:tc>
          <w:tcPr>
            <w:tcW w:w="1853" w:type="dxa"/>
            <w:tcBorders>
              <w:top w:val="single" w:color="auto" w:sz="4" w:space="0"/>
              <w:left w:val="single" w:color="auto" w:sz="4" w:space="0"/>
              <w:bottom w:val="single" w:color="auto" w:sz="4" w:space="0"/>
              <w:right w:val="single" w:color="auto" w:sz="4" w:space="0"/>
            </w:tcBorders>
            <w:vAlign w:val="center"/>
          </w:tcPr>
          <w:p w14:paraId="1DBADCC5">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是否退还报价文件</w:t>
            </w:r>
          </w:p>
        </w:tc>
        <w:tc>
          <w:tcPr>
            <w:tcW w:w="6255" w:type="dxa"/>
            <w:tcBorders>
              <w:top w:val="single" w:color="auto" w:sz="4" w:space="0"/>
              <w:left w:val="single" w:color="auto" w:sz="4" w:space="0"/>
              <w:bottom w:val="single" w:color="auto" w:sz="4" w:space="0"/>
            </w:tcBorders>
            <w:vAlign w:val="center"/>
          </w:tcPr>
          <w:p w14:paraId="2D47B008">
            <w:pPr>
              <w:pStyle w:val="25"/>
              <w:jc w:val="both"/>
              <w:rPr>
                <w:rFonts w:hAnsi="宋体"/>
                <w:color w:val="000000" w:themeColor="text1"/>
              </w:rPr>
            </w:pPr>
            <w:r>
              <w:rPr>
                <w:rFonts w:hint="eastAsia" w:hAnsi="宋体"/>
                <w:color w:val="000000" w:themeColor="text1"/>
              </w:rPr>
              <w:t>否</w:t>
            </w:r>
          </w:p>
        </w:tc>
      </w:tr>
      <w:tr w14:paraId="138E92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94" w:type="dxa"/>
            <w:tcBorders>
              <w:top w:val="single" w:color="auto" w:sz="4" w:space="0"/>
              <w:bottom w:val="single" w:color="auto" w:sz="4" w:space="0"/>
              <w:right w:val="single" w:color="auto" w:sz="4" w:space="0"/>
            </w:tcBorders>
            <w:vAlign w:val="center"/>
          </w:tcPr>
          <w:p w14:paraId="75072E75">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13</w:t>
            </w:r>
          </w:p>
        </w:tc>
        <w:tc>
          <w:tcPr>
            <w:tcW w:w="1853" w:type="dxa"/>
            <w:tcBorders>
              <w:top w:val="single" w:color="auto" w:sz="4" w:space="0"/>
              <w:left w:val="single" w:color="auto" w:sz="4" w:space="0"/>
              <w:bottom w:val="single" w:color="auto" w:sz="4" w:space="0"/>
              <w:right w:val="single" w:color="auto" w:sz="4" w:space="0"/>
            </w:tcBorders>
            <w:vAlign w:val="center"/>
          </w:tcPr>
          <w:p w14:paraId="74485E9B">
            <w:pPr>
              <w:autoSpaceDE w:val="0"/>
              <w:autoSpaceDN w:val="0"/>
              <w:adjustRightInd w:val="0"/>
              <w:jc w:val="center"/>
              <w:rPr>
                <w:rFonts w:ascii="宋体" w:hAnsi="宋体" w:cs="宋体"/>
                <w:color w:val="000000" w:themeColor="text1"/>
                <w:kern w:val="0"/>
                <w:sz w:val="24"/>
              </w:rPr>
            </w:pPr>
            <w:r>
              <w:rPr>
                <w:rFonts w:hint="eastAsia" w:ascii="宋体" w:hAnsi="宋体" w:cs="宋体"/>
                <w:color w:val="000000" w:themeColor="text1"/>
                <w:kern w:val="0"/>
                <w:sz w:val="24"/>
              </w:rPr>
              <w:t>公开报价时间和地点</w:t>
            </w:r>
          </w:p>
        </w:tc>
        <w:tc>
          <w:tcPr>
            <w:tcW w:w="6255" w:type="dxa"/>
            <w:tcBorders>
              <w:top w:val="single" w:color="auto" w:sz="4" w:space="0"/>
              <w:left w:val="single" w:color="auto" w:sz="4" w:space="0"/>
              <w:bottom w:val="single" w:color="auto" w:sz="4" w:space="0"/>
            </w:tcBorders>
            <w:vAlign w:val="center"/>
          </w:tcPr>
          <w:p w14:paraId="4F3D2D7D">
            <w:pPr>
              <w:pStyle w:val="25"/>
              <w:rPr>
                <w:rFonts w:hAnsi="宋体"/>
                <w:color w:val="000000" w:themeColor="text1"/>
              </w:rPr>
            </w:pPr>
            <w:r>
              <w:rPr>
                <w:rFonts w:hint="eastAsia" w:hAnsi="宋体"/>
                <w:color w:val="000000" w:themeColor="text1"/>
              </w:rPr>
              <w:t>公开报价时间：同报价截止时间</w:t>
            </w:r>
          </w:p>
          <w:p w14:paraId="6CE292FF">
            <w:pPr>
              <w:pStyle w:val="25"/>
              <w:rPr>
                <w:rFonts w:hAnsi="宋体"/>
                <w:color w:val="000000" w:themeColor="text1"/>
              </w:rPr>
            </w:pPr>
            <w:r>
              <w:rPr>
                <w:rFonts w:hint="eastAsia" w:hAnsi="宋体"/>
                <w:color w:val="000000" w:themeColor="text1"/>
              </w:rPr>
              <w:t>公开报价地点：成都市龙泉驿区北京路636号</w:t>
            </w:r>
          </w:p>
        </w:tc>
      </w:tr>
      <w:tr w14:paraId="1BB654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94" w:type="dxa"/>
            <w:tcBorders>
              <w:top w:val="single" w:color="auto" w:sz="4" w:space="0"/>
              <w:bottom w:val="single" w:color="auto" w:sz="4" w:space="0"/>
              <w:right w:val="single" w:color="auto" w:sz="4" w:space="0"/>
            </w:tcBorders>
            <w:vAlign w:val="center"/>
          </w:tcPr>
          <w:p w14:paraId="3BED56F6">
            <w:pPr>
              <w:snapToGrid w:val="0"/>
              <w:jc w:val="center"/>
              <w:rPr>
                <w:rFonts w:ascii="宋体" w:hAnsi="宋体" w:cs="宋体"/>
                <w:color w:val="000000" w:themeColor="text1"/>
                <w:kern w:val="0"/>
                <w:sz w:val="24"/>
              </w:rPr>
            </w:pPr>
            <w:r>
              <w:rPr>
                <w:rFonts w:hint="eastAsia" w:ascii="宋体" w:hAnsi="宋体" w:cs="宋体"/>
                <w:color w:val="000000" w:themeColor="text1"/>
                <w:kern w:val="0"/>
                <w:sz w:val="24"/>
              </w:rPr>
              <w:t>14</w:t>
            </w:r>
          </w:p>
        </w:tc>
        <w:tc>
          <w:tcPr>
            <w:tcW w:w="1853" w:type="dxa"/>
            <w:tcBorders>
              <w:top w:val="single" w:color="auto" w:sz="4" w:space="0"/>
              <w:left w:val="single" w:color="auto" w:sz="4" w:space="0"/>
              <w:bottom w:val="single" w:color="auto" w:sz="4" w:space="0"/>
              <w:right w:val="single" w:color="auto" w:sz="4" w:space="0"/>
            </w:tcBorders>
            <w:vAlign w:val="center"/>
          </w:tcPr>
          <w:p w14:paraId="3714F0CC">
            <w:pPr>
              <w:autoSpaceDE w:val="0"/>
              <w:autoSpaceDN w:val="0"/>
              <w:adjustRightInd w:val="0"/>
              <w:jc w:val="center"/>
              <w:rPr>
                <w:rFonts w:ascii="宋体" w:hAnsi="宋体" w:cs="宋体"/>
                <w:kern w:val="0"/>
                <w:sz w:val="24"/>
              </w:rPr>
            </w:pPr>
            <w:r>
              <w:rPr>
                <w:rFonts w:hint="eastAsia" w:ascii="宋体" w:hAnsi="宋体" w:cs="宋体"/>
                <w:kern w:val="0"/>
                <w:sz w:val="24"/>
              </w:rPr>
              <w:t>评审办法</w:t>
            </w:r>
          </w:p>
        </w:tc>
        <w:tc>
          <w:tcPr>
            <w:tcW w:w="6255" w:type="dxa"/>
            <w:tcBorders>
              <w:top w:val="single" w:color="auto" w:sz="4" w:space="0"/>
              <w:left w:val="single" w:color="auto" w:sz="4" w:space="0"/>
              <w:bottom w:val="single" w:color="auto" w:sz="4" w:space="0"/>
            </w:tcBorders>
            <w:vAlign w:val="center"/>
          </w:tcPr>
          <w:p w14:paraId="2C25C4A1">
            <w:pPr>
              <w:autoSpaceDE w:val="0"/>
              <w:autoSpaceDN w:val="0"/>
              <w:adjustRightInd w:val="0"/>
              <w:rPr>
                <w:rFonts w:ascii="宋体" w:hAnsi="宋体" w:cs="宋体"/>
                <w:kern w:val="0"/>
                <w:sz w:val="24"/>
              </w:rPr>
            </w:pPr>
            <w:r>
              <w:rPr>
                <w:rFonts w:hint="eastAsia" w:ascii="宋体" w:hAnsi="宋体" w:cs="宋体"/>
                <w:sz w:val="24"/>
              </w:rPr>
              <w:t>满足供应要求、合同条款、资质条件，最低价中标</w:t>
            </w:r>
          </w:p>
        </w:tc>
      </w:tr>
    </w:tbl>
    <w:p w14:paraId="69CB46DE">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一、供应商参加采购活动应当符合国家相关法律法规。</w:t>
      </w:r>
    </w:p>
    <w:p w14:paraId="254096AE">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14:paraId="6B7B689A">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三、中标人必须对报价文件负全责；在中标后</w:t>
      </w:r>
      <w:r>
        <w:rPr>
          <w:rFonts w:asciiTheme="majorEastAsia" w:hAnsiTheme="majorEastAsia" w:eastAsiaTheme="majorEastAsia"/>
          <w:color w:val="000000" w:themeColor="text1"/>
          <w:sz w:val="24"/>
        </w:rPr>
        <w:t>10</w:t>
      </w:r>
      <w:r>
        <w:rPr>
          <w:rFonts w:hint="eastAsia" w:asciiTheme="majorEastAsia" w:hAnsiTheme="majorEastAsia" w:eastAsiaTheme="majorEastAsia"/>
          <w:color w:val="000000" w:themeColor="text1"/>
          <w:sz w:val="24"/>
        </w:rPr>
        <w:t>个工作日内与采购人签订合同，并在规定时间内供货。</w:t>
      </w:r>
    </w:p>
    <w:p w14:paraId="793464BF">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四、响应文件应包括：</w:t>
      </w:r>
    </w:p>
    <w:p w14:paraId="5DA8E83E">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bCs/>
          <w:color w:val="000000" w:themeColor="text1"/>
        </w:rPr>
        <w:t>合格供应商资格要求资料（详见</w:t>
      </w:r>
      <w:r>
        <w:rPr>
          <w:rFonts w:hint="eastAsia" w:asciiTheme="majorEastAsia" w:hAnsiTheme="majorEastAsia" w:eastAsiaTheme="majorEastAsia"/>
          <w:color w:val="000000" w:themeColor="text1"/>
        </w:rPr>
        <w:t>询价采购邀请函第一条</w:t>
      </w:r>
      <w:r>
        <w:rPr>
          <w:rFonts w:hint="eastAsia" w:asciiTheme="majorEastAsia" w:hAnsiTheme="majorEastAsia" w:eastAsiaTheme="majorEastAsia"/>
          <w:bCs/>
          <w:color w:val="000000" w:themeColor="text1"/>
        </w:rPr>
        <w:t>）；</w:t>
      </w:r>
    </w:p>
    <w:p w14:paraId="332A4B68">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法人代表授权委托书原件（格式见附件一）；</w:t>
      </w:r>
    </w:p>
    <w:p w14:paraId="28714F8D">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明细报价表（附件三）；</w:t>
      </w:r>
    </w:p>
    <w:p w14:paraId="05508C5E">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相关服务承诺（</w:t>
      </w:r>
      <w:r>
        <w:rPr>
          <w:rFonts w:hint="eastAsia" w:asciiTheme="majorEastAsia" w:hAnsiTheme="majorEastAsia" w:eastAsiaTheme="majorEastAsia" w:cstheme="majorEastAsia"/>
          <w:bCs/>
          <w:color w:val="000000"/>
        </w:rPr>
        <w:t>外包装标明批次、数量，并及时提供批次合格证；包装费用由供方负担。所有供方的化工产品内外空包装由供方免费负责回收。</w:t>
      </w:r>
      <w:r>
        <w:rPr>
          <w:rFonts w:hint="eastAsia" w:asciiTheme="majorEastAsia" w:hAnsiTheme="majorEastAsia" w:eastAsiaTheme="majorEastAsia"/>
          <w:color w:val="000000" w:themeColor="text1"/>
        </w:rPr>
        <w:t>）；</w:t>
      </w:r>
    </w:p>
    <w:p w14:paraId="1AA262BB">
      <w:pPr>
        <w:pStyle w:val="5"/>
        <w:numPr>
          <w:ilvl w:val="0"/>
          <w:numId w:val="3"/>
        </w:num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报价单位认为适宜的与本项目相关的其他资格证明资料。</w:t>
      </w:r>
    </w:p>
    <w:p w14:paraId="17A6B9CC">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注：</w:t>
      </w:r>
      <w:r>
        <w:rPr>
          <w:rFonts w:hint="eastAsia" w:asciiTheme="majorEastAsia" w:hAnsiTheme="majorEastAsia" w:eastAsiaTheme="majorEastAsia"/>
          <w:b/>
          <w:bCs/>
          <w:iCs/>
          <w:color w:val="000000" w:themeColor="text1"/>
          <w:sz w:val="24"/>
          <w:u w:val="single"/>
        </w:rPr>
        <w:t>以上材料须加盖单位公章</w:t>
      </w:r>
      <w:r>
        <w:rPr>
          <w:rFonts w:hint="eastAsia" w:asciiTheme="majorEastAsia" w:hAnsiTheme="majorEastAsia" w:eastAsiaTheme="majorEastAsia"/>
          <w:b/>
          <w:color w:val="000000" w:themeColor="text1"/>
          <w:sz w:val="24"/>
          <w:u w:val="single"/>
        </w:rPr>
        <w:t>（原件备查）</w:t>
      </w:r>
      <w:r>
        <w:rPr>
          <w:rFonts w:hint="eastAsia" w:asciiTheme="majorEastAsia" w:hAnsiTheme="majorEastAsia" w:eastAsiaTheme="majorEastAsia"/>
          <w:b/>
          <w:bCs/>
          <w:iCs/>
          <w:color w:val="000000" w:themeColor="text1"/>
          <w:sz w:val="24"/>
          <w:u w:val="single"/>
        </w:rPr>
        <w:t>，</w:t>
      </w:r>
      <w:r>
        <w:rPr>
          <w:rFonts w:hint="eastAsia" w:asciiTheme="majorEastAsia" w:hAnsiTheme="majorEastAsia" w:eastAsiaTheme="majorEastAsia"/>
          <w:b/>
          <w:iCs/>
          <w:color w:val="000000" w:themeColor="text1"/>
          <w:sz w:val="24"/>
          <w:u w:val="single"/>
        </w:rPr>
        <w:t>供应商应将响应文件按上述顺序装订成册</w:t>
      </w:r>
      <w:r>
        <w:rPr>
          <w:rFonts w:hint="eastAsia" w:asciiTheme="majorEastAsia" w:hAnsiTheme="majorEastAsia" w:eastAsiaTheme="majorEastAsia"/>
          <w:color w:val="000000" w:themeColor="text1"/>
          <w:sz w:val="24"/>
        </w:rPr>
        <w:t>。</w:t>
      </w:r>
      <w:r>
        <w:rPr>
          <w:rFonts w:hint="eastAsia" w:asciiTheme="majorEastAsia" w:hAnsiTheme="majorEastAsia" w:eastAsiaTheme="majorEastAsia"/>
          <w:b/>
          <w:color w:val="000000" w:themeColor="text1"/>
          <w:sz w:val="24"/>
          <w:u w:val="single"/>
        </w:rPr>
        <w:t>供应商在递交询价响应文件时，必须是密封完好的，密封件正面应标明单位名称，并在封口处加盖单位公章</w:t>
      </w:r>
    </w:p>
    <w:p w14:paraId="1A6D44EC">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五、各供应商填列的单价和总价以人民币元为单位，报价应</w:t>
      </w:r>
      <w:r>
        <w:rPr>
          <w:rFonts w:asciiTheme="majorEastAsia" w:hAnsiTheme="majorEastAsia" w:eastAsiaTheme="majorEastAsia"/>
          <w:color w:val="000000" w:themeColor="text1"/>
          <w:sz w:val="24"/>
        </w:rPr>
        <w:t>含</w:t>
      </w:r>
      <w:r>
        <w:rPr>
          <w:rFonts w:hint="eastAsia" w:asciiTheme="majorEastAsia" w:hAnsiTheme="majorEastAsia" w:eastAsiaTheme="majorEastAsia"/>
          <w:color w:val="000000" w:themeColor="text1"/>
          <w:sz w:val="24"/>
        </w:rPr>
        <w:t>货物运费、装卸、搬运及货物交付使用前的一切费用，只能有一个报价，报价含税13</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，并开具增值税专用发票。</w:t>
      </w:r>
    </w:p>
    <w:p w14:paraId="39FA39E5">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六、报价文件接受截止时间及地点</w:t>
      </w:r>
    </w:p>
    <w:p w14:paraId="245DFA71">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（一）询价文件接收截止时间：</w:t>
      </w:r>
      <w:r>
        <w:rPr>
          <w:rFonts w:asciiTheme="majorEastAsia" w:hAnsiTheme="majorEastAsia" w:eastAsiaTheme="majorEastAsia"/>
          <w:color w:val="000000" w:themeColor="text1"/>
          <w:sz w:val="24"/>
          <w:u w:val="single"/>
        </w:rPr>
        <w:t>20</w:t>
      </w:r>
      <w:r>
        <w:rPr>
          <w:rFonts w:hint="eastAsia" w:asciiTheme="majorEastAsia" w:hAnsiTheme="majorEastAsia" w:eastAsiaTheme="majorEastAsia"/>
          <w:color w:val="000000" w:themeColor="text1"/>
          <w:sz w:val="24"/>
          <w:u w:val="single"/>
        </w:rPr>
        <w:t>2</w:t>
      </w:r>
      <w:r>
        <w:rPr>
          <w:rFonts w:hint="eastAsia" w:asciiTheme="majorEastAsia" w:hAnsiTheme="majorEastAsia" w:eastAsiaTheme="majorEastAsia"/>
          <w:color w:val="000000" w:themeColor="text1"/>
          <w:sz w:val="24"/>
          <w:u w:val="single"/>
          <w:lang w:val="en-US" w:eastAsia="zh-CN"/>
        </w:rPr>
        <w:t>5</w:t>
      </w:r>
      <w:r>
        <w:rPr>
          <w:rFonts w:hint="eastAsia" w:asciiTheme="majorEastAsia" w:hAnsiTheme="majorEastAsia" w:eastAsiaTheme="majorEastAsia"/>
          <w:color w:val="000000" w:themeColor="text1"/>
          <w:sz w:val="24"/>
        </w:rPr>
        <w:t>年</w:t>
      </w:r>
      <w:r>
        <w:rPr>
          <w:rFonts w:hint="eastAsia" w:asciiTheme="majorEastAsia" w:hAnsiTheme="majorEastAsia" w:eastAsiaTheme="majorEastAsia"/>
          <w:color w:val="000000" w:themeColor="text1"/>
          <w:sz w:val="24"/>
          <w:u w:val="single"/>
        </w:rPr>
        <w:t xml:space="preserve"> </w:t>
      </w:r>
      <w:r>
        <w:rPr>
          <w:rFonts w:hint="eastAsia" w:asciiTheme="majorEastAsia" w:hAnsiTheme="majorEastAsia" w:eastAsiaTheme="majorEastAsia"/>
          <w:color w:val="000000" w:themeColor="text1"/>
          <w:sz w:val="24"/>
          <w:u w:val="single"/>
          <w:lang w:val="en-US" w:eastAsia="zh-CN"/>
        </w:rPr>
        <w:t>5</w:t>
      </w:r>
      <w:r>
        <w:rPr>
          <w:rFonts w:hint="eastAsia" w:asciiTheme="majorEastAsia" w:hAnsiTheme="majorEastAsia" w:eastAsiaTheme="majorEastAsia"/>
          <w:color w:val="000000" w:themeColor="text1"/>
          <w:sz w:val="24"/>
        </w:rPr>
        <w:t>月</w:t>
      </w:r>
      <w:r>
        <w:rPr>
          <w:rFonts w:asciiTheme="majorEastAsia" w:hAnsiTheme="majorEastAsia" w:eastAsiaTheme="majorEastAsia"/>
          <w:color w:val="000000" w:themeColor="text1"/>
          <w:sz w:val="24"/>
          <w:u w:val="single"/>
        </w:rPr>
        <w:t xml:space="preserve"> </w:t>
      </w:r>
      <w:r>
        <w:rPr>
          <w:rFonts w:hint="eastAsia" w:asciiTheme="majorEastAsia" w:hAnsiTheme="majorEastAsia" w:eastAsiaTheme="majorEastAsia"/>
          <w:color w:val="000000" w:themeColor="text1"/>
          <w:sz w:val="24"/>
          <w:u w:val="single"/>
          <w:lang w:val="en-US" w:eastAsia="zh-CN"/>
        </w:rPr>
        <w:t>19</w:t>
      </w:r>
      <w:r>
        <w:rPr>
          <w:rFonts w:hint="eastAsia" w:asciiTheme="majorEastAsia" w:hAnsiTheme="majorEastAsia" w:eastAsiaTheme="majorEastAsia"/>
          <w:color w:val="000000" w:themeColor="text1"/>
          <w:sz w:val="24"/>
        </w:rPr>
        <w:t>日1</w:t>
      </w:r>
      <w:r>
        <w:rPr>
          <w:rFonts w:hint="eastAsia" w:asciiTheme="majorEastAsia" w:hAnsiTheme="majorEastAsia" w:eastAsiaTheme="majorEastAsia"/>
          <w:color w:val="000000" w:themeColor="text1"/>
          <w:sz w:val="24"/>
          <w:lang w:val="en-US" w:eastAsia="zh-CN"/>
        </w:rPr>
        <w:t>0</w:t>
      </w:r>
      <w:r>
        <w:rPr>
          <w:rFonts w:hint="eastAsia" w:asciiTheme="majorEastAsia" w:hAnsiTheme="majorEastAsia" w:eastAsiaTheme="majorEastAsia"/>
          <w:color w:val="000000" w:themeColor="text1"/>
          <w:sz w:val="24"/>
        </w:rPr>
        <w:t>:00时，截止时间后，将拒绝接收新的报价文件。</w:t>
      </w:r>
    </w:p>
    <w:p w14:paraId="3C5EE1E7">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（二）投送地点：成都光明派特贵金属有限公司 综合管理部</w:t>
      </w:r>
    </w:p>
    <w:p w14:paraId="4B7979D2">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七、下列情况将被视为</w:t>
      </w:r>
      <w:r>
        <w:rPr>
          <w:rFonts w:hint="eastAsia" w:asciiTheme="majorEastAsia" w:hAnsiTheme="majorEastAsia" w:eastAsiaTheme="majorEastAsia"/>
          <w:b/>
          <w:color w:val="000000" w:themeColor="text1"/>
          <w:sz w:val="24"/>
        </w:rPr>
        <w:t>无效</w:t>
      </w:r>
      <w:r>
        <w:rPr>
          <w:rFonts w:hint="eastAsia" w:asciiTheme="majorEastAsia" w:hAnsiTheme="majorEastAsia" w:eastAsiaTheme="majorEastAsia"/>
          <w:color w:val="000000" w:themeColor="text1"/>
          <w:sz w:val="24"/>
        </w:rPr>
        <w:t>报价文件：</w:t>
      </w:r>
    </w:p>
    <w:p w14:paraId="21DE2F3F">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（一）报价文件未在规定时间内送达指定地点；</w:t>
      </w:r>
    </w:p>
    <w:p w14:paraId="1E543C17">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lang w:val="en-US" w:eastAsia="zh-CN"/>
        </w:rPr>
        <w:t>二</w:t>
      </w:r>
      <w:r>
        <w:rPr>
          <w:rFonts w:hint="eastAsia" w:asciiTheme="majorEastAsia" w:hAnsiTheme="majorEastAsia" w:eastAsiaTheme="majorEastAsia"/>
          <w:color w:val="000000" w:themeColor="text1"/>
          <w:sz w:val="24"/>
        </w:rPr>
        <w:t>）报价文件中的各项内容填列不完整和有涂改现象的，供应商公章和供应商代表签字不齐的；</w:t>
      </w:r>
    </w:p>
    <w:p w14:paraId="6415238B">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lang w:val="en-US" w:eastAsia="zh-CN"/>
        </w:rPr>
        <w:t>三</w:t>
      </w:r>
      <w:r>
        <w:rPr>
          <w:rFonts w:hint="eastAsia" w:asciiTheme="majorEastAsia" w:hAnsiTheme="majorEastAsia" w:eastAsiaTheme="majorEastAsia"/>
          <w:color w:val="000000" w:themeColor="text1"/>
          <w:sz w:val="24"/>
        </w:rPr>
        <w:t>）法律、法规规定的其他情况。</w:t>
      </w:r>
    </w:p>
    <w:p w14:paraId="30CD16B4">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八、评审过程的保密性：报价后，直至向成交供应商授予合同时止，凡与审查、澄清、评价和比较报价文件有关的资料以及授予合同的意见等，均不得向供应商及与询价采购无关的其他人透露。</w:t>
      </w:r>
    </w:p>
    <w:p w14:paraId="64840EE1">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九、报价文件的评审</w:t>
      </w:r>
    </w:p>
    <w:p w14:paraId="0C257B01">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（一）评审工作由采购人组建的询价小组负责。询价小组由有关的技术、生产方面的专家和采购人代表组成。询价小组根据询价文件规定的方法和标准独立评审，负责完成评审的全过程直至评定成交供应商。</w:t>
      </w:r>
    </w:p>
    <w:p w14:paraId="4A28A72E">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（二）审查是否所有供应商的报价均超过采购预算：出现所有供应商的报价均超过采购预算、采购人没有支付能力的情况时采购无效，询价小组有权决定拒绝所有报价文件。</w:t>
      </w:r>
    </w:p>
    <w:p w14:paraId="62354372">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67F49341">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（四）审查报价文件是否实质性响应询价文件的要求</w:t>
      </w:r>
    </w:p>
    <w:p w14:paraId="502C30A2">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．对于经审查确定为资格合格的供应商，询价小组将审查其报价文件是否对询价文件的所有事项、格式、条款和技术规范等要求都做出了实质性响应。</w:t>
      </w:r>
    </w:p>
    <w:p w14:paraId="76B4222E">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14:paraId="63BEC539">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3</w:t>
      </w:r>
      <w:r>
        <w:rPr>
          <w:rFonts w:hint="eastAsia" w:asciiTheme="majorEastAsia" w:hAnsiTheme="majorEastAsia" w:eastAsiaTheme="majorEastAsia"/>
          <w:color w:val="000000" w:themeColor="text1"/>
          <w:sz w:val="24"/>
        </w:rPr>
        <w:t>．报价文件有下列情形之一的属于重大偏离，将被作废处理：</w:t>
      </w:r>
    </w:p>
    <w:p w14:paraId="2F13FD63">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）报价文件未按询价文件附件《报价文件格式》相关格式规定有效签署和</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或加盖公章；</w:t>
      </w:r>
    </w:p>
    <w:p w14:paraId="0E6FB270">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）报价文件载明的项目完成期限超过询价文件规定；</w:t>
      </w:r>
    </w:p>
    <w:p w14:paraId="6CBE5F3C">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3</w:t>
      </w:r>
      <w:r>
        <w:rPr>
          <w:rFonts w:hint="eastAsia" w:asciiTheme="majorEastAsia" w:hAnsiTheme="majorEastAsia" w:eastAsiaTheme="majorEastAsia"/>
          <w:color w:val="000000" w:themeColor="text1"/>
          <w:sz w:val="24"/>
        </w:rPr>
        <w:t>）明显不符合询价文件规定的技术规格、技术标准；</w:t>
      </w:r>
    </w:p>
    <w:p w14:paraId="1DAC4708">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4</w:t>
      </w:r>
      <w:r>
        <w:rPr>
          <w:rFonts w:hint="eastAsia" w:asciiTheme="majorEastAsia" w:hAnsiTheme="majorEastAsia" w:eastAsiaTheme="majorEastAsia"/>
          <w:color w:val="000000" w:themeColor="text1"/>
          <w:sz w:val="24"/>
        </w:rPr>
        <w:t>）报价文件载明的货物检验标准和方法等明显不符合询价文件要求；</w:t>
      </w:r>
    </w:p>
    <w:p w14:paraId="13B62FBD">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5</w:t>
      </w:r>
      <w:r>
        <w:rPr>
          <w:rFonts w:hint="eastAsia" w:asciiTheme="majorEastAsia" w:hAnsiTheme="majorEastAsia" w:eastAsiaTheme="majorEastAsia"/>
          <w:color w:val="000000" w:themeColor="text1"/>
          <w:sz w:val="24"/>
        </w:rPr>
        <w:t>）询价文件要求提供样品，但供应商未提供；</w:t>
      </w:r>
    </w:p>
    <w:p w14:paraId="09DD3565">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6</w:t>
      </w:r>
      <w:r>
        <w:rPr>
          <w:rFonts w:hint="eastAsia" w:asciiTheme="majorEastAsia" w:hAnsiTheme="majorEastAsia" w:eastAsiaTheme="majorEastAsia"/>
          <w:color w:val="000000" w:themeColor="text1"/>
          <w:sz w:val="24"/>
        </w:rPr>
        <w:t>）报价文件附有采购人不能接受的条件；</w:t>
      </w:r>
    </w:p>
    <w:p w14:paraId="5F065DA3">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7</w:t>
      </w:r>
      <w:r>
        <w:rPr>
          <w:rFonts w:hint="eastAsia" w:asciiTheme="majorEastAsia" w:hAnsiTheme="majorEastAsia" w:eastAsiaTheme="majorEastAsia"/>
          <w:color w:val="000000" w:themeColor="text1"/>
          <w:sz w:val="24"/>
        </w:rPr>
        <w:t>）不符合询价文件规定的其他实质性要求；</w:t>
      </w:r>
    </w:p>
    <w:p w14:paraId="518AEA29">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14:paraId="34706929">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572F5CC8">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十、出现下列情形之一的，询价小组有权否决所有供应商的报价或取消采购活动：</w:t>
      </w:r>
    </w:p>
    <w:p w14:paraId="4CF15DDA">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．参与报价的供应商不足三家的；</w:t>
      </w:r>
    </w:p>
    <w:p w14:paraId="0854CFDA">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．出现影响采购公正的违法、违规行为的；</w:t>
      </w:r>
    </w:p>
    <w:p w14:paraId="5D6880B4">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3</w:t>
      </w:r>
      <w:r>
        <w:rPr>
          <w:rFonts w:hint="eastAsia" w:asciiTheme="majorEastAsia" w:hAnsiTheme="majorEastAsia" w:eastAsiaTheme="majorEastAsia"/>
          <w:color w:val="000000" w:themeColor="text1"/>
          <w:sz w:val="24"/>
        </w:rPr>
        <w:t>．供应商的报价均超过了采购预算，采购单位不能支付的；</w:t>
      </w:r>
    </w:p>
    <w:p w14:paraId="69A4D257">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4</w:t>
      </w:r>
      <w:r>
        <w:rPr>
          <w:rFonts w:hint="eastAsia" w:asciiTheme="majorEastAsia" w:hAnsiTheme="majorEastAsia" w:eastAsiaTheme="majorEastAsia"/>
          <w:color w:val="000000" w:themeColor="text1"/>
          <w:sz w:val="24"/>
        </w:rPr>
        <w:t>．因重大变故，采购任务取消的；</w:t>
      </w:r>
    </w:p>
    <w:p w14:paraId="646FD34A">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5</w:t>
      </w:r>
      <w:r>
        <w:rPr>
          <w:rFonts w:hint="eastAsia" w:asciiTheme="majorEastAsia" w:hAnsiTheme="majorEastAsia" w:eastAsiaTheme="majorEastAsia"/>
          <w:color w:val="000000" w:themeColor="text1"/>
          <w:sz w:val="24"/>
        </w:rPr>
        <w:t>．询价小组经评审认为所有报价文件都不符合询价文件要求的。</w:t>
      </w:r>
    </w:p>
    <w:p w14:paraId="2E395920">
      <w:pPr>
        <w:spacing w:line="480" w:lineRule="exact"/>
        <w:ind w:firstLine="480" w:firstLineChars="200"/>
        <w:rPr>
          <w:rFonts w:asciiTheme="majorEastAsia" w:hAnsiTheme="majorEastAsia" w:eastAsiaTheme="majorEastAsia"/>
          <w:color w:val="000000" w:themeColor="text1"/>
          <w:sz w:val="24"/>
        </w:rPr>
      </w:pPr>
      <w:bookmarkStart w:id="2" w:name="_Toc217446103"/>
      <w:r>
        <w:rPr>
          <w:rFonts w:hint="eastAsia" w:asciiTheme="majorEastAsia" w:hAnsiTheme="majorEastAsia" w:eastAsiaTheme="majorEastAsia"/>
          <w:color w:val="000000" w:themeColor="text1"/>
          <w:sz w:val="24"/>
        </w:rPr>
        <w:t>十一、评审细则及标准</w:t>
      </w:r>
      <w:bookmarkEnd w:id="2"/>
    </w:p>
    <w:p w14:paraId="38099C30">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．评审小组只对通过初审的响应文件，根据询价通知书规定的评审程序、评分办法及标准进行评价和比较。</w:t>
      </w:r>
    </w:p>
    <w:p w14:paraId="310B2B55">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．本次评分的因素是：满足供货要求，最低价中标法。</w:t>
      </w:r>
    </w:p>
    <w:p w14:paraId="15C9DE96">
      <w:pPr>
        <w:rPr>
          <w:sz w:val="30"/>
          <w:szCs w:val="30"/>
        </w:rPr>
      </w:pPr>
      <w:bookmarkStart w:id="3" w:name="_Toc17598"/>
      <w:r>
        <w:rPr>
          <w:rFonts w:hint="eastAsia"/>
          <w:sz w:val="30"/>
          <w:szCs w:val="30"/>
        </w:rPr>
        <w:br w:type="page"/>
      </w:r>
    </w:p>
    <w:p w14:paraId="73BD0C18">
      <w:pPr>
        <w:pStyle w:val="2"/>
        <w:jc w:val="center"/>
        <w:rPr>
          <w:sz w:val="30"/>
          <w:szCs w:val="30"/>
        </w:rPr>
      </w:pPr>
      <w:r>
        <w:rPr>
          <w:rFonts w:hint="eastAsia"/>
          <w:sz w:val="30"/>
          <w:szCs w:val="30"/>
        </w:rPr>
        <w:t>第三部分  供应商要求</w:t>
      </w:r>
      <w:bookmarkEnd w:id="3"/>
    </w:p>
    <w:p w14:paraId="03239D33">
      <w:pPr>
        <w:pStyle w:val="35"/>
        <w:numPr>
          <w:ilvl w:val="0"/>
          <w:numId w:val="4"/>
        </w:numPr>
        <w:spacing w:line="480" w:lineRule="exact"/>
        <w:ind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供应商资质要求：</w:t>
      </w:r>
    </w:p>
    <w:p w14:paraId="177941E5">
      <w:pPr>
        <w:pStyle w:val="35"/>
        <w:spacing w:line="408" w:lineRule="auto"/>
        <w:ind w:left="568"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1、有效的工商营业执照副本复印件；</w:t>
      </w:r>
    </w:p>
    <w:p w14:paraId="24A8998C">
      <w:pPr>
        <w:pStyle w:val="35"/>
        <w:spacing w:line="408" w:lineRule="auto"/>
        <w:ind w:left="568"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2、危险化学品经营许可证;</w:t>
      </w:r>
    </w:p>
    <w:p w14:paraId="3C19FB3B">
      <w:pPr>
        <w:pStyle w:val="35"/>
        <w:spacing w:line="408" w:lineRule="auto"/>
        <w:ind w:left="568" w:firstLine="0" w:firstLineChars="0"/>
        <w:rPr>
          <w:rFonts w:hint="eastAsia" w:asciiTheme="majorEastAsia" w:hAnsiTheme="majorEastAsia" w:eastAsiaTheme="majorEastAsia"/>
          <w:color w:val="000000" w:themeColor="text1"/>
          <w:sz w:val="24"/>
          <w:lang w:eastAsia="zh-CN"/>
        </w:rPr>
      </w:pPr>
      <w:r>
        <w:rPr>
          <w:rFonts w:hint="eastAsia" w:asciiTheme="majorEastAsia" w:hAnsiTheme="majorEastAsia" w:eastAsiaTheme="majorEastAsia"/>
          <w:color w:val="000000" w:themeColor="text1"/>
          <w:sz w:val="24"/>
        </w:rPr>
        <w:t>3、非药品类易制毒化学品经营备案证明;</w:t>
      </w:r>
    </w:p>
    <w:p w14:paraId="2E147713">
      <w:pPr>
        <w:pStyle w:val="35"/>
        <w:numPr>
          <w:ilvl w:val="0"/>
          <w:numId w:val="4"/>
        </w:numPr>
        <w:spacing w:line="408" w:lineRule="auto"/>
        <w:ind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供应商能力要求</w:t>
      </w:r>
    </w:p>
    <w:p w14:paraId="65BD5784">
      <w:pPr>
        <w:pStyle w:val="35"/>
        <w:spacing w:line="408" w:lineRule="auto"/>
        <w:ind w:left="480"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1、供应商接到订单必须在24h内送货到指定地点；</w:t>
      </w:r>
    </w:p>
    <w:p w14:paraId="304AA8C3">
      <w:pPr>
        <w:pStyle w:val="35"/>
        <w:spacing w:line="408" w:lineRule="auto"/>
        <w:ind w:left="480"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2、危化品必须是专用车辆运输，且操作人员必须持证上岗；</w:t>
      </w:r>
    </w:p>
    <w:p w14:paraId="626ED1DC">
      <w:pPr>
        <w:pStyle w:val="35"/>
        <w:spacing w:line="408" w:lineRule="auto"/>
        <w:ind w:left="480"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szCs w:val="24"/>
        </w:rPr>
        <w:t>3、要求供应商使用吨桶送货；</w:t>
      </w:r>
    </w:p>
    <w:p w14:paraId="6A5DA9E4">
      <w:pPr>
        <w:pStyle w:val="35"/>
        <w:spacing w:line="408" w:lineRule="auto"/>
        <w:ind w:left="480"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szCs w:val="24"/>
        </w:rPr>
        <w:t>4、产品质量必须符合国家标准，每一批次必须提供合格的产品检测报告，方能验收入库。</w:t>
      </w:r>
    </w:p>
    <w:p w14:paraId="12567A89">
      <w:pPr>
        <w:pStyle w:val="35"/>
        <w:numPr>
          <w:ilvl w:val="0"/>
          <w:numId w:val="4"/>
        </w:numPr>
        <w:spacing w:line="408" w:lineRule="auto"/>
        <w:ind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其它要求</w:t>
      </w:r>
    </w:p>
    <w:p w14:paraId="7425200B">
      <w:pPr>
        <w:pStyle w:val="35"/>
        <w:spacing w:line="408" w:lineRule="auto"/>
        <w:ind w:left="426"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1、付款周期及方式：原则上实行货到2个月后滚动付款方式。即供方货到验收合格后，且需方收到该批货增值税发票并在财务挂账，即开始计算付款周期，2个月账期到后，以银行承兑或者汇款结算该批次货款。</w:t>
      </w:r>
    </w:p>
    <w:p w14:paraId="42FDC5C5">
      <w:pPr>
        <w:pStyle w:val="35"/>
        <w:spacing w:line="408" w:lineRule="auto"/>
        <w:ind w:left="426" w:firstLine="0" w:firstLineChars="0"/>
        <w:rPr>
          <w:rFonts w:asciiTheme="majorEastAsia" w:hAnsiTheme="majorEastAsia" w:eastAsiaTheme="majorEastAsia"/>
          <w:sz w:val="24"/>
          <w:szCs w:val="24"/>
        </w:rPr>
      </w:pPr>
      <w:r>
        <w:rPr>
          <w:rFonts w:hint="eastAsia" w:ascii="宋体" w:hAnsi="宋体" w:cs="宋体"/>
          <w:bCs/>
          <w:kern w:val="0"/>
          <w:sz w:val="24"/>
          <w:szCs w:val="24"/>
        </w:rPr>
        <w:t>2、包装标准、包装物的费用负担：外包装标明批次、数量，并及时提供批次合格证；包装费用由供方负担。</w:t>
      </w:r>
      <w:r>
        <w:rPr>
          <w:rFonts w:hint="eastAsia" w:ascii="宋体" w:cs="宋体"/>
          <w:bCs/>
          <w:kern w:val="0"/>
          <w:sz w:val="24"/>
          <w:szCs w:val="24"/>
        </w:rPr>
        <w:t>所有供方的化工产品内、外空包装由供方负责依法合规回收，其费用包含在产品报价中。</w:t>
      </w:r>
    </w:p>
    <w:p w14:paraId="3B9C4255">
      <w:pPr>
        <w:pStyle w:val="35"/>
        <w:spacing w:line="408" w:lineRule="auto"/>
        <w:ind w:left="426" w:firstLine="0" w:firstLineChars="0"/>
        <w:rPr>
          <w:rFonts w:ascii="宋体" w:hAnsi="宋体"/>
          <w:sz w:val="24"/>
          <w:szCs w:val="24"/>
        </w:rPr>
      </w:pPr>
      <w:r>
        <w:rPr>
          <w:rFonts w:hint="eastAsia" w:ascii="宋体" w:hAnsi="宋体"/>
          <w:bCs/>
          <w:spacing w:val="-8"/>
          <w:sz w:val="24"/>
        </w:rPr>
        <w:t>3、供方在送货进入需方事厂区主干道车速不超过</w:t>
      </w:r>
      <w:r>
        <w:rPr>
          <w:rFonts w:ascii="宋体" w:hAnsi="宋体"/>
          <w:bCs/>
          <w:spacing w:val="-8"/>
          <w:sz w:val="24"/>
        </w:rPr>
        <w:t>5</w:t>
      </w:r>
      <w:r>
        <w:rPr>
          <w:rFonts w:hint="eastAsia" w:ascii="宋体" w:hAnsi="宋体"/>
          <w:bCs/>
          <w:spacing w:val="-8"/>
          <w:sz w:val="24"/>
        </w:rPr>
        <w:t>Km/h，服从需方安保管理，在指定位置停车，同时在车辆到达需方库区配合检查人员提供</w:t>
      </w:r>
      <w:r>
        <w:rPr>
          <w:rFonts w:hint="eastAsia" w:ascii="宋体" w:hAnsi="宋体"/>
          <w:sz w:val="24"/>
        </w:rPr>
        <w:t>提供驾驶员和押运员的有效身份证、驾驶证、行驶证和危险化学品运输车辆的相关证件，</w:t>
      </w:r>
      <w:r>
        <w:rPr>
          <w:rFonts w:hint="eastAsia" w:ascii="宋体" w:hAnsi="宋体"/>
          <w:bCs/>
          <w:spacing w:val="-8"/>
          <w:sz w:val="24"/>
        </w:rPr>
        <w:t>在库区负责卸装完货物交需方收验完成。供方未按相关法律法规合法使用车辆及人员，</w:t>
      </w:r>
      <w:r>
        <w:rPr>
          <w:rFonts w:hint="eastAsia" w:ascii="宋体" w:hAnsi="宋体"/>
          <w:bCs/>
          <w:spacing w:val="-8"/>
          <w:sz w:val="24"/>
          <w:szCs w:val="24"/>
        </w:rPr>
        <w:t>需方有权拒收货物，因此造成的损失和相关的处罚由供方自行承担。</w:t>
      </w:r>
    </w:p>
    <w:p w14:paraId="77A7FD73">
      <w:pPr>
        <w:pStyle w:val="35"/>
        <w:spacing w:line="408" w:lineRule="auto"/>
        <w:ind w:left="426"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4、价格调整：当市场价格超出合同价格但波动在10</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以内时，仍按原合同价格执行；当市场价格上下波动超出合同价格10</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以上时，供应商或采购方提出涨价或降价要求，有提出方发出调价申请函，说明调价原因，双方协商，重新审计价格，原来合同价格按最新调价价格执行，其余条款不变。</w:t>
      </w:r>
    </w:p>
    <w:p w14:paraId="79ABD889">
      <w:pPr>
        <w:pStyle w:val="35"/>
        <w:spacing w:line="480" w:lineRule="exact"/>
        <w:ind w:left="426" w:firstLine="0"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7、本次化工产品明细报价表；</w:t>
      </w:r>
    </w:p>
    <w:p w14:paraId="05581693">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注：</w:t>
      </w:r>
      <w:r>
        <w:rPr>
          <w:rFonts w:hint="eastAsia" w:asciiTheme="majorEastAsia" w:hAnsiTheme="majorEastAsia" w:eastAsiaTheme="majorEastAsia"/>
          <w:bCs/>
          <w:iCs/>
          <w:color w:val="000000" w:themeColor="text1"/>
          <w:sz w:val="24"/>
        </w:rPr>
        <w:t>以上材料须加盖单位公章</w:t>
      </w:r>
      <w:r>
        <w:rPr>
          <w:rFonts w:hint="eastAsia" w:asciiTheme="majorEastAsia" w:hAnsiTheme="majorEastAsia" w:eastAsiaTheme="majorEastAsia"/>
          <w:color w:val="000000" w:themeColor="text1"/>
          <w:sz w:val="24"/>
        </w:rPr>
        <w:t>（原件备查）</w:t>
      </w:r>
      <w:r>
        <w:rPr>
          <w:rFonts w:hint="eastAsia" w:asciiTheme="majorEastAsia" w:hAnsiTheme="majorEastAsia" w:eastAsiaTheme="majorEastAsia"/>
          <w:bCs/>
          <w:iCs/>
          <w:color w:val="000000" w:themeColor="text1"/>
          <w:sz w:val="24"/>
        </w:rPr>
        <w:t>，</w:t>
      </w:r>
      <w:r>
        <w:rPr>
          <w:rFonts w:hint="eastAsia" w:asciiTheme="majorEastAsia" w:hAnsiTheme="majorEastAsia" w:eastAsiaTheme="majorEastAsia"/>
          <w:iCs/>
          <w:color w:val="000000" w:themeColor="text1"/>
          <w:sz w:val="24"/>
        </w:rPr>
        <w:t>供应商应将报价文件按上述顺序装订成册</w:t>
      </w:r>
      <w:r>
        <w:rPr>
          <w:rFonts w:hint="eastAsia" w:asciiTheme="majorEastAsia" w:hAnsiTheme="majorEastAsia" w:eastAsiaTheme="majorEastAsia"/>
          <w:color w:val="000000" w:themeColor="text1"/>
          <w:sz w:val="24"/>
        </w:rPr>
        <w:t>。</w:t>
      </w:r>
    </w:p>
    <w:p w14:paraId="765B3B76">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供应商在递交询价报价文件时，必须是密封完好的，密封件正面应标明单位名称，并在封口处加盖单位公章。</w:t>
      </w:r>
    </w:p>
    <w:p w14:paraId="092EAD17">
      <w:pPr>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br w:type="page"/>
      </w:r>
    </w:p>
    <w:p w14:paraId="41BEB261">
      <w:pPr>
        <w:pStyle w:val="2"/>
        <w:jc w:val="center"/>
        <w:rPr>
          <w:sz w:val="30"/>
          <w:szCs w:val="30"/>
        </w:rPr>
      </w:pPr>
      <w:bookmarkStart w:id="4" w:name="_Toc5286"/>
      <w:r>
        <w:rPr>
          <w:rFonts w:hint="eastAsia"/>
          <w:sz w:val="30"/>
          <w:szCs w:val="30"/>
        </w:rPr>
        <w:t>第四部分  合同条款</w:t>
      </w:r>
      <w:bookmarkEnd w:id="4"/>
    </w:p>
    <w:tbl>
      <w:tblPr>
        <w:tblStyle w:val="16"/>
        <w:tblW w:w="9640" w:type="dxa"/>
        <w:jc w:val="center"/>
        <w:tblLayout w:type="fixed"/>
        <w:tblCellMar>
          <w:top w:w="0" w:type="dxa"/>
          <w:left w:w="108" w:type="dxa"/>
          <w:bottom w:w="0" w:type="dxa"/>
          <w:right w:w="108" w:type="dxa"/>
        </w:tblCellMar>
      </w:tblPr>
      <w:tblGrid>
        <w:gridCol w:w="3403"/>
        <w:gridCol w:w="3022"/>
        <w:gridCol w:w="3215"/>
      </w:tblGrid>
      <w:tr w14:paraId="0319E84C">
        <w:tblPrEx>
          <w:tblCellMar>
            <w:top w:w="0" w:type="dxa"/>
            <w:left w:w="108" w:type="dxa"/>
            <w:bottom w:w="0" w:type="dxa"/>
            <w:right w:w="108" w:type="dxa"/>
          </w:tblCellMar>
        </w:tblPrEx>
        <w:trPr>
          <w:trHeight w:val="90" w:hRule="atLeast"/>
          <w:jc w:val="center"/>
        </w:trPr>
        <w:tc>
          <w:tcPr>
            <w:tcW w:w="9640" w:type="dxa"/>
            <w:gridSpan w:val="3"/>
            <w:tcBorders>
              <w:top w:val="nil"/>
              <w:left w:val="nil"/>
              <w:bottom w:val="nil"/>
              <w:right w:val="nil"/>
            </w:tcBorders>
            <w:noWrap/>
            <w:vAlign w:val="center"/>
          </w:tcPr>
          <w:p w14:paraId="3E1BC086">
            <w:pPr>
              <w:widowControl/>
              <w:spacing w:line="0" w:lineRule="atLeast"/>
              <w:ind w:firstLine="180" w:firstLineChars="50"/>
              <w:jc w:val="center"/>
              <w:rPr>
                <w:rFonts w:ascii="微软雅黑" w:hAnsi="微软雅黑" w:eastAsia="微软雅黑" w:cs="宋体"/>
                <w:b/>
                <w:bCs/>
                <w:color w:val="000000"/>
                <w:kern w:val="0"/>
                <w:sz w:val="36"/>
                <w:szCs w:val="36"/>
              </w:rPr>
            </w:pPr>
            <w:r>
              <w:rPr>
                <w:rFonts w:hint="eastAsia" w:ascii="微软雅黑" w:hAnsi="微软雅黑" w:eastAsia="微软雅黑" w:cs="宋体"/>
                <w:b/>
                <w:bCs/>
                <w:color w:val="000000"/>
                <w:kern w:val="0"/>
                <w:sz w:val="36"/>
                <w:szCs w:val="36"/>
                <w:u w:val="single"/>
              </w:rPr>
              <w:t>202</w:t>
            </w:r>
            <w:r>
              <w:rPr>
                <w:rFonts w:hint="eastAsia" w:ascii="微软雅黑" w:hAnsi="微软雅黑" w:eastAsia="微软雅黑" w:cs="宋体"/>
                <w:b/>
                <w:bCs/>
                <w:color w:val="000000"/>
                <w:kern w:val="0"/>
                <w:sz w:val="36"/>
                <w:szCs w:val="36"/>
                <w:u w:val="single"/>
                <w:lang w:val="en-US" w:eastAsia="zh-CN"/>
              </w:rPr>
              <w:t>5</w:t>
            </w:r>
            <w:r>
              <w:rPr>
                <w:rFonts w:hint="eastAsia" w:ascii="微软雅黑" w:hAnsi="微软雅黑" w:eastAsia="微软雅黑" w:cs="宋体"/>
                <w:b/>
                <w:bCs/>
                <w:color w:val="000000"/>
                <w:kern w:val="0"/>
                <w:sz w:val="36"/>
                <w:szCs w:val="36"/>
              </w:rPr>
              <w:t>年度订货合同</w:t>
            </w:r>
          </w:p>
          <w:p w14:paraId="709E4F99">
            <w:pPr>
              <w:widowControl/>
              <w:spacing w:line="0" w:lineRule="atLeast"/>
              <w:ind w:firstLine="180" w:firstLineChars="50"/>
              <w:rPr>
                <w:rFonts w:ascii="宋体" w:cs="宋体"/>
                <w:b/>
                <w:bCs/>
                <w:color w:val="000000"/>
                <w:kern w:val="0"/>
                <w:sz w:val="36"/>
                <w:szCs w:val="36"/>
              </w:rPr>
            </w:pPr>
          </w:p>
        </w:tc>
      </w:tr>
      <w:tr w14:paraId="39B48980">
        <w:tblPrEx>
          <w:tblCellMar>
            <w:top w:w="0" w:type="dxa"/>
            <w:left w:w="108" w:type="dxa"/>
            <w:bottom w:w="0" w:type="dxa"/>
            <w:right w:w="108" w:type="dxa"/>
          </w:tblCellMar>
        </w:tblPrEx>
        <w:trPr>
          <w:trHeight w:val="308" w:hRule="atLeast"/>
          <w:jc w:val="center"/>
        </w:trPr>
        <w:tc>
          <w:tcPr>
            <w:tcW w:w="9640" w:type="dxa"/>
            <w:gridSpan w:val="3"/>
            <w:tcBorders>
              <w:top w:val="nil"/>
              <w:left w:val="nil"/>
              <w:bottom w:val="nil"/>
              <w:right w:val="nil"/>
            </w:tcBorders>
            <w:noWrap/>
            <w:vAlign w:val="center"/>
          </w:tcPr>
          <w:p w14:paraId="0256A700">
            <w:pPr>
              <w:widowControl/>
              <w:spacing w:line="0" w:lineRule="atLeast"/>
              <w:ind w:firstLine="360" w:firstLineChars="200"/>
              <w:jc w:val="left"/>
              <w:rPr>
                <w:rFonts w:ascii="微软雅黑" w:hAnsi="微软雅黑" w:eastAsia="微软雅黑" w:cs="宋体"/>
                <w:bCs/>
                <w:color w:val="000000"/>
                <w:kern w:val="0"/>
                <w:sz w:val="18"/>
                <w:szCs w:val="18"/>
                <w:u w:val="single"/>
              </w:rPr>
            </w:pPr>
            <w:r>
              <w:rPr>
                <w:rFonts w:hint="eastAsia" w:ascii="微软雅黑" w:hAnsi="微软雅黑" w:eastAsia="微软雅黑" w:cs="宋体"/>
                <w:bCs/>
                <w:color w:val="000000"/>
                <w:kern w:val="0"/>
                <w:sz w:val="18"/>
                <w:szCs w:val="18"/>
              </w:rPr>
              <w:t>供方</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u w:val="single"/>
              </w:rPr>
              <w:t xml:space="preserve">                                                    </w:t>
            </w:r>
            <w:r>
              <w:rPr>
                <w:rFonts w:hint="eastAsia" w:ascii="微软雅黑" w:hAnsi="微软雅黑" w:eastAsia="微软雅黑" w:cs="宋体"/>
                <w:bCs/>
                <w:color w:val="000000"/>
                <w:kern w:val="0"/>
                <w:sz w:val="18"/>
                <w:szCs w:val="18"/>
              </w:rPr>
              <w:t>合同编号</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rPr>
              <w:t xml:space="preserve">        合同签约地：成都</w:t>
            </w:r>
          </w:p>
        </w:tc>
      </w:tr>
      <w:tr w14:paraId="5D5E35FA">
        <w:tblPrEx>
          <w:tblCellMar>
            <w:top w:w="0" w:type="dxa"/>
            <w:left w:w="108" w:type="dxa"/>
            <w:bottom w:w="0" w:type="dxa"/>
            <w:right w:w="108" w:type="dxa"/>
          </w:tblCellMar>
        </w:tblPrEx>
        <w:trPr>
          <w:trHeight w:val="510" w:hRule="atLeast"/>
          <w:jc w:val="center"/>
        </w:trPr>
        <w:tc>
          <w:tcPr>
            <w:tcW w:w="9640" w:type="dxa"/>
            <w:gridSpan w:val="3"/>
            <w:tcBorders>
              <w:top w:val="nil"/>
              <w:left w:val="nil"/>
              <w:bottom w:val="nil"/>
              <w:right w:val="nil"/>
            </w:tcBorders>
            <w:noWrap/>
            <w:vAlign w:val="center"/>
          </w:tcPr>
          <w:p w14:paraId="2CCA7F7E">
            <w:pPr>
              <w:widowControl/>
              <w:spacing w:line="0" w:lineRule="atLeast"/>
              <w:ind w:firstLine="360" w:firstLineChars="200"/>
              <w:jc w:val="left"/>
              <w:rPr>
                <w:rFonts w:ascii="微软雅黑" w:hAnsi="微软雅黑" w:eastAsia="微软雅黑" w:cs="宋体"/>
                <w:bCs/>
                <w:color w:val="000000"/>
                <w:kern w:val="0"/>
                <w:sz w:val="18"/>
                <w:szCs w:val="18"/>
                <w:u w:val="single"/>
              </w:rPr>
            </w:pPr>
            <w:r>
              <w:rPr>
                <w:rFonts w:hint="eastAsia" w:ascii="微软雅黑" w:hAnsi="微软雅黑" w:eastAsia="微软雅黑" w:cs="宋体"/>
                <w:bCs/>
                <w:color w:val="000000"/>
                <w:kern w:val="0"/>
                <w:sz w:val="18"/>
                <w:szCs w:val="18"/>
              </w:rPr>
              <w:t>需方</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u w:val="single"/>
              </w:rPr>
              <w:t xml:space="preserve">成都光明派特贵金属有限公司                          </w:t>
            </w:r>
            <w:r>
              <w:rPr>
                <w:rFonts w:hint="eastAsia" w:ascii="微软雅黑" w:hAnsi="微软雅黑" w:eastAsia="微软雅黑" w:cs="宋体"/>
                <w:bCs/>
                <w:color w:val="000000"/>
                <w:kern w:val="0"/>
                <w:sz w:val="18"/>
                <w:szCs w:val="18"/>
              </w:rPr>
              <w:t>合同签定日期</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202</w:t>
            </w:r>
            <w:r>
              <w:rPr>
                <w:rFonts w:hint="eastAsia" w:ascii="微软雅黑" w:hAnsi="微软雅黑" w:eastAsia="微软雅黑" w:cs="宋体"/>
                <w:bCs/>
                <w:color w:val="000000"/>
                <w:kern w:val="0"/>
                <w:sz w:val="18"/>
                <w:szCs w:val="18"/>
                <w:lang w:val="en-US" w:eastAsia="zh-CN"/>
              </w:rPr>
              <w:t>5</w:t>
            </w:r>
            <w:r>
              <w:rPr>
                <w:rFonts w:hint="eastAsia" w:ascii="微软雅黑" w:hAnsi="微软雅黑" w:eastAsia="微软雅黑" w:cs="宋体"/>
                <w:bCs/>
                <w:color w:val="000000"/>
                <w:kern w:val="0"/>
                <w:sz w:val="18"/>
                <w:szCs w:val="18"/>
              </w:rPr>
              <w:t>年  月  日</w:t>
            </w:r>
          </w:p>
        </w:tc>
      </w:tr>
      <w:tr w14:paraId="3AF128C0">
        <w:tblPrEx>
          <w:tblCellMar>
            <w:top w:w="0" w:type="dxa"/>
            <w:left w:w="108" w:type="dxa"/>
            <w:bottom w:w="0" w:type="dxa"/>
            <w:right w:w="108" w:type="dxa"/>
          </w:tblCellMar>
        </w:tblPrEx>
        <w:trPr>
          <w:trHeight w:val="345" w:hRule="atLeast"/>
          <w:jc w:val="center"/>
        </w:trPr>
        <w:tc>
          <w:tcPr>
            <w:tcW w:w="9640" w:type="dxa"/>
            <w:gridSpan w:val="3"/>
            <w:tcBorders>
              <w:top w:val="nil"/>
              <w:left w:val="nil"/>
              <w:bottom w:val="nil"/>
              <w:right w:val="nil"/>
            </w:tcBorders>
            <w:noWrap/>
            <w:vAlign w:val="center"/>
          </w:tcPr>
          <w:p w14:paraId="38657386">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一、产品名称、计量单位、数量、金额及供货时间</w:t>
            </w:r>
          </w:p>
          <w:tbl>
            <w:tblPr>
              <w:tblStyle w:val="16"/>
              <w:tblW w:w="8980" w:type="dxa"/>
              <w:tblInd w:w="0" w:type="dxa"/>
              <w:tblLayout w:type="fixed"/>
              <w:tblCellMar>
                <w:top w:w="0" w:type="dxa"/>
                <w:left w:w="108" w:type="dxa"/>
                <w:bottom w:w="0" w:type="dxa"/>
                <w:right w:w="108" w:type="dxa"/>
              </w:tblCellMar>
            </w:tblPr>
            <w:tblGrid>
              <w:gridCol w:w="640"/>
              <w:gridCol w:w="1080"/>
              <w:gridCol w:w="1720"/>
              <w:gridCol w:w="984"/>
              <w:gridCol w:w="436"/>
              <w:gridCol w:w="660"/>
              <w:gridCol w:w="1020"/>
              <w:gridCol w:w="2440"/>
            </w:tblGrid>
            <w:tr w14:paraId="43EB8EAE">
              <w:tblPrEx>
                <w:tblCellMar>
                  <w:top w:w="0" w:type="dxa"/>
                  <w:left w:w="108" w:type="dxa"/>
                  <w:bottom w:w="0" w:type="dxa"/>
                  <w:right w:w="108" w:type="dxa"/>
                </w:tblCellMar>
              </w:tblPrEx>
              <w:trPr>
                <w:trHeight w:val="46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B020FB">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序号</w:t>
                  </w:r>
                </w:p>
              </w:tc>
              <w:tc>
                <w:tcPr>
                  <w:tcW w:w="1080" w:type="dxa"/>
                  <w:tcBorders>
                    <w:top w:val="single" w:color="auto" w:sz="4" w:space="0"/>
                    <w:left w:val="nil"/>
                    <w:bottom w:val="single" w:color="auto" w:sz="4" w:space="0"/>
                    <w:right w:val="single" w:color="auto" w:sz="4" w:space="0"/>
                  </w:tcBorders>
                  <w:shd w:val="clear" w:color="auto" w:fill="auto"/>
                  <w:noWrap/>
                  <w:vAlign w:val="center"/>
                </w:tcPr>
                <w:p w14:paraId="02C65A52">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产品名称</w:t>
                  </w:r>
                </w:p>
              </w:tc>
              <w:tc>
                <w:tcPr>
                  <w:tcW w:w="1720" w:type="dxa"/>
                  <w:tcBorders>
                    <w:top w:val="single" w:color="auto" w:sz="4" w:space="0"/>
                    <w:left w:val="nil"/>
                    <w:bottom w:val="single" w:color="auto" w:sz="4" w:space="0"/>
                    <w:right w:val="single" w:color="auto" w:sz="4" w:space="0"/>
                  </w:tcBorders>
                  <w:shd w:val="clear" w:color="auto" w:fill="auto"/>
                  <w:noWrap/>
                  <w:vAlign w:val="center"/>
                </w:tcPr>
                <w:p w14:paraId="5ED93E26">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规格</w:t>
                  </w:r>
                </w:p>
              </w:tc>
              <w:tc>
                <w:tcPr>
                  <w:tcW w:w="984" w:type="dxa"/>
                  <w:tcBorders>
                    <w:top w:val="single" w:color="auto" w:sz="4" w:space="0"/>
                    <w:left w:val="nil"/>
                    <w:bottom w:val="single" w:color="auto" w:sz="4" w:space="0"/>
                    <w:right w:val="single" w:color="auto" w:sz="4" w:space="0"/>
                  </w:tcBorders>
                  <w:shd w:val="clear" w:color="auto" w:fill="auto"/>
                  <w:noWrap/>
                  <w:vAlign w:val="center"/>
                </w:tcPr>
                <w:p w14:paraId="6AE57617">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数量</w:t>
                  </w:r>
                </w:p>
              </w:tc>
              <w:tc>
                <w:tcPr>
                  <w:tcW w:w="436" w:type="dxa"/>
                  <w:tcBorders>
                    <w:top w:val="single" w:color="auto" w:sz="4" w:space="0"/>
                    <w:left w:val="nil"/>
                    <w:bottom w:val="single" w:color="auto" w:sz="4" w:space="0"/>
                    <w:right w:val="single" w:color="auto" w:sz="4" w:space="0"/>
                  </w:tcBorders>
                  <w:shd w:val="clear" w:color="auto" w:fill="auto"/>
                  <w:noWrap/>
                  <w:vAlign w:val="center"/>
                </w:tcPr>
                <w:p w14:paraId="6884432C">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单位</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24BBEE00">
                  <w:pPr>
                    <w:widowControl/>
                    <w:spacing w:line="0" w:lineRule="atLeast"/>
                    <w:jc w:val="left"/>
                    <w:rPr>
                      <w:rFonts w:hint="eastAsia" w:ascii="微软雅黑" w:hAnsi="微软雅黑" w:eastAsia="微软雅黑" w:cs="宋体"/>
                      <w:color w:val="000000"/>
                      <w:kern w:val="0"/>
                      <w:sz w:val="18"/>
                      <w:szCs w:val="18"/>
                      <w:lang w:eastAsia="zh-CN"/>
                    </w:rPr>
                  </w:pPr>
                  <w:r>
                    <w:rPr>
                      <w:rFonts w:hint="eastAsia" w:ascii="微软雅黑" w:hAnsi="微软雅黑" w:eastAsia="微软雅黑" w:cs="宋体"/>
                      <w:color w:val="000000"/>
                      <w:kern w:val="0"/>
                      <w:sz w:val="18"/>
                      <w:szCs w:val="18"/>
                      <w:lang w:val="en-US" w:eastAsia="zh-CN"/>
                    </w:rPr>
                    <w:t>税额</w:t>
                  </w:r>
                </w:p>
              </w:tc>
              <w:tc>
                <w:tcPr>
                  <w:tcW w:w="1020" w:type="dxa"/>
                  <w:tcBorders>
                    <w:top w:val="single" w:color="auto" w:sz="4" w:space="0"/>
                    <w:left w:val="nil"/>
                    <w:bottom w:val="single" w:color="auto" w:sz="4" w:space="0"/>
                    <w:right w:val="single" w:color="auto" w:sz="4" w:space="0"/>
                  </w:tcBorders>
                  <w:shd w:val="clear" w:color="auto" w:fill="auto"/>
                  <w:noWrap/>
                  <w:vAlign w:val="center"/>
                </w:tcPr>
                <w:p w14:paraId="24CF9D29">
                  <w:pPr>
                    <w:widowControl/>
                    <w:spacing w:line="0" w:lineRule="atLeast"/>
                    <w:jc w:val="left"/>
                    <w:rPr>
                      <w:rFonts w:hint="default" w:ascii="微软雅黑" w:hAnsi="微软雅黑" w:eastAsia="微软雅黑" w:cs="宋体"/>
                      <w:color w:val="000000"/>
                      <w:kern w:val="0"/>
                      <w:sz w:val="18"/>
                      <w:szCs w:val="18"/>
                      <w:lang w:val="en-US" w:eastAsia="zh-CN"/>
                    </w:rPr>
                  </w:pPr>
                  <w:r>
                    <w:rPr>
                      <w:rFonts w:hint="eastAsia" w:ascii="微软雅黑" w:hAnsi="微软雅黑" w:eastAsia="微软雅黑" w:cs="宋体"/>
                      <w:color w:val="000000"/>
                      <w:kern w:val="0"/>
                      <w:sz w:val="18"/>
                      <w:szCs w:val="18"/>
                      <w:lang w:val="en-US" w:eastAsia="zh-CN"/>
                    </w:rPr>
                    <w:t>不含税单价</w:t>
                  </w:r>
                </w:p>
              </w:tc>
              <w:tc>
                <w:tcPr>
                  <w:tcW w:w="2440" w:type="dxa"/>
                  <w:tcBorders>
                    <w:top w:val="single" w:color="auto" w:sz="4" w:space="0"/>
                    <w:left w:val="nil"/>
                    <w:bottom w:val="single" w:color="auto" w:sz="4" w:space="0"/>
                    <w:right w:val="single" w:color="auto" w:sz="4" w:space="0"/>
                  </w:tcBorders>
                  <w:shd w:val="clear" w:color="auto" w:fill="auto"/>
                  <w:noWrap/>
                  <w:vAlign w:val="center"/>
                </w:tcPr>
                <w:p w14:paraId="781B56B3">
                  <w:pPr>
                    <w:widowControl/>
                    <w:spacing w:line="0" w:lineRule="atLeast"/>
                    <w:jc w:val="center"/>
                    <w:rPr>
                      <w:rFonts w:hint="eastAsia" w:ascii="微软雅黑" w:hAnsi="微软雅黑" w:eastAsia="微软雅黑" w:cs="宋体"/>
                      <w:color w:val="000000"/>
                      <w:kern w:val="0"/>
                      <w:sz w:val="18"/>
                      <w:szCs w:val="18"/>
                      <w:lang w:eastAsia="zh-CN"/>
                    </w:rPr>
                  </w:pPr>
                  <w:r>
                    <w:rPr>
                      <w:rFonts w:hint="eastAsia" w:ascii="微软雅黑" w:hAnsi="微软雅黑" w:eastAsia="微软雅黑" w:cs="宋体"/>
                      <w:color w:val="000000"/>
                      <w:kern w:val="0"/>
                      <w:sz w:val="18"/>
                      <w:szCs w:val="18"/>
                      <w:lang w:val="en-US" w:eastAsia="zh-CN"/>
                    </w:rPr>
                    <w:t>单价</w:t>
                  </w:r>
                </w:p>
              </w:tc>
            </w:tr>
            <w:tr w14:paraId="53E3F382">
              <w:tblPrEx>
                <w:tblCellMar>
                  <w:top w:w="0" w:type="dxa"/>
                  <w:left w:w="108" w:type="dxa"/>
                  <w:bottom w:w="0" w:type="dxa"/>
                  <w:right w:w="108" w:type="dxa"/>
                </w:tblCellMar>
              </w:tblPrEx>
              <w:trPr>
                <w:trHeight w:val="46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854F04">
                  <w:pPr>
                    <w:widowControl/>
                    <w:spacing w:line="0" w:lineRule="atLeast"/>
                    <w:jc w:val="center"/>
                    <w:rPr>
                      <w:rFonts w:ascii="微软雅黑" w:hAnsi="微软雅黑" w:eastAsia="微软雅黑" w:cs="宋体"/>
                      <w:color w:val="000000"/>
                      <w:kern w:val="0"/>
                      <w:sz w:val="18"/>
                      <w:szCs w:val="18"/>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851A95">
                  <w:pPr>
                    <w:widowControl/>
                    <w:spacing w:line="0" w:lineRule="atLeast"/>
                    <w:jc w:val="center"/>
                    <w:rPr>
                      <w:rFonts w:ascii="微软雅黑" w:hAnsi="微软雅黑" w:eastAsia="微软雅黑" w:cs="宋体"/>
                      <w:color w:val="000000"/>
                      <w:kern w:val="0"/>
                      <w:sz w:val="18"/>
                      <w:szCs w:val="18"/>
                    </w:rPr>
                  </w:pPr>
                </w:p>
              </w:tc>
              <w:tc>
                <w:tcPr>
                  <w:tcW w:w="17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4BFCC3">
                  <w:pPr>
                    <w:widowControl/>
                    <w:spacing w:line="0" w:lineRule="atLeast"/>
                    <w:jc w:val="center"/>
                    <w:rPr>
                      <w:rFonts w:ascii="微软雅黑" w:hAnsi="微软雅黑" w:eastAsia="微软雅黑" w:cs="宋体"/>
                      <w:color w:val="000000"/>
                      <w:kern w:val="0"/>
                      <w:sz w:val="18"/>
                      <w:szCs w:val="18"/>
                    </w:rPr>
                  </w:pP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916FE3">
                  <w:pPr>
                    <w:widowControl/>
                    <w:spacing w:line="0" w:lineRule="atLeast"/>
                    <w:jc w:val="center"/>
                    <w:rPr>
                      <w:rFonts w:ascii="微软雅黑" w:hAnsi="微软雅黑" w:eastAsia="微软雅黑" w:cs="宋体"/>
                      <w:color w:val="000000"/>
                      <w:kern w:val="0"/>
                      <w:sz w:val="18"/>
                      <w:szCs w:val="18"/>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B98154">
                  <w:pPr>
                    <w:widowControl/>
                    <w:spacing w:line="0" w:lineRule="atLeast"/>
                    <w:jc w:val="center"/>
                    <w:rPr>
                      <w:rFonts w:ascii="微软雅黑" w:hAnsi="微软雅黑" w:eastAsia="微软雅黑" w:cs="宋体"/>
                      <w:color w:val="000000"/>
                      <w:kern w:val="0"/>
                      <w:sz w:val="18"/>
                      <w:szCs w:val="18"/>
                    </w:rPr>
                  </w:pP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5241C3">
                  <w:pPr>
                    <w:widowControl/>
                    <w:spacing w:line="0" w:lineRule="atLeast"/>
                    <w:jc w:val="center"/>
                    <w:rPr>
                      <w:rFonts w:ascii="微软雅黑" w:hAnsi="微软雅黑" w:eastAsia="微软雅黑" w:cs="宋体"/>
                      <w:color w:val="000000"/>
                      <w:kern w:val="0"/>
                      <w:sz w:val="18"/>
                      <w:szCs w:val="18"/>
                    </w:rPr>
                  </w:pPr>
                </w:p>
              </w:tc>
              <w:tc>
                <w:tcPr>
                  <w:tcW w:w="10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B2373A">
                  <w:pPr>
                    <w:widowControl/>
                    <w:spacing w:line="0" w:lineRule="atLeast"/>
                    <w:jc w:val="center"/>
                    <w:rPr>
                      <w:rFonts w:ascii="微软雅黑" w:hAnsi="微软雅黑" w:eastAsia="微软雅黑" w:cs="宋体"/>
                      <w:color w:val="000000"/>
                      <w:kern w:val="0"/>
                      <w:sz w:val="18"/>
                      <w:szCs w:val="18"/>
                    </w:rPr>
                  </w:pPr>
                </w:p>
              </w:tc>
              <w:tc>
                <w:tcPr>
                  <w:tcW w:w="2440" w:type="dxa"/>
                  <w:tcBorders>
                    <w:top w:val="single" w:color="auto" w:sz="4" w:space="0"/>
                    <w:left w:val="single" w:color="auto" w:sz="4" w:space="0"/>
                    <w:bottom w:val="single" w:color="auto" w:sz="4" w:space="0"/>
                    <w:right w:val="single" w:color="auto" w:sz="4" w:space="0"/>
                  </w:tcBorders>
                  <w:shd w:val="clear" w:color="auto" w:fill="auto"/>
                  <w:vAlign w:val="center"/>
                </w:tcPr>
                <w:p w14:paraId="04C540E0">
                  <w:pPr>
                    <w:widowControl/>
                    <w:spacing w:line="0" w:lineRule="atLeast"/>
                    <w:jc w:val="left"/>
                    <w:rPr>
                      <w:rFonts w:ascii="微软雅黑" w:hAnsi="微软雅黑" w:eastAsia="微软雅黑" w:cs="宋体"/>
                      <w:color w:val="000000"/>
                      <w:kern w:val="0"/>
                      <w:sz w:val="18"/>
                      <w:szCs w:val="18"/>
                    </w:rPr>
                  </w:pPr>
                </w:p>
              </w:tc>
            </w:tr>
            <w:tr w14:paraId="3DFAF10C">
              <w:tblPrEx>
                <w:tblCellMar>
                  <w:top w:w="0" w:type="dxa"/>
                  <w:left w:w="108" w:type="dxa"/>
                  <w:bottom w:w="0" w:type="dxa"/>
                  <w:right w:w="108" w:type="dxa"/>
                </w:tblCellMar>
              </w:tblPrEx>
              <w:trPr>
                <w:trHeight w:val="46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4C69BF">
                  <w:pPr>
                    <w:widowControl/>
                    <w:spacing w:line="0" w:lineRule="atLeast"/>
                    <w:jc w:val="center"/>
                    <w:rPr>
                      <w:rFonts w:ascii="微软雅黑" w:hAnsi="微软雅黑" w:eastAsia="微软雅黑" w:cs="宋体"/>
                      <w:color w:val="000000"/>
                      <w:kern w:val="0"/>
                      <w:sz w:val="18"/>
                      <w:szCs w:val="18"/>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DCF8E">
                  <w:pPr>
                    <w:widowControl/>
                    <w:spacing w:line="0" w:lineRule="atLeast"/>
                    <w:jc w:val="center"/>
                    <w:rPr>
                      <w:rFonts w:ascii="微软雅黑" w:hAnsi="微软雅黑" w:eastAsia="微软雅黑" w:cs="宋体"/>
                      <w:color w:val="000000"/>
                      <w:kern w:val="0"/>
                      <w:sz w:val="18"/>
                      <w:szCs w:val="18"/>
                    </w:rPr>
                  </w:pPr>
                </w:p>
              </w:tc>
              <w:tc>
                <w:tcPr>
                  <w:tcW w:w="17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B973EB">
                  <w:pPr>
                    <w:widowControl/>
                    <w:spacing w:line="0" w:lineRule="atLeast"/>
                    <w:jc w:val="center"/>
                    <w:rPr>
                      <w:rFonts w:ascii="微软雅黑" w:hAnsi="微软雅黑" w:eastAsia="微软雅黑" w:cs="宋体"/>
                      <w:color w:val="000000"/>
                      <w:kern w:val="0"/>
                      <w:sz w:val="18"/>
                      <w:szCs w:val="18"/>
                    </w:rPr>
                  </w:pP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127057">
                  <w:pPr>
                    <w:widowControl/>
                    <w:spacing w:line="0" w:lineRule="atLeast"/>
                    <w:jc w:val="center"/>
                    <w:rPr>
                      <w:rFonts w:ascii="微软雅黑" w:hAnsi="微软雅黑" w:eastAsia="微软雅黑" w:cs="宋体"/>
                      <w:color w:val="000000"/>
                      <w:kern w:val="0"/>
                      <w:sz w:val="18"/>
                      <w:szCs w:val="18"/>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3BE81F">
                  <w:pPr>
                    <w:widowControl/>
                    <w:spacing w:line="0" w:lineRule="atLeast"/>
                    <w:jc w:val="center"/>
                    <w:rPr>
                      <w:rFonts w:ascii="微软雅黑" w:hAnsi="微软雅黑" w:eastAsia="微软雅黑" w:cs="宋体"/>
                      <w:color w:val="000000"/>
                      <w:kern w:val="0"/>
                      <w:sz w:val="18"/>
                      <w:szCs w:val="18"/>
                    </w:rPr>
                  </w:pP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769139">
                  <w:pPr>
                    <w:widowControl/>
                    <w:spacing w:line="0" w:lineRule="atLeast"/>
                    <w:jc w:val="center"/>
                    <w:rPr>
                      <w:rFonts w:ascii="微软雅黑" w:hAnsi="微软雅黑" w:eastAsia="微软雅黑" w:cs="宋体"/>
                      <w:color w:val="000000"/>
                      <w:kern w:val="0"/>
                      <w:sz w:val="18"/>
                      <w:szCs w:val="18"/>
                    </w:rPr>
                  </w:pPr>
                </w:p>
              </w:tc>
              <w:tc>
                <w:tcPr>
                  <w:tcW w:w="10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587D9F">
                  <w:pPr>
                    <w:widowControl/>
                    <w:spacing w:line="0" w:lineRule="atLeast"/>
                    <w:jc w:val="center"/>
                    <w:rPr>
                      <w:rFonts w:ascii="微软雅黑" w:hAnsi="微软雅黑" w:eastAsia="微软雅黑" w:cs="宋体"/>
                      <w:color w:val="000000"/>
                      <w:kern w:val="0"/>
                      <w:sz w:val="18"/>
                      <w:szCs w:val="18"/>
                    </w:rPr>
                  </w:pPr>
                </w:p>
              </w:tc>
              <w:tc>
                <w:tcPr>
                  <w:tcW w:w="2440" w:type="dxa"/>
                  <w:tcBorders>
                    <w:top w:val="single" w:color="auto" w:sz="4" w:space="0"/>
                    <w:left w:val="single" w:color="auto" w:sz="4" w:space="0"/>
                    <w:bottom w:val="single" w:color="auto" w:sz="4" w:space="0"/>
                    <w:right w:val="single" w:color="auto" w:sz="4" w:space="0"/>
                  </w:tcBorders>
                  <w:shd w:val="clear" w:color="auto" w:fill="auto"/>
                  <w:vAlign w:val="center"/>
                </w:tcPr>
                <w:p w14:paraId="609622EE">
                  <w:pPr>
                    <w:widowControl/>
                    <w:spacing w:line="0" w:lineRule="atLeast"/>
                    <w:jc w:val="left"/>
                    <w:rPr>
                      <w:rFonts w:ascii="微软雅黑" w:hAnsi="微软雅黑" w:eastAsia="微软雅黑" w:cs="宋体"/>
                      <w:color w:val="000000"/>
                      <w:kern w:val="0"/>
                      <w:sz w:val="18"/>
                      <w:szCs w:val="18"/>
                    </w:rPr>
                  </w:pPr>
                </w:p>
              </w:tc>
            </w:tr>
            <w:tr w14:paraId="3A6C4EB9">
              <w:tblPrEx>
                <w:tblCellMar>
                  <w:top w:w="0" w:type="dxa"/>
                  <w:left w:w="108" w:type="dxa"/>
                  <w:bottom w:w="0" w:type="dxa"/>
                  <w:right w:w="108" w:type="dxa"/>
                </w:tblCellMar>
              </w:tblPrEx>
              <w:trPr>
                <w:trHeight w:val="46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D70B6A">
                  <w:pPr>
                    <w:widowControl/>
                    <w:spacing w:line="0" w:lineRule="atLeast"/>
                    <w:jc w:val="center"/>
                    <w:rPr>
                      <w:rFonts w:ascii="微软雅黑" w:hAnsi="微软雅黑" w:eastAsia="微软雅黑" w:cs="宋体"/>
                      <w:color w:val="000000"/>
                      <w:kern w:val="0"/>
                      <w:sz w:val="18"/>
                      <w:szCs w:val="18"/>
                    </w:rPr>
                  </w:pP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31E74D">
                  <w:pPr>
                    <w:widowControl/>
                    <w:spacing w:line="0" w:lineRule="atLeast"/>
                    <w:jc w:val="center"/>
                    <w:rPr>
                      <w:rFonts w:ascii="微软雅黑" w:hAnsi="微软雅黑" w:eastAsia="微软雅黑" w:cs="宋体"/>
                      <w:color w:val="000000"/>
                      <w:kern w:val="0"/>
                      <w:sz w:val="18"/>
                      <w:szCs w:val="18"/>
                    </w:rPr>
                  </w:pPr>
                </w:p>
              </w:tc>
              <w:tc>
                <w:tcPr>
                  <w:tcW w:w="17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8CAEB6">
                  <w:pPr>
                    <w:widowControl/>
                    <w:spacing w:line="0" w:lineRule="atLeast"/>
                    <w:jc w:val="center"/>
                    <w:rPr>
                      <w:rFonts w:ascii="微软雅黑" w:hAnsi="微软雅黑" w:eastAsia="微软雅黑" w:cs="宋体"/>
                      <w:color w:val="000000"/>
                      <w:kern w:val="0"/>
                      <w:sz w:val="18"/>
                      <w:szCs w:val="18"/>
                    </w:rPr>
                  </w:pP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05A88A">
                  <w:pPr>
                    <w:widowControl/>
                    <w:spacing w:line="0" w:lineRule="atLeast"/>
                    <w:jc w:val="center"/>
                    <w:rPr>
                      <w:rFonts w:ascii="微软雅黑" w:hAnsi="微软雅黑" w:eastAsia="微软雅黑" w:cs="宋体"/>
                      <w:color w:val="000000"/>
                      <w:kern w:val="0"/>
                      <w:sz w:val="18"/>
                      <w:szCs w:val="18"/>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1E619E">
                  <w:pPr>
                    <w:widowControl/>
                    <w:spacing w:line="0" w:lineRule="atLeast"/>
                    <w:jc w:val="center"/>
                    <w:rPr>
                      <w:rFonts w:ascii="微软雅黑" w:hAnsi="微软雅黑" w:eastAsia="微软雅黑" w:cs="宋体"/>
                      <w:color w:val="000000"/>
                      <w:kern w:val="0"/>
                      <w:sz w:val="18"/>
                      <w:szCs w:val="18"/>
                    </w:rPr>
                  </w:pP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E5E528">
                  <w:pPr>
                    <w:widowControl/>
                    <w:spacing w:line="0" w:lineRule="atLeast"/>
                    <w:jc w:val="center"/>
                    <w:rPr>
                      <w:rFonts w:ascii="微软雅黑" w:hAnsi="微软雅黑" w:eastAsia="微软雅黑" w:cs="宋体"/>
                      <w:color w:val="000000"/>
                      <w:kern w:val="0"/>
                      <w:sz w:val="18"/>
                      <w:szCs w:val="18"/>
                    </w:rPr>
                  </w:pPr>
                </w:p>
              </w:tc>
              <w:tc>
                <w:tcPr>
                  <w:tcW w:w="10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EBE821">
                  <w:pPr>
                    <w:widowControl/>
                    <w:spacing w:line="0" w:lineRule="atLeast"/>
                    <w:jc w:val="center"/>
                    <w:rPr>
                      <w:rFonts w:ascii="微软雅黑" w:hAnsi="微软雅黑" w:eastAsia="微软雅黑" w:cs="宋体"/>
                      <w:color w:val="000000"/>
                      <w:kern w:val="0"/>
                      <w:sz w:val="18"/>
                      <w:szCs w:val="18"/>
                    </w:rPr>
                  </w:pPr>
                </w:p>
              </w:tc>
              <w:tc>
                <w:tcPr>
                  <w:tcW w:w="2440" w:type="dxa"/>
                  <w:tcBorders>
                    <w:top w:val="single" w:color="auto" w:sz="4" w:space="0"/>
                    <w:left w:val="single" w:color="auto" w:sz="4" w:space="0"/>
                    <w:bottom w:val="single" w:color="auto" w:sz="4" w:space="0"/>
                    <w:right w:val="single" w:color="auto" w:sz="4" w:space="0"/>
                  </w:tcBorders>
                  <w:shd w:val="clear" w:color="auto" w:fill="auto"/>
                  <w:vAlign w:val="center"/>
                </w:tcPr>
                <w:p w14:paraId="7FAB6D20">
                  <w:pPr>
                    <w:widowControl/>
                    <w:spacing w:line="0" w:lineRule="atLeast"/>
                    <w:jc w:val="left"/>
                    <w:rPr>
                      <w:rFonts w:ascii="微软雅黑" w:hAnsi="微软雅黑" w:eastAsia="微软雅黑" w:cs="宋体"/>
                      <w:color w:val="000000"/>
                      <w:kern w:val="0"/>
                      <w:sz w:val="18"/>
                      <w:szCs w:val="18"/>
                    </w:rPr>
                  </w:pPr>
                </w:p>
              </w:tc>
            </w:tr>
          </w:tbl>
          <w:p w14:paraId="68874B4E">
            <w:pPr>
              <w:widowControl/>
              <w:spacing w:line="0" w:lineRule="atLeast"/>
              <w:jc w:val="left"/>
              <w:rPr>
                <w:rFonts w:ascii="微软雅黑" w:hAnsi="微软雅黑" w:eastAsia="微软雅黑" w:cs="宋体"/>
                <w:bCs/>
                <w:color w:val="000000"/>
                <w:kern w:val="0"/>
                <w:sz w:val="18"/>
                <w:szCs w:val="18"/>
              </w:rPr>
            </w:pPr>
          </w:p>
        </w:tc>
      </w:tr>
      <w:tr w14:paraId="3B199FB1">
        <w:tblPrEx>
          <w:tblCellMar>
            <w:top w:w="0" w:type="dxa"/>
            <w:left w:w="108" w:type="dxa"/>
            <w:bottom w:w="0" w:type="dxa"/>
            <w:right w:w="108" w:type="dxa"/>
          </w:tblCellMar>
        </w:tblPrEx>
        <w:trPr>
          <w:trHeight w:val="1408" w:hRule="atLeast"/>
          <w:jc w:val="center"/>
        </w:trPr>
        <w:tc>
          <w:tcPr>
            <w:tcW w:w="9640" w:type="dxa"/>
            <w:gridSpan w:val="3"/>
            <w:tcBorders>
              <w:top w:val="nil"/>
              <w:left w:val="nil"/>
              <w:bottom w:val="nil"/>
              <w:right w:val="nil"/>
            </w:tcBorders>
            <w:noWrap/>
            <w:vAlign w:val="center"/>
          </w:tcPr>
          <w:p w14:paraId="39D937CA">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二、质量要求、技术标准：执行国家标准。</w:t>
            </w:r>
          </w:p>
          <w:p w14:paraId="5FC112DA">
            <w:pPr>
              <w:widowControl/>
              <w:spacing w:line="0" w:lineRule="atLeast"/>
              <w:jc w:val="left"/>
              <w:rPr>
                <w:rFonts w:ascii="微软雅黑" w:hAnsi="微软雅黑" w:eastAsia="微软雅黑" w:cs="宋体"/>
                <w:bCs/>
                <w:color w:val="000000"/>
                <w:kern w:val="0"/>
                <w:sz w:val="18"/>
                <w:szCs w:val="18"/>
              </w:rPr>
            </w:pPr>
          </w:p>
          <w:p w14:paraId="68C48486">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三、交（提）货地点、方式：</w:t>
            </w:r>
            <w:r>
              <w:rPr>
                <w:rFonts w:hint="eastAsia" w:ascii="微软雅黑" w:hAnsi="微软雅黑" w:eastAsia="微软雅黑"/>
                <w:sz w:val="18"/>
                <w:szCs w:val="18"/>
              </w:rPr>
              <w:t>成都市龙泉驿区北京路636号A05厂房。</w:t>
            </w:r>
          </w:p>
          <w:p w14:paraId="73FD948F">
            <w:pPr>
              <w:widowControl/>
              <w:spacing w:line="0" w:lineRule="atLeast"/>
              <w:jc w:val="left"/>
              <w:rPr>
                <w:rFonts w:ascii="微软雅黑" w:hAnsi="微软雅黑" w:eastAsia="微软雅黑" w:cs="宋体"/>
                <w:bCs/>
                <w:color w:val="000000"/>
                <w:kern w:val="0"/>
                <w:sz w:val="18"/>
                <w:szCs w:val="18"/>
              </w:rPr>
            </w:pPr>
          </w:p>
          <w:p w14:paraId="04EC2A6B">
            <w:pPr>
              <w:widowControl/>
              <w:spacing w:line="0" w:lineRule="atLeast"/>
              <w:jc w:val="left"/>
              <w:rPr>
                <w:rFonts w:ascii="微软雅黑" w:hAnsi="微软雅黑" w:eastAsia="微软雅黑" w:cs="宋体"/>
                <w:bCs/>
                <w:kern w:val="0"/>
                <w:sz w:val="18"/>
                <w:szCs w:val="18"/>
              </w:rPr>
            </w:pPr>
            <w:r>
              <w:rPr>
                <w:rFonts w:hint="eastAsia" w:ascii="微软雅黑" w:hAnsi="微软雅黑" w:eastAsia="微软雅黑" w:cs="宋体"/>
                <w:bCs/>
                <w:color w:val="000000"/>
                <w:kern w:val="0"/>
                <w:sz w:val="18"/>
                <w:szCs w:val="18"/>
              </w:rPr>
              <w:t>四、运输方式及到达站港和费用负担</w:t>
            </w:r>
            <w:r>
              <w:rPr>
                <w:rFonts w:hint="eastAsia" w:ascii="微软雅黑" w:hAnsi="微软雅黑" w:eastAsia="微软雅黑" w:cs="宋体"/>
                <w:bCs/>
                <w:kern w:val="0"/>
                <w:sz w:val="18"/>
                <w:szCs w:val="18"/>
              </w:rPr>
              <w:t>：运输及相关费用均由供方负担。</w:t>
            </w:r>
          </w:p>
          <w:p w14:paraId="04E08203">
            <w:pPr>
              <w:widowControl/>
              <w:spacing w:line="0" w:lineRule="atLeast"/>
              <w:jc w:val="left"/>
              <w:rPr>
                <w:rFonts w:ascii="微软雅黑" w:hAnsi="微软雅黑" w:eastAsia="微软雅黑" w:cs="宋体"/>
                <w:bCs/>
                <w:color w:val="000000"/>
                <w:kern w:val="0"/>
                <w:sz w:val="18"/>
                <w:szCs w:val="18"/>
              </w:rPr>
            </w:pPr>
          </w:p>
          <w:p w14:paraId="2C301C8B">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五、合理损耗及计算方法：货到需方</w:t>
            </w:r>
            <w:r>
              <w:rPr>
                <w:rFonts w:ascii="微软雅黑" w:hAnsi="微软雅黑" w:eastAsia="微软雅黑"/>
                <w:bCs/>
                <w:color w:val="000000"/>
                <w:kern w:val="0"/>
                <w:sz w:val="18"/>
                <w:szCs w:val="18"/>
              </w:rPr>
              <w:t>,</w:t>
            </w:r>
            <w:r>
              <w:rPr>
                <w:rFonts w:hint="eastAsia" w:ascii="微软雅黑" w:hAnsi="微软雅黑" w:eastAsia="微软雅黑" w:cs="宋体"/>
                <w:bCs/>
                <w:color w:val="000000"/>
                <w:kern w:val="0"/>
                <w:sz w:val="18"/>
                <w:szCs w:val="18"/>
              </w:rPr>
              <w:t>以实际验收数量为准。</w:t>
            </w:r>
          </w:p>
          <w:p w14:paraId="72BFBB94">
            <w:pPr>
              <w:widowControl/>
              <w:spacing w:line="0" w:lineRule="atLeast"/>
              <w:jc w:val="left"/>
              <w:rPr>
                <w:rFonts w:ascii="微软雅黑" w:hAnsi="微软雅黑" w:eastAsia="微软雅黑" w:cs="宋体"/>
                <w:bCs/>
                <w:color w:val="000000"/>
                <w:kern w:val="0"/>
                <w:sz w:val="18"/>
                <w:szCs w:val="18"/>
              </w:rPr>
            </w:pPr>
          </w:p>
          <w:p w14:paraId="005E4F77">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六、包装标准、包装物的费用负担：外包装标明批次、数量，并及时提供批次合格证；包装费用由供方负担。所有供方的化工产品内外空包装由供方免费负责回收。</w:t>
            </w:r>
          </w:p>
          <w:p w14:paraId="5E1D2B1D">
            <w:pPr>
              <w:widowControl/>
              <w:spacing w:line="0" w:lineRule="atLeast"/>
              <w:jc w:val="left"/>
              <w:rPr>
                <w:rFonts w:ascii="微软雅黑" w:hAnsi="微软雅黑" w:eastAsia="微软雅黑" w:cs="宋体"/>
                <w:bCs/>
                <w:color w:val="000000"/>
                <w:kern w:val="0"/>
                <w:sz w:val="18"/>
                <w:szCs w:val="18"/>
              </w:rPr>
            </w:pPr>
          </w:p>
          <w:p w14:paraId="7C6AD789">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七、验收标准、方法及提出异议期限：</w:t>
            </w:r>
            <w:r>
              <w:rPr>
                <w:rFonts w:hint="eastAsia" w:ascii="微软雅黑" w:hAnsi="微软雅黑" w:eastAsia="微软雅黑"/>
                <w:sz w:val="18"/>
                <w:szCs w:val="18"/>
              </w:rPr>
              <w:t>供方提供的产品必须是同一个批次（批号）产品，并同时提供本批次产品的质量检验报告，否则需方有权拒绝收货。</w:t>
            </w:r>
          </w:p>
          <w:p w14:paraId="66FEB229">
            <w:pPr>
              <w:widowControl/>
              <w:spacing w:line="0" w:lineRule="atLeast"/>
              <w:jc w:val="left"/>
              <w:rPr>
                <w:rFonts w:ascii="微软雅黑" w:hAnsi="微软雅黑" w:eastAsia="微软雅黑" w:cs="宋体"/>
                <w:bCs/>
                <w:color w:val="000000"/>
                <w:kern w:val="0"/>
                <w:sz w:val="18"/>
                <w:szCs w:val="18"/>
              </w:rPr>
            </w:pPr>
          </w:p>
          <w:p w14:paraId="6FD53413">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八、结算方式及期限：</w:t>
            </w:r>
            <w:r>
              <w:rPr>
                <w:rFonts w:hint="eastAsia" w:ascii="微软雅黑" w:hAnsi="微软雅黑" w:eastAsia="微软雅黑"/>
                <w:color w:val="000000" w:themeColor="text1"/>
                <w:sz w:val="18"/>
                <w:szCs w:val="18"/>
              </w:rPr>
              <w:t>货到二个月后滚动付款方式。即供方货到验收合格后，且需方收到该批货增值税</w:t>
            </w:r>
            <w:r>
              <w:rPr>
                <w:rFonts w:hint="eastAsia" w:ascii="微软雅黑" w:hAnsi="微软雅黑" w:eastAsia="微软雅黑"/>
                <w:color w:val="000000" w:themeColor="text1"/>
                <w:sz w:val="18"/>
                <w:szCs w:val="18"/>
                <w:lang w:val="en-US" w:eastAsia="zh-CN"/>
              </w:rPr>
              <w:t>13%</w:t>
            </w:r>
            <w:r>
              <w:rPr>
                <w:rFonts w:hint="eastAsia" w:ascii="微软雅黑" w:hAnsi="微软雅黑" w:eastAsia="微软雅黑"/>
                <w:color w:val="000000" w:themeColor="text1"/>
                <w:sz w:val="18"/>
                <w:szCs w:val="18"/>
              </w:rPr>
              <w:t>发票并在财务挂账，即开始计算付款周期，二个月账期到后，以银行承兑或者汇款结算该批次货款。</w:t>
            </w:r>
          </w:p>
          <w:p w14:paraId="75E5C671">
            <w:pPr>
              <w:widowControl/>
              <w:spacing w:line="0" w:lineRule="atLeast"/>
              <w:jc w:val="left"/>
              <w:rPr>
                <w:rFonts w:ascii="微软雅黑" w:hAnsi="微软雅黑" w:eastAsia="微软雅黑" w:cs="宋体"/>
                <w:bCs/>
                <w:color w:val="000000"/>
                <w:kern w:val="0"/>
                <w:sz w:val="18"/>
                <w:szCs w:val="18"/>
              </w:rPr>
            </w:pPr>
          </w:p>
          <w:p w14:paraId="52B1D85D">
            <w:pPr>
              <w:widowControl/>
              <w:spacing w:line="0" w:lineRule="atLeast"/>
              <w:jc w:val="left"/>
              <w:rPr>
                <w:rFonts w:ascii="微软雅黑" w:hAnsi="微软雅黑" w:eastAsia="微软雅黑" w:cs="宋体"/>
                <w:bCs/>
                <w:color w:val="FF0000"/>
                <w:kern w:val="0"/>
                <w:sz w:val="18"/>
                <w:szCs w:val="18"/>
              </w:rPr>
            </w:pPr>
            <w:r>
              <w:rPr>
                <w:rFonts w:hint="eastAsia" w:ascii="微软雅黑" w:hAnsi="微软雅黑" w:eastAsia="微软雅黑" w:cs="宋体"/>
                <w:bCs/>
                <w:color w:val="FF0000"/>
                <w:kern w:val="0"/>
                <w:sz w:val="18"/>
                <w:szCs w:val="18"/>
              </w:rPr>
              <w:t>九、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14:paraId="161D687F">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FF0000"/>
                <w:kern w:val="0"/>
                <w:sz w:val="18"/>
                <w:szCs w:val="18"/>
              </w:rPr>
              <w:t>十、违约责任：依照《中华人民共和国民典法》有关条款规定执行。</w:t>
            </w:r>
          </w:p>
          <w:p w14:paraId="2BB3D334">
            <w:pPr>
              <w:widowControl/>
              <w:spacing w:line="0" w:lineRule="atLeast"/>
              <w:jc w:val="left"/>
              <w:rPr>
                <w:rFonts w:ascii="微软雅黑" w:hAnsi="微软雅黑" w:eastAsia="微软雅黑" w:cs="宋体"/>
                <w:bCs/>
                <w:color w:val="000000"/>
                <w:kern w:val="0"/>
                <w:sz w:val="18"/>
                <w:szCs w:val="18"/>
              </w:rPr>
            </w:pPr>
          </w:p>
          <w:p w14:paraId="6AB82DD2">
            <w:pPr>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十一、其它约定事项</w:t>
            </w:r>
            <w:r>
              <w:rPr>
                <w:rFonts w:hint="eastAsia" w:ascii="微软雅黑" w:hAnsi="微软雅黑" w:eastAsia="微软雅黑" w:cs="宋体"/>
                <w:bCs/>
                <w:color w:val="FF0000"/>
                <w:kern w:val="0"/>
                <w:sz w:val="18"/>
                <w:szCs w:val="18"/>
              </w:rPr>
              <w:t>：</w:t>
            </w:r>
            <w:r>
              <w:rPr>
                <w:rFonts w:hint="eastAsia" w:ascii="微软雅黑" w:hAnsi="微软雅黑" w:eastAsia="微软雅黑"/>
                <w:bCs/>
                <w:spacing w:val="-8"/>
                <w:sz w:val="18"/>
                <w:szCs w:val="18"/>
              </w:rPr>
              <w:t>供方在送货进入需方事厂区主干道车速不超过15Km/h，服从需方外来车辆管理，在指定位置停车，同时在车辆到达需方库区配合检查人员提供</w:t>
            </w:r>
            <w:r>
              <w:rPr>
                <w:rFonts w:hint="eastAsia" w:ascii="微软雅黑" w:hAnsi="微软雅黑" w:eastAsia="微软雅黑"/>
                <w:sz w:val="18"/>
                <w:szCs w:val="18"/>
              </w:rPr>
              <w:t>提供驾驶员和押运员的有效身份证、驾驶证、行驶证和危险化学品运输车辆的相关证件，</w:t>
            </w:r>
            <w:r>
              <w:rPr>
                <w:rFonts w:hint="eastAsia" w:ascii="微软雅黑" w:hAnsi="微软雅黑" w:eastAsia="微软雅黑"/>
                <w:bCs/>
                <w:spacing w:val="-8"/>
                <w:sz w:val="18"/>
                <w:szCs w:val="18"/>
              </w:rPr>
              <w:t>在库区负责卸装完货物交需方收验完成。供方未按相关法律法规合法使用车辆及人员，需方有权拒收货物，因此造成的损失和相关的处罚由供方自行承担。</w:t>
            </w:r>
            <w:r>
              <w:rPr>
                <w:rFonts w:hint="eastAsia" w:ascii="微软雅黑" w:hAnsi="微软雅黑" w:eastAsia="微软雅黑" w:cs="宋体"/>
                <w:bCs/>
                <w:kern w:val="0"/>
                <w:sz w:val="18"/>
                <w:szCs w:val="18"/>
              </w:rPr>
              <w:t>本合</w:t>
            </w:r>
            <w:r>
              <w:rPr>
                <w:rFonts w:hint="eastAsia" w:ascii="微软雅黑" w:hAnsi="微软雅黑" w:eastAsia="微软雅黑" w:cs="宋体"/>
                <w:bCs/>
                <w:color w:val="000000"/>
                <w:kern w:val="0"/>
                <w:sz w:val="18"/>
                <w:szCs w:val="18"/>
              </w:rPr>
              <w:t>同订购数量为意向性</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rPr>
              <w:t>准确数量以需方订货传真通知数量为准。书面订货传真与本合同具有同等法律效力。</w:t>
            </w:r>
          </w:p>
          <w:p w14:paraId="1F1210EC">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十二、解决合同纠纷的方式：双方协商解决。协商不成，由需方所在地法院裁决。</w:t>
            </w:r>
          </w:p>
          <w:p w14:paraId="75930A57">
            <w:pPr>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十三、本合同一式二份；双方各执一份。本合同未尽事宜，双方协商解决，传真件有效。</w:t>
            </w:r>
          </w:p>
          <w:p w14:paraId="23AC74CE">
            <w:pPr>
              <w:spacing w:line="0" w:lineRule="atLeast"/>
              <w:jc w:val="left"/>
              <w:rPr>
                <w:rFonts w:ascii="微软雅黑" w:hAnsi="微软雅黑" w:eastAsia="微软雅黑" w:cs="宋体"/>
                <w:bCs/>
                <w:color w:val="000000"/>
                <w:kern w:val="0"/>
                <w:sz w:val="18"/>
                <w:szCs w:val="18"/>
              </w:rPr>
            </w:pPr>
          </w:p>
        </w:tc>
      </w:tr>
      <w:tr w14:paraId="57DD142A">
        <w:tblPrEx>
          <w:tblCellMar>
            <w:top w:w="0" w:type="dxa"/>
            <w:left w:w="108" w:type="dxa"/>
            <w:bottom w:w="0" w:type="dxa"/>
            <w:right w:w="108" w:type="dxa"/>
          </w:tblCellMar>
        </w:tblPrEx>
        <w:trPr>
          <w:trHeight w:val="387" w:hRule="atLeast"/>
          <w:jc w:val="center"/>
        </w:trPr>
        <w:tc>
          <w:tcPr>
            <w:tcW w:w="9640" w:type="dxa"/>
            <w:gridSpan w:val="3"/>
            <w:tcBorders>
              <w:top w:val="nil"/>
              <w:left w:val="nil"/>
              <w:bottom w:val="nil"/>
              <w:right w:val="nil"/>
            </w:tcBorders>
            <w:vAlign w:val="center"/>
          </w:tcPr>
          <w:p w14:paraId="432BF539">
            <w:pPr>
              <w:widowControl/>
              <w:spacing w:line="0" w:lineRule="atLeast"/>
              <w:jc w:val="left"/>
              <w:rPr>
                <w:rFonts w:ascii="微软雅黑" w:hAnsi="微软雅黑" w:eastAsia="微软雅黑" w:cs="宋体"/>
                <w:bCs/>
                <w:color w:val="000000"/>
                <w:kern w:val="0"/>
                <w:sz w:val="18"/>
                <w:szCs w:val="18"/>
                <w:lang w:val="en-US" w:eastAsia="zh-CN" w:bidi="ar-SA"/>
              </w:rPr>
            </w:pPr>
            <w:r>
              <w:rPr>
                <w:rFonts w:hint="eastAsia" w:ascii="微软雅黑" w:hAnsi="微软雅黑" w:eastAsia="微软雅黑" w:cs="宋体"/>
                <w:bCs/>
                <w:color w:val="000000"/>
                <w:kern w:val="0"/>
                <w:sz w:val="18"/>
                <w:szCs w:val="18"/>
              </w:rPr>
              <w:t>供方：</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lang w:val="en-US" w:eastAsia="zh-CN"/>
              </w:rPr>
              <w:t xml:space="preserve">                                                 </w:t>
            </w:r>
            <w:r>
              <w:rPr>
                <w:rFonts w:hint="eastAsia" w:ascii="微软雅黑" w:hAnsi="微软雅黑" w:eastAsia="微软雅黑" w:cs="宋体"/>
                <w:bCs/>
                <w:color w:val="000000"/>
                <w:kern w:val="0"/>
                <w:sz w:val="18"/>
                <w:szCs w:val="18"/>
              </w:rPr>
              <w:t>需方</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成都光明派特贵金属有限公司</w:t>
            </w:r>
          </w:p>
        </w:tc>
      </w:tr>
      <w:tr w14:paraId="181E32EA">
        <w:tblPrEx>
          <w:tblCellMar>
            <w:top w:w="0" w:type="dxa"/>
            <w:left w:w="108" w:type="dxa"/>
            <w:bottom w:w="0" w:type="dxa"/>
            <w:right w:w="108" w:type="dxa"/>
          </w:tblCellMar>
        </w:tblPrEx>
        <w:trPr>
          <w:trHeight w:val="445" w:hRule="atLeast"/>
          <w:jc w:val="center"/>
        </w:trPr>
        <w:tc>
          <w:tcPr>
            <w:tcW w:w="9640" w:type="dxa"/>
            <w:gridSpan w:val="3"/>
            <w:tcBorders>
              <w:top w:val="nil"/>
              <w:left w:val="nil"/>
              <w:bottom w:val="nil"/>
              <w:right w:val="nil"/>
            </w:tcBorders>
            <w:vAlign w:val="center"/>
          </w:tcPr>
          <w:p w14:paraId="445D54F9">
            <w:pPr>
              <w:widowControl/>
              <w:spacing w:line="0" w:lineRule="atLeast"/>
              <w:jc w:val="left"/>
              <w:rPr>
                <w:rFonts w:ascii="微软雅黑" w:hAnsi="微软雅黑" w:eastAsia="微软雅黑" w:cs="宋体"/>
                <w:bCs/>
                <w:color w:val="000000"/>
                <w:kern w:val="0"/>
                <w:sz w:val="18"/>
                <w:szCs w:val="18"/>
                <w:lang w:val="en-US" w:eastAsia="zh-CN" w:bidi="ar-SA"/>
              </w:rPr>
            </w:pPr>
            <w:r>
              <w:rPr>
                <w:rFonts w:hint="eastAsia" w:ascii="微软雅黑" w:hAnsi="微软雅黑" w:eastAsia="微软雅黑" w:cs="宋体"/>
                <w:bCs/>
                <w:color w:val="000000"/>
                <w:kern w:val="0"/>
                <w:sz w:val="18"/>
                <w:szCs w:val="18"/>
              </w:rPr>
              <w:t>地址</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lang w:val="en-US" w:eastAsia="zh-CN"/>
              </w:rPr>
              <w:t xml:space="preserve">                                                   </w:t>
            </w:r>
            <w:r>
              <w:rPr>
                <w:rFonts w:hint="eastAsia" w:ascii="微软雅黑" w:hAnsi="微软雅黑" w:eastAsia="微软雅黑" w:cs="宋体"/>
                <w:bCs/>
                <w:color w:val="000000"/>
                <w:kern w:val="0"/>
                <w:sz w:val="18"/>
                <w:szCs w:val="18"/>
              </w:rPr>
              <w:t>地址</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成都市龙泉驿成龙大道</w:t>
            </w:r>
            <w:r>
              <w:rPr>
                <w:rFonts w:ascii="微软雅黑" w:hAnsi="微软雅黑" w:eastAsia="微软雅黑" w:cs="宋体"/>
                <w:bCs/>
                <w:color w:val="000000"/>
                <w:kern w:val="0"/>
                <w:sz w:val="18"/>
                <w:szCs w:val="18"/>
              </w:rPr>
              <w:t>359</w:t>
            </w:r>
            <w:r>
              <w:rPr>
                <w:rFonts w:hint="eastAsia" w:ascii="微软雅黑" w:hAnsi="微软雅黑" w:eastAsia="微软雅黑" w:cs="宋体"/>
                <w:bCs/>
                <w:color w:val="000000"/>
                <w:kern w:val="0"/>
                <w:sz w:val="18"/>
                <w:szCs w:val="18"/>
              </w:rPr>
              <w:t>号</w:t>
            </w:r>
          </w:p>
        </w:tc>
      </w:tr>
      <w:tr w14:paraId="4BBBD4CF">
        <w:tblPrEx>
          <w:tblCellMar>
            <w:top w:w="0" w:type="dxa"/>
            <w:left w:w="108" w:type="dxa"/>
            <w:bottom w:w="0" w:type="dxa"/>
            <w:right w:w="108" w:type="dxa"/>
          </w:tblCellMar>
        </w:tblPrEx>
        <w:trPr>
          <w:trHeight w:val="390" w:hRule="atLeast"/>
          <w:jc w:val="center"/>
        </w:trPr>
        <w:tc>
          <w:tcPr>
            <w:tcW w:w="9640" w:type="dxa"/>
            <w:gridSpan w:val="3"/>
            <w:tcBorders>
              <w:top w:val="nil"/>
              <w:left w:val="nil"/>
              <w:bottom w:val="nil"/>
              <w:right w:val="nil"/>
            </w:tcBorders>
            <w:noWrap/>
            <w:vAlign w:val="center"/>
          </w:tcPr>
          <w:p w14:paraId="0DD81A67">
            <w:pPr>
              <w:widowControl/>
              <w:spacing w:line="0" w:lineRule="atLeast"/>
              <w:jc w:val="left"/>
              <w:rPr>
                <w:rFonts w:ascii="微软雅黑" w:hAnsi="微软雅黑" w:eastAsia="微软雅黑" w:cs="宋体"/>
                <w:bCs/>
                <w:color w:val="000000"/>
                <w:kern w:val="0"/>
                <w:sz w:val="18"/>
                <w:szCs w:val="18"/>
                <w:lang w:val="en-US" w:eastAsia="zh-CN" w:bidi="ar-SA"/>
              </w:rPr>
            </w:pPr>
            <w:r>
              <w:rPr>
                <w:rFonts w:hint="eastAsia" w:ascii="微软雅黑" w:hAnsi="微软雅黑" w:eastAsia="微软雅黑" w:cs="宋体"/>
                <w:bCs/>
                <w:color w:val="000000"/>
                <w:kern w:val="0"/>
                <w:sz w:val="18"/>
                <w:szCs w:val="18"/>
              </w:rPr>
              <w:t>法定代表人</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lang w:val="en-US" w:eastAsia="zh-CN"/>
              </w:rPr>
              <w:t xml:space="preserve">                                            </w:t>
            </w:r>
            <w:r>
              <w:rPr>
                <w:rFonts w:hint="eastAsia" w:ascii="微软雅黑" w:hAnsi="微软雅黑" w:eastAsia="微软雅黑" w:cs="宋体"/>
                <w:bCs/>
                <w:color w:val="000000"/>
                <w:kern w:val="0"/>
                <w:sz w:val="18"/>
                <w:szCs w:val="18"/>
              </w:rPr>
              <w:t>法定代表人</w:t>
            </w:r>
            <w:r>
              <w:rPr>
                <w:rFonts w:ascii="微软雅黑" w:hAnsi="微软雅黑" w:eastAsia="微软雅黑" w:cs="宋体"/>
                <w:bCs/>
                <w:color w:val="000000"/>
                <w:kern w:val="0"/>
                <w:sz w:val="18"/>
                <w:szCs w:val="18"/>
              </w:rPr>
              <w:t xml:space="preserve">:  </w:t>
            </w:r>
          </w:p>
        </w:tc>
      </w:tr>
      <w:tr w14:paraId="1DB43665">
        <w:tblPrEx>
          <w:tblCellMar>
            <w:top w:w="0" w:type="dxa"/>
            <w:left w:w="108" w:type="dxa"/>
            <w:bottom w:w="0" w:type="dxa"/>
            <w:right w:w="108" w:type="dxa"/>
          </w:tblCellMar>
        </w:tblPrEx>
        <w:trPr>
          <w:trHeight w:val="315" w:hRule="atLeast"/>
          <w:jc w:val="center"/>
        </w:trPr>
        <w:tc>
          <w:tcPr>
            <w:tcW w:w="9640" w:type="dxa"/>
            <w:gridSpan w:val="3"/>
            <w:tcBorders>
              <w:top w:val="nil"/>
              <w:left w:val="nil"/>
              <w:bottom w:val="nil"/>
              <w:right w:val="nil"/>
            </w:tcBorders>
            <w:noWrap/>
            <w:vAlign w:val="center"/>
          </w:tcPr>
          <w:p w14:paraId="1D34D699">
            <w:pPr>
              <w:widowControl/>
              <w:spacing w:line="0" w:lineRule="atLeast"/>
              <w:jc w:val="left"/>
              <w:rPr>
                <w:rFonts w:ascii="微软雅黑" w:hAnsi="微软雅黑" w:eastAsia="微软雅黑" w:cs="宋体"/>
                <w:bCs/>
                <w:color w:val="000000"/>
                <w:kern w:val="0"/>
                <w:sz w:val="18"/>
                <w:szCs w:val="18"/>
                <w:lang w:val="en-US" w:eastAsia="zh-CN" w:bidi="ar-SA"/>
              </w:rPr>
            </w:pPr>
            <w:r>
              <w:rPr>
                <w:rFonts w:hint="eastAsia" w:ascii="微软雅黑" w:hAnsi="微软雅黑" w:eastAsia="微软雅黑" w:cs="宋体"/>
                <w:bCs/>
                <w:color w:val="000000"/>
                <w:kern w:val="0"/>
                <w:sz w:val="18"/>
                <w:szCs w:val="18"/>
              </w:rPr>
              <w:t>委托代理人</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lang w:val="en-US" w:eastAsia="zh-CN"/>
              </w:rPr>
              <w:t xml:space="preserve">                                              </w:t>
            </w:r>
            <w:r>
              <w:rPr>
                <w:rFonts w:hint="eastAsia" w:ascii="微软雅黑" w:hAnsi="微软雅黑" w:eastAsia="微软雅黑" w:cs="宋体"/>
                <w:bCs/>
                <w:color w:val="000000"/>
                <w:kern w:val="0"/>
                <w:sz w:val="18"/>
                <w:szCs w:val="18"/>
              </w:rPr>
              <w:t>委托代理人</w:t>
            </w:r>
            <w:r>
              <w:rPr>
                <w:rFonts w:ascii="微软雅黑" w:hAnsi="微软雅黑" w:eastAsia="微软雅黑" w:cs="宋体"/>
                <w:bCs/>
                <w:color w:val="000000"/>
                <w:kern w:val="0"/>
                <w:sz w:val="18"/>
                <w:szCs w:val="18"/>
              </w:rPr>
              <w:t xml:space="preserve">:    </w:t>
            </w:r>
          </w:p>
        </w:tc>
      </w:tr>
      <w:tr w14:paraId="4AED1102">
        <w:tblPrEx>
          <w:tblCellMar>
            <w:top w:w="0" w:type="dxa"/>
            <w:left w:w="108" w:type="dxa"/>
            <w:bottom w:w="0" w:type="dxa"/>
            <w:right w:w="108" w:type="dxa"/>
          </w:tblCellMar>
        </w:tblPrEx>
        <w:trPr>
          <w:trHeight w:val="360" w:hRule="atLeast"/>
          <w:jc w:val="center"/>
        </w:trPr>
        <w:tc>
          <w:tcPr>
            <w:tcW w:w="9640" w:type="dxa"/>
            <w:gridSpan w:val="3"/>
            <w:tcBorders>
              <w:top w:val="nil"/>
              <w:left w:val="nil"/>
              <w:bottom w:val="nil"/>
              <w:right w:val="nil"/>
            </w:tcBorders>
            <w:noWrap/>
            <w:vAlign w:val="center"/>
          </w:tcPr>
          <w:p w14:paraId="647F94D7">
            <w:pPr>
              <w:widowControl/>
              <w:spacing w:line="0" w:lineRule="atLeast"/>
              <w:jc w:val="left"/>
              <w:rPr>
                <w:rFonts w:ascii="微软雅黑" w:hAnsi="微软雅黑" w:eastAsia="微软雅黑" w:cs="宋体"/>
                <w:bCs/>
                <w:color w:val="000000"/>
                <w:kern w:val="0"/>
                <w:sz w:val="18"/>
                <w:szCs w:val="18"/>
                <w:lang w:val="en-US" w:eastAsia="zh-CN" w:bidi="ar-SA"/>
              </w:rPr>
            </w:pPr>
            <w:r>
              <w:rPr>
                <w:rFonts w:hint="eastAsia" w:ascii="微软雅黑" w:hAnsi="微软雅黑" w:eastAsia="微软雅黑" w:cs="宋体"/>
                <w:bCs/>
                <w:color w:val="000000"/>
                <w:kern w:val="0"/>
                <w:sz w:val="18"/>
                <w:szCs w:val="18"/>
              </w:rPr>
              <w:t>电话</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lang w:val="en-US" w:eastAsia="zh-CN"/>
              </w:rPr>
              <w:t xml:space="preserve">                                                        </w:t>
            </w:r>
            <w:r>
              <w:rPr>
                <w:rFonts w:hint="eastAsia" w:ascii="微软雅黑" w:hAnsi="微软雅黑" w:eastAsia="微软雅黑" w:cs="宋体"/>
                <w:bCs/>
                <w:color w:val="000000"/>
                <w:kern w:val="0"/>
                <w:sz w:val="18"/>
                <w:szCs w:val="18"/>
              </w:rPr>
              <w:t>电话</w:t>
            </w:r>
            <w:r>
              <w:rPr>
                <w:rFonts w:ascii="微软雅黑" w:hAnsi="微软雅黑" w:eastAsia="微软雅黑" w:cs="宋体"/>
                <w:bCs/>
                <w:color w:val="000000"/>
                <w:kern w:val="0"/>
                <w:sz w:val="18"/>
                <w:szCs w:val="18"/>
              </w:rPr>
              <w:t>:  028--88456070</w:t>
            </w:r>
          </w:p>
        </w:tc>
      </w:tr>
      <w:tr w14:paraId="1B229128">
        <w:tblPrEx>
          <w:tblCellMar>
            <w:top w:w="0" w:type="dxa"/>
            <w:left w:w="108" w:type="dxa"/>
            <w:bottom w:w="0" w:type="dxa"/>
            <w:right w:w="108" w:type="dxa"/>
          </w:tblCellMar>
        </w:tblPrEx>
        <w:trPr>
          <w:trHeight w:val="296" w:hRule="atLeast"/>
          <w:jc w:val="center"/>
        </w:trPr>
        <w:tc>
          <w:tcPr>
            <w:tcW w:w="9640" w:type="dxa"/>
            <w:gridSpan w:val="3"/>
            <w:tcBorders>
              <w:top w:val="nil"/>
              <w:left w:val="nil"/>
              <w:bottom w:val="nil"/>
              <w:right w:val="nil"/>
            </w:tcBorders>
            <w:noWrap/>
            <w:vAlign w:val="center"/>
          </w:tcPr>
          <w:p w14:paraId="68E143BF">
            <w:pPr>
              <w:widowControl/>
              <w:spacing w:line="0" w:lineRule="atLeast"/>
              <w:jc w:val="left"/>
              <w:rPr>
                <w:rFonts w:ascii="微软雅黑" w:hAnsi="微软雅黑" w:eastAsia="微软雅黑" w:cs="宋体"/>
                <w:bCs/>
                <w:color w:val="000000"/>
                <w:kern w:val="0"/>
                <w:sz w:val="18"/>
                <w:szCs w:val="18"/>
                <w:lang w:val="en-US" w:eastAsia="zh-CN" w:bidi="ar-SA"/>
              </w:rPr>
            </w:pPr>
            <w:r>
              <w:rPr>
                <w:rFonts w:hint="eastAsia" w:ascii="微软雅黑" w:hAnsi="微软雅黑" w:eastAsia="微软雅黑" w:cs="宋体"/>
                <w:bCs/>
                <w:color w:val="000000"/>
                <w:kern w:val="0"/>
                <w:sz w:val="18"/>
                <w:szCs w:val="18"/>
              </w:rPr>
              <w:t>传真</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lang w:val="en-US" w:eastAsia="zh-CN"/>
              </w:rPr>
              <w:t xml:space="preserve">                                                         </w:t>
            </w:r>
            <w:r>
              <w:rPr>
                <w:rFonts w:hint="eastAsia" w:ascii="微软雅黑" w:hAnsi="微软雅黑" w:eastAsia="微软雅黑" w:cs="宋体"/>
                <w:bCs/>
                <w:color w:val="000000"/>
                <w:kern w:val="0"/>
                <w:sz w:val="18"/>
                <w:szCs w:val="18"/>
              </w:rPr>
              <w:t>传真</w:t>
            </w:r>
            <w:r>
              <w:rPr>
                <w:rFonts w:ascii="微软雅黑" w:hAnsi="微软雅黑" w:eastAsia="微软雅黑" w:cs="宋体"/>
                <w:bCs/>
                <w:color w:val="000000"/>
                <w:kern w:val="0"/>
                <w:sz w:val="18"/>
                <w:szCs w:val="18"/>
              </w:rPr>
              <w:t>:  028--88456069</w:t>
            </w:r>
          </w:p>
        </w:tc>
      </w:tr>
      <w:tr w14:paraId="58480E54">
        <w:tblPrEx>
          <w:tblCellMar>
            <w:top w:w="0" w:type="dxa"/>
            <w:left w:w="108" w:type="dxa"/>
            <w:bottom w:w="0" w:type="dxa"/>
            <w:right w:w="108" w:type="dxa"/>
          </w:tblCellMar>
        </w:tblPrEx>
        <w:trPr>
          <w:trHeight w:val="313" w:hRule="atLeast"/>
          <w:jc w:val="center"/>
        </w:trPr>
        <w:tc>
          <w:tcPr>
            <w:tcW w:w="9640" w:type="dxa"/>
            <w:gridSpan w:val="3"/>
            <w:tcBorders>
              <w:top w:val="nil"/>
              <w:left w:val="nil"/>
              <w:bottom w:val="nil"/>
              <w:right w:val="nil"/>
            </w:tcBorders>
            <w:vAlign w:val="center"/>
          </w:tcPr>
          <w:p w14:paraId="4454697A">
            <w:pPr>
              <w:widowControl/>
              <w:spacing w:line="0" w:lineRule="atLeast"/>
              <w:jc w:val="left"/>
              <w:rPr>
                <w:rFonts w:ascii="微软雅黑" w:hAnsi="微软雅黑" w:eastAsia="微软雅黑" w:cs="宋体"/>
                <w:bCs/>
                <w:color w:val="000000"/>
                <w:kern w:val="0"/>
                <w:sz w:val="18"/>
                <w:szCs w:val="18"/>
                <w:lang w:val="en-US" w:eastAsia="zh-CN" w:bidi="ar-SA"/>
              </w:rPr>
            </w:pPr>
            <w:r>
              <w:rPr>
                <w:rFonts w:hint="eastAsia" w:ascii="微软雅黑" w:hAnsi="微软雅黑" w:eastAsia="微软雅黑" w:cs="宋体"/>
                <w:bCs/>
                <w:color w:val="000000"/>
                <w:kern w:val="0"/>
                <w:sz w:val="18"/>
                <w:szCs w:val="18"/>
              </w:rPr>
              <w:t>开户银行</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lang w:val="en-US" w:eastAsia="zh-CN"/>
              </w:rPr>
              <w:t xml:space="preserve">                                                  </w:t>
            </w:r>
            <w:r>
              <w:rPr>
                <w:rFonts w:hint="eastAsia" w:ascii="微软雅黑" w:hAnsi="微软雅黑" w:eastAsia="微软雅黑" w:cs="宋体"/>
                <w:bCs/>
                <w:color w:val="000000"/>
                <w:kern w:val="0"/>
                <w:sz w:val="18"/>
                <w:szCs w:val="18"/>
              </w:rPr>
              <w:t>开户银行</w:t>
            </w:r>
            <w:r>
              <w:rPr>
                <w:rFonts w:ascii="微软雅黑" w:hAnsi="微软雅黑" w:eastAsia="微软雅黑" w:cs="宋体"/>
                <w:bCs/>
                <w:color w:val="000000"/>
                <w:kern w:val="0"/>
                <w:sz w:val="18"/>
                <w:szCs w:val="18"/>
              </w:rPr>
              <w:t xml:space="preserve">: </w:t>
            </w:r>
          </w:p>
        </w:tc>
      </w:tr>
      <w:tr w14:paraId="59F2162E">
        <w:tblPrEx>
          <w:tblCellMar>
            <w:top w:w="0" w:type="dxa"/>
            <w:left w:w="108" w:type="dxa"/>
            <w:bottom w:w="0" w:type="dxa"/>
            <w:right w:w="108" w:type="dxa"/>
          </w:tblCellMar>
        </w:tblPrEx>
        <w:trPr>
          <w:trHeight w:val="321" w:hRule="atLeast"/>
          <w:jc w:val="center"/>
        </w:trPr>
        <w:tc>
          <w:tcPr>
            <w:tcW w:w="9640" w:type="dxa"/>
            <w:gridSpan w:val="3"/>
            <w:tcBorders>
              <w:top w:val="nil"/>
              <w:left w:val="nil"/>
              <w:bottom w:val="nil"/>
              <w:right w:val="nil"/>
            </w:tcBorders>
            <w:noWrap/>
            <w:vAlign w:val="center"/>
          </w:tcPr>
          <w:p w14:paraId="19D6AA2A">
            <w:pPr>
              <w:widowControl/>
              <w:spacing w:line="0" w:lineRule="atLeast"/>
              <w:jc w:val="left"/>
              <w:rPr>
                <w:rFonts w:ascii="微软雅黑" w:hAnsi="微软雅黑" w:eastAsia="微软雅黑" w:cs="宋体"/>
                <w:bCs/>
                <w:color w:val="000000"/>
                <w:kern w:val="0"/>
                <w:sz w:val="18"/>
                <w:szCs w:val="18"/>
                <w:lang w:val="en-US" w:eastAsia="zh-CN" w:bidi="ar-SA"/>
              </w:rPr>
            </w:pPr>
            <w:r>
              <w:rPr>
                <w:rFonts w:hint="eastAsia" w:ascii="微软雅黑" w:hAnsi="微软雅黑" w:eastAsia="微软雅黑" w:cs="宋体"/>
                <w:bCs/>
                <w:color w:val="000000"/>
                <w:kern w:val="0"/>
                <w:sz w:val="18"/>
                <w:szCs w:val="18"/>
              </w:rPr>
              <w:t>帐号：</w:t>
            </w:r>
            <w:r>
              <w:rPr>
                <w:rFonts w:hint="eastAsia" w:ascii="微软雅黑" w:hAnsi="微软雅黑" w:eastAsia="微软雅黑" w:cs="宋体"/>
                <w:bCs/>
                <w:color w:val="000000"/>
                <w:kern w:val="0"/>
                <w:sz w:val="18"/>
                <w:szCs w:val="18"/>
                <w:lang w:val="en-US" w:eastAsia="zh-CN"/>
              </w:rPr>
              <w:t xml:space="preserve">                                                          </w:t>
            </w:r>
            <w:r>
              <w:rPr>
                <w:rFonts w:hint="eastAsia" w:ascii="微软雅黑" w:hAnsi="微软雅黑" w:eastAsia="微软雅黑" w:cs="宋体"/>
                <w:bCs/>
                <w:color w:val="000000"/>
                <w:kern w:val="0"/>
                <w:sz w:val="18"/>
                <w:szCs w:val="18"/>
              </w:rPr>
              <w:t>账号</w:t>
            </w:r>
            <w:r>
              <w:rPr>
                <w:rFonts w:ascii="微软雅黑" w:hAnsi="微软雅黑" w:eastAsia="微软雅黑" w:cs="宋体"/>
                <w:bCs/>
                <w:color w:val="000000"/>
                <w:kern w:val="0"/>
                <w:sz w:val="18"/>
                <w:szCs w:val="18"/>
              </w:rPr>
              <w:t>:</w:t>
            </w:r>
          </w:p>
        </w:tc>
      </w:tr>
      <w:tr w14:paraId="0EBE1FD0">
        <w:tblPrEx>
          <w:tblCellMar>
            <w:top w:w="0" w:type="dxa"/>
            <w:left w:w="108" w:type="dxa"/>
            <w:bottom w:w="0" w:type="dxa"/>
            <w:right w:w="108" w:type="dxa"/>
          </w:tblCellMar>
        </w:tblPrEx>
        <w:trPr>
          <w:trHeight w:val="416" w:hRule="atLeast"/>
          <w:jc w:val="center"/>
        </w:trPr>
        <w:tc>
          <w:tcPr>
            <w:tcW w:w="3403" w:type="dxa"/>
            <w:tcBorders>
              <w:top w:val="nil"/>
              <w:left w:val="nil"/>
              <w:bottom w:val="nil"/>
              <w:right w:val="nil"/>
            </w:tcBorders>
            <w:noWrap/>
            <w:vAlign w:val="center"/>
          </w:tcPr>
          <w:p w14:paraId="6EA480D4">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邮政编码</w:t>
            </w:r>
            <w:r>
              <w:rPr>
                <w:rFonts w:ascii="微软雅黑" w:hAnsi="微软雅黑" w:eastAsia="微软雅黑" w:cs="宋体"/>
                <w:bCs/>
                <w:color w:val="000000"/>
                <w:kern w:val="0"/>
                <w:sz w:val="18"/>
                <w:szCs w:val="18"/>
              </w:rPr>
              <w:t>:</w:t>
            </w:r>
          </w:p>
        </w:tc>
        <w:tc>
          <w:tcPr>
            <w:tcW w:w="3022" w:type="dxa"/>
            <w:tcBorders>
              <w:top w:val="nil"/>
              <w:left w:val="nil"/>
              <w:bottom w:val="nil"/>
              <w:right w:val="nil"/>
            </w:tcBorders>
            <w:noWrap/>
            <w:vAlign w:val="center"/>
          </w:tcPr>
          <w:p w14:paraId="09426EC4">
            <w:pPr>
              <w:widowControl/>
              <w:spacing w:line="0" w:lineRule="atLeast"/>
              <w:jc w:val="left"/>
              <w:rPr>
                <w:rFonts w:ascii="微软雅黑" w:hAnsi="微软雅黑" w:eastAsia="微软雅黑" w:cs="宋体"/>
                <w:bCs/>
                <w:color w:val="000000"/>
                <w:kern w:val="0"/>
                <w:sz w:val="18"/>
                <w:szCs w:val="18"/>
              </w:rPr>
            </w:pPr>
          </w:p>
        </w:tc>
        <w:tc>
          <w:tcPr>
            <w:tcW w:w="3215" w:type="dxa"/>
            <w:tcBorders>
              <w:top w:val="nil"/>
              <w:left w:val="nil"/>
              <w:bottom w:val="nil"/>
              <w:right w:val="nil"/>
            </w:tcBorders>
            <w:shd w:val="clear" w:color="auto" w:fill="auto"/>
            <w:noWrap/>
            <w:vAlign w:val="center"/>
          </w:tcPr>
          <w:p w14:paraId="3A6C2B31">
            <w:pPr>
              <w:widowControl/>
              <w:spacing w:line="0" w:lineRule="atLeast"/>
              <w:jc w:val="left"/>
              <w:rPr>
                <w:rFonts w:ascii="微软雅黑" w:hAnsi="微软雅黑" w:eastAsia="微软雅黑" w:cs="宋体"/>
                <w:bCs/>
                <w:color w:val="000000"/>
                <w:kern w:val="0"/>
                <w:sz w:val="18"/>
                <w:szCs w:val="18"/>
                <w:lang w:val="en-US" w:eastAsia="zh-CN" w:bidi="ar-SA"/>
              </w:rPr>
            </w:pPr>
            <w:r>
              <w:rPr>
                <w:rFonts w:hint="eastAsia" w:ascii="微软雅黑" w:hAnsi="微软雅黑" w:eastAsia="微软雅黑" w:cs="宋体"/>
                <w:bCs/>
                <w:color w:val="000000"/>
                <w:kern w:val="0"/>
                <w:sz w:val="18"/>
                <w:szCs w:val="18"/>
              </w:rPr>
              <w:t>邮政编码</w:t>
            </w:r>
            <w:r>
              <w:rPr>
                <w:rFonts w:ascii="微软雅黑" w:hAnsi="微软雅黑" w:eastAsia="微软雅黑" w:cs="宋体"/>
                <w:bCs/>
                <w:color w:val="000000"/>
                <w:kern w:val="0"/>
                <w:sz w:val="18"/>
                <w:szCs w:val="18"/>
              </w:rPr>
              <w:t xml:space="preserve">: </w:t>
            </w:r>
          </w:p>
        </w:tc>
      </w:tr>
      <w:tr w14:paraId="533D59EE">
        <w:tblPrEx>
          <w:tblCellMar>
            <w:top w:w="0" w:type="dxa"/>
            <w:left w:w="108" w:type="dxa"/>
            <w:bottom w:w="0" w:type="dxa"/>
            <w:right w:w="108" w:type="dxa"/>
          </w:tblCellMar>
        </w:tblPrEx>
        <w:trPr>
          <w:trHeight w:val="360" w:hRule="atLeast"/>
          <w:jc w:val="center"/>
        </w:trPr>
        <w:tc>
          <w:tcPr>
            <w:tcW w:w="9640" w:type="dxa"/>
            <w:gridSpan w:val="3"/>
            <w:tcBorders>
              <w:top w:val="nil"/>
              <w:left w:val="nil"/>
              <w:bottom w:val="nil"/>
              <w:right w:val="nil"/>
            </w:tcBorders>
            <w:noWrap/>
            <w:vAlign w:val="center"/>
          </w:tcPr>
          <w:p w14:paraId="38FCC600">
            <w:pPr>
              <w:widowControl/>
              <w:spacing w:line="0" w:lineRule="atLeast"/>
              <w:jc w:val="left"/>
              <w:rPr>
                <w:rFonts w:hint="eastAsia"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本合同有效期自202</w:t>
            </w:r>
            <w:r>
              <w:rPr>
                <w:rFonts w:hint="eastAsia" w:ascii="微软雅黑" w:hAnsi="微软雅黑" w:eastAsia="微软雅黑" w:cs="宋体"/>
                <w:bCs/>
                <w:color w:val="000000"/>
                <w:kern w:val="0"/>
                <w:sz w:val="18"/>
                <w:szCs w:val="18"/>
                <w:lang w:val="en-US" w:eastAsia="zh-CN"/>
              </w:rPr>
              <w:t>5</w:t>
            </w:r>
            <w:r>
              <w:rPr>
                <w:rFonts w:hint="eastAsia" w:ascii="微软雅黑" w:hAnsi="微软雅黑" w:eastAsia="微软雅黑" w:cs="宋体"/>
                <w:bCs/>
                <w:color w:val="000000"/>
                <w:kern w:val="0"/>
                <w:sz w:val="18"/>
                <w:szCs w:val="18"/>
              </w:rPr>
              <w:t xml:space="preserve">年 月 </w:t>
            </w:r>
            <w:r>
              <w:rPr>
                <w:rFonts w:hint="eastAsia" w:ascii="微软雅黑" w:hAnsi="微软雅黑" w:eastAsia="微软雅黑" w:cs="宋体"/>
                <w:bCs/>
                <w:color w:val="000000"/>
                <w:kern w:val="0"/>
                <w:sz w:val="18"/>
                <w:szCs w:val="18"/>
                <w:lang w:val="en-US" w:eastAsia="zh-CN"/>
              </w:rPr>
              <w:t xml:space="preserve">    </w:t>
            </w:r>
            <w:r>
              <w:rPr>
                <w:rFonts w:hint="eastAsia" w:ascii="微软雅黑" w:hAnsi="微软雅黑" w:eastAsia="微软雅黑" w:cs="宋体"/>
                <w:bCs/>
                <w:color w:val="000000"/>
                <w:kern w:val="0"/>
                <w:sz w:val="18"/>
                <w:szCs w:val="18"/>
              </w:rPr>
              <w:t xml:space="preserve"> 日至     年    月  日止</w:t>
            </w:r>
          </w:p>
          <w:p w14:paraId="7C68EE24">
            <w:pPr>
              <w:widowControl/>
              <w:spacing w:line="0" w:lineRule="atLeast"/>
              <w:jc w:val="left"/>
              <w:rPr>
                <w:rFonts w:hint="eastAsia" w:ascii="微软雅黑" w:hAnsi="微软雅黑" w:eastAsia="微软雅黑" w:cs="宋体"/>
                <w:bCs/>
                <w:color w:val="000000"/>
                <w:kern w:val="0"/>
                <w:sz w:val="18"/>
                <w:szCs w:val="18"/>
              </w:rPr>
            </w:pPr>
          </w:p>
        </w:tc>
      </w:tr>
    </w:tbl>
    <w:p w14:paraId="6FD4B3FD">
      <w:pPr>
        <w:sectPr>
          <w:footerReference r:id="rId3" w:type="default"/>
          <w:pgSz w:w="11906" w:h="16838"/>
          <w:pgMar w:top="1440" w:right="1077" w:bottom="1440" w:left="1077" w:header="851" w:footer="992" w:gutter="0"/>
          <w:cols w:space="425" w:num="1"/>
          <w:docGrid w:type="linesAndChars" w:linePitch="312" w:charSpace="0"/>
        </w:sectPr>
      </w:pPr>
    </w:p>
    <w:p w14:paraId="74DD209B">
      <w:r>
        <w:rPr>
          <w:rFonts w:hint="eastAsia"/>
          <w:b/>
          <w:bCs/>
          <w:sz w:val="24"/>
        </w:rPr>
        <w:t xml:space="preserve">附件二 </w:t>
      </w:r>
      <w:r>
        <w:rPr>
          <w:rFonts w:hint="eastAsia"/>
        </w:rPr>
        <w:t xml:space="preserve">                                    </w:t>
      </w:r>
      <w:r>
        <w:rPr>
          <w:rFonts w:hint="eastAsia"/>
          <w:b/>
          <w:bCs/>
          <w:sz w:val="24"/>
        </w:rPr>
        <w:t xml:space="preserve">        化工产品明细报价表</w:t>
      </w:r>
    </w:p>
    <w:tbl>
      <w:tblPr>
        <w:tblStyle w:val="16"/>
        <w:tblW w:w="14355" w:type="dxa"/>
        <w:jc w:val="center"/>
        <w:tblLayout w:type="fixed"/>
        <w:tblCellMar>
          <w:top w:w="0" w:type="dxa"/>
          <w:left w:w="108" w:type="dxa"/>
          <w:bottom w:w="0" w:type="dxa"/>
          <w:right w:w="108" w:type="dxa"/>
        </w:tblCellMar>
      </w:tblPr>
      <w:tblGrid>
        <w:gridCol w:w="787"/>
        <w:gridCol w:w="2372"/>
        <w:gridCol w:w="2060"/>
        <w:gridCol w:w="1051"/>
        <w:gridCol w:w="1080"/>
        <w:gridCol w:w="3507"/>
        <w:gridCol w:w="3498"/>
      </w:tblGrid>
      <w:tr w14:paraId="76E28220">
        <w:tblPrEx>
          <w:tblCellMar>
            <w:top w:w="0" w:type="dxa"/>
            <w:left w:w="108" w:type="dxa"/>
            <w:bottom w:w="0" w:type="dxa"/>
            <w:right w:w="108" w:type="dxa"/>
          </w:tblCellMar>
        </w:tblPrEx>
        <w:trPr>
          <w:trHeight w:val="570" w:hRule="atLeast"/>
          <w:jc w:val="center"/>
        </w:trPr>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14:paraId="0CD468BA">
            <w:pPr>
              <w:widowControl/>
              <w:jc w:val="center"/>
              <w:textAlignment w:val="center"/>
              <w:rPr>
                <w:rFonts w:ascii="宋体" w:hAnsi="宋体" w:cs="宋体"/>
                <w:b/>
                <w:bCs/>
                <w:color w:val="000000"/>
                <w:sz w:val="24"/>
              </w:rPr>
            </w:pPr>
            <w:r>
              <w:rPr>
                <w:rFonts w:hint="eastAsia" w:ascii="宋体" w:hAnsi="宋体" w:cs="宋体"/>
                <w:b/>
                <w:bCs/>
                <w:color w:val="000000"/>
                <w:kern w:val="0"/>
                <w:sz w:val="24"/>
              </w:rPr>
              <w:t>类别</w:t>
            </w:r>
          </w:p>
        </w:tc>
        <w:tc>
          <w:tcPr>
            <w:tcW w:w="2372" w:type="dxa"/>
            <w:tcBorders>
              <w:top w:val="single" w:color="auto" w:sz="4" w:space="0"/>
              <w:left w:val="single" w:color="auto" w:sz="4" w:space="0"/>
              <w:bottom w:val="single" w:color="auto" w:sz="4" w:space="0"/>
              <w:right w:val="single" w:color="auto" w:sz="4" w:space="0"/>
            </w:tcBorders>
            <w:shd w:val="clear" w:color="auto" w:fill="auto"/>
            <w:vAlign w:val="center"/>
          </w:tcPr>
          <w:p w14:paraId="2AAFD37B">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品</w:t>
            </w:r>
            <w:r>
              <w:rPr>
                <w:rStyle w:val="37"/>
              </w:rPr>
              <w:t xml:space="preserve">   </w:t>
            </w:r>
            <w:r>
              <w:rPr>
                <w:rStyle w:val="38"/>
                <w:rFonts w:hint="default"/>
              </w:rPr>
              <w:t>名</w:t>
            </w:r>
          </w:p>
        </w:tc>
        <w:tc>
          <w:tcPr>
            <w:tcW w:w="2060" w:type="dxa"/>
            <w:tcBorders>
              <w:top w:val="single" w:color="000000" w:sz="4" w:space="0"/>
              <w:left w:val="single" w:color="auto" w:sz="4" w:space="0"/>
              <w:bottom w:val="single" w:color="000000" w:sz="4" w:space="0"/>
              <w:right w:val="single" w:color="000000" w:sz="4" w:space="0"/>
            </w:tcBorders>
            <w:shd w:val="clear" w:color="auto" w:fill="auto"/>
            <w:vAlign w:val="center"/>
          </w:tcPr>
          <w:p w14:paraId="00B5E7E1">
            <w:pPr>
              <w:widowControl/>
              <w:jc w:val="center"/>
              <w:textAlignment w:val="center"/>
              <w:rPr>
                <w:rFonts w:ascii="宋体" w:hAnsi="宋体" w:cs="宋体"/>
                <w:b/>
                <w:bCs/>
                <w:color w:val="000000"/>
                <w:sz w:val="24"/>
              </w:rPr>
            </w:pPr>
            <w:r>
              <w:rPr>
                <w:rFonts w:hint="eastAsia" w:ascii="宋体" w:hAnsi="宋体" w:cs="宋体"/>
                <w:b/>
                <w:bCs/>
                <w:color w:val="000000"/>
                <w:kern w:val="0"/>
                <w:sz w:val="24"/>
              </w:rPr>
              <w:t>规</w:t>
            </w:r>
            <w:r>
              <w:rPr>
                <w:rStyle w:val="37"/>
              </w:rPr>
              <w:t xml:space="preserve">     </w:t>
            </w:r>
            <w:r>
              <w:rPr>
                <w:rStyle w:val="38"/>
                <w:rFonts w:hint="default"/>
              </w:rPr>
              <w:t>格</w:t>
            </w:r>
          </w:p>
        </w:tc>
        <w:tc>
          <w:tcPr>
            <w:tcW w:w="1051" w:type="dxa"/>
            <w:tcBorders>
              <w:top w:val="single" w:color="000000" w:sz="4" w:space="0"/>
              <w:left w:val="single" w:color="000000" w:sz="4" w:space="0"/>
              <w:bottom w:val="single" w:color="000000" w:sz="4" w:space="0"/>
              <w:right w:val="single" w:color="auto" w:sz="4" w:space="0"/>
            </w:tcBorders>
            <w:shd w:val="clear" w:color="auto" w:fill="auto"/>
            <w:vAlign w:val="center"/>
          </w:tcPr>
          <w:p w14:paraId="45B9F3A1">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单价（元）</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1E55E404">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单</w:t>
            </w:r>
            <w:r>
              <w:rPr>
                <w:rStyle w:val="37"/>
              </w:rPr>
              <w:t xml:space="preserve"> </w:t>
            </w:r>
            <w:r>
              <w:rPr>
                <w:rStyle w:val="38"/>
                <w:rFonts w:hint="default"/>
              </w:rPr>
              <w:t>位</w:t>
            </w:r>
          </w:p>
        </w:tc>
        <w:tc>
          <w:tcPr>
            <w:tcW w:w="3507" w:type="dxa"/>
            <w:tcBorders>
              <w:top w:val="single" w:color="auto" w:sz="4" w:space="0"/>
              <w:left w:val="single" w:color="auto" w:sz="4" w:space="0"/>
              <w:bottom w:val="single" w:color="auto" w:sz="4" w:space="0"/>
              <w:right w:val="single" w:color="auto" w:sz="4" w:space="0"/>
            </w:tcBorders>
            <w:shd w:val="clear" w:color="auto" w:fill="auto"/>
            <w:vAlign w:val="center"/>
          </w:tcPr>
          <w:p w14:paraId="5A69F88B">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产品指标要求</w:t>
            </w:r>
          </w:p>
        </w:tc>
        <w:tc>
          <w:tcPr>
            <w:tcW w:w="3498" w:type="dxa"/>
            <w:tcBorders>
              <w:top w:val="single" w:color="auto" w:sz="4" w:space="0"/>
              <w:left w:val="single" w:color="auto" w:sz="4" w:space="0"/>
              <w:bottom w:val="single" w:color="auto" w:sz="4" w:space="0"/>
              <w:right w:val="single" w:color="auto" w:sz="4" w:space="0"/>
            </w:tcBorders>
            <w:shd w:val="clear" w:color="auto" w:fill="auto"/>
            <w:vAlign w:val="center"/>
          </w:tcPr>
          <w:p w14:paraId="7D71ECA6">
            <w:pPr>
              <w:widowControl/>
              <w:jc w:val="center"/>
              <w:textAlignment w:val="center"/>
              <w:rPr>
                <w:rFonts w:ascii="宋体" w:hAnsi="宋体" w:cs="宋体"/>
                <w:b/>
                <w:bCs/>
                <w:color w:val="000000"/>
                <w:sz w:val="24"/>
              </w:rPr>
            </w:pPr>
            <w:r>
              <w:rPr>
                <w:rFonts w:hint="eastAsia" w:ascii="宋体" w:hAnsi="宋体" w:cs="宋体"/>
                <w:b/>
                <w:bCs/>
                <w:color w:val="000000"/>
                <w:kern w:val="0"/>
                <w:sz w:val="24"/>
              </w:rPr>
              <w:t>资质要求</w:t>
            </w:r>
          </w:p>
        </w:tc>
      </w:tr>
      <w:tr w14:paraId="56219E0D">
        <w:tblPrEx>
          <w:tblCellMar>
            <w:top w:w="0" w:type="dxa"/>
            <w:left w:w="108" w:type="dxa"/>
            <w:bottom w:w="0" w:type="dxa"/>
            <w:right w:w="108" w:type="dxa"/>
          </w:tblCellMar>
        </w:tblPrEx>
        <w:trPr>
          <w:trHeight w:val="338" w:hRule="atLeast"/>
          <w:jc w:val="center"/>
        </w:trPr>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14:paraId="716A88B3">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1</w:t>
            </w:r>
          </w:p>
        </w:tc>
        <w:tc>
          <w:tcPr>
            <w:tcW w:w="2372" w:type="dxa"/>
            <w:tcBorders>
              <w:top w:val="single" w:color="auto" w:sz="4" w:space="0"/>
              <w:left w:val="single" w:color="auto" w:sz="4" w:space="0"/>
              <w:bottom w:val="single" w:color="auto" w:sz="4" w:space="0"/>
              <w:right w:val="single" w:color="auto" w:sz="4" w:space="0"/>
            </w:tcBorders>
            <w:shd w:val="clear" w:color="auto" w:fill="auto"/>
            <w:vAlign w:val="center"/>
          </w:tcPr>
          <w:p w14:paraId="2BBF02DB">
            <w:pPr>
              <w:widowControl/>
              <w:jc w:val="left"/>
              <w:textAlignment w:val="center"/>
              <w:rPr>
                <w:rFonts w:hint="eastAsia" w:ascii="宋体" w:hAnsi="宋体" w:cs="宋体"/>
                <w:color w:val="000000"/>
                <w:kern w:val="0"/>
                <w:sz w:val="24"/>
              </w:rPr>
            </w:pPr>
            <w:r>
              <w:rPr>
                <w:rFonts w:hint="eastAsia" w:ascii="宋体" w:hAnsi="宋体" w:cs="宋体"/>
                <w:color w:val="000000"/>
                <w:kern w:val="0"/>
                <w:sz w:val="24"/>
              </w:rPr>
              <w:t>硫酸（液体）</w:t>
            </w:r>
          </w:p>
        </w:tc>
        <w:tc>
          <w:tcPr>
            <w:tcW w:w="2060" w:type="dxa"/>
            <w:tcBorders>
              <w:top w:val="single" w:color="000000" w:sz="4" w:space="0"/>
              <w:left w:val="single" w:color="auto" w:sz="4" w:space="0"/>
              <w:bottom w:val="single" w:color="000000" w:sz="4" w:space="0"/>
              <w:right w:val="single" w:color="000000" w:sz="4" w:space="0"/>
            </w:tcBorders>
            <w:shd w:val="clear" w:color="auto" w:fill="auto"/>
            <w:vAlign w:val="center"/>
          </w:tcPr>
          <w:p w14:paraId="2EEF04C7">
            <w:pPr>
              <w:widowControl/>
              <w:jc w:val="left"/>
              <w:textAlignment w:val="center"/>
              <w:rPr>
                <w:rFonts w:hint="eastAsia" w:ascii="宋体" w:hAnsi="宋体" w:cs="宋体"/>
                <w:color w:val="000000"/>
                <w:kern w:val="0"/>
                <w:sz w:val="24"/>
              </w:rPr>
            </w:pPr>
            <w:r>
              <w:rPr>
                <w:rFonts w:hint="eastAsia" w:ascii="宋体" w:hAnsi="宋体" w:cs="宋体"/>
                <w:color w:val="000000"/>
                <w:kern w:val="0"/>
                <w:sz w:val="24"/>
              </w:rPr>
              <w:t>工业级，50%</w:t>
            </w:r>
          </w:p>
        </w:tc>
        <w:tc>
          <w:tcPr>
            <w:tcW w:w="1051" w:type="dxa"/>
            <w:tcBorders>
              <w:top w:val="single" w:color="000000" w:sz="4" w:space="0"/>
              <w:left w:val="single" w:color="000000" w:sz="4" w:space="0"/>
              <w:bottom w:val="single" w:color="000000" w:sz="4" w:space="0"/>
              <w:right w:val="single" w:color="auto" w:sz="4" w:space="0"/>
            </w:tcBorders>
            <w:shd w:val="clear" w:color="auto" w:fill="auto"/>
            <w:vAlign w:val="center"/>
          </w:tcPr>
          <w:p w14:paraId="215FCE81">
            <w:pPr>
              <w:jc w:val="center"/>
              <w:rPr>
                <w:rFonts w:ascii="宋体" w:hAnsi="宋体" w:cs="宋体"/>
                <w:color w:val="000000"/>
                <w:sz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140B6D3F">
            <w:pPr>
              <w:widowControl/>
              <w:jc w:val="center"/>
              <w:textAlignment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千克</w:t>
            </w:r>
          </w:p>
        </w:tc>
        <w:tc>
          <w:tcPr>
            <w:tcW w:w="3507" w:type="dxa"/>
            <w:tcBorders>
              <w:top w:val="single" w:color="auto" w:sz="4" w:space="0"/>
              <w:left w:val="single" w:color="auto" w:sz="4" w:space="0"/>
              <w:bottom w:val="single" w:color="auto" w:sz="4" w:space="0"/>
              <w:right w:val="single" w:color="auto" w:sz="4" w:space="0"/>
            </w:tcBorders>
            <w:shd w:val="clear" w:color="auto" w:fill="auto"/>
            <w:vAlign w:val="center"/>
          </w:tcPr>
          <w:p w14:paraId="0AE7245A">
            <w:pPr>
              <w:widowControl/>
              <w:jc w:val="left"/>
              <w:textAlignment w:val="center"/>
              <w:rPr>
                <w:rFonts w:hint="eastAsia" w:ascii="宋体" w:hAnsi="宋体" w:cs="宋体"/>
                <w:color w:val="000000"/>
                <w:kern w:val="0"/>
                <w:sz w:val="24"/>
              </w:rPr>
            </w:pPr>
            <w:r>
              <w:rPr>
                <w:rFonts w:hint="eastAsia" w:ascii="宋体" w:hAnsi="宋体" w:cs="宋体"/>
                <w:color w:val="000000"/>
                <w:kern w:val="0"/>
                <w:sz w:val="24"/>
              </w:rPr>
              <w:t>GB/T 534-2024</w:t>
            </w:r>
          </w:p>
        </w:tc>
        <w:tc>
          <w:tcPr>
            <w:tcW w:w="349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DF29F7">
            <w:pPr>
              <w:widowControl/>
              <w:jc w:val="left"/>
              <w:textAlignment w:val="center"/>
              <w:rPr>
                <w:rFonts w:ascii="宋体" w:hAnsi="宋体" w:cs="宋体"/>
                <w:color w:val="000000"/>
                <w:sz w:val="24"/>
              </w:rPr>
            </w:pPr>
            <w:r>
              <w:rPr>
                <w:rFonts w:hint="eastAsia" w:ascii="宋体" w:hAnsi="宋体" w:cs="宋体"/>
                <w:color w:val="000000"/>
                <w:kern w:val="0"/>
                <w:sz w:val="24"/>
              </w:rPr>
              <w:t>1</w:t>
            </w:r>
            <w:r>
              <w:rPr>
                <w:rStyle w:val="39"/>
                <w:rFonts w:hint="default"/>
              </w:rPr>
              <w:t>、非药品类易制毒化学品经营备案证明</w:t>
            </w:r>
            <w:r>
              <w:rPr>
                <w:rStyle w:val="40"/>
                <w:rFonts w:hint="eastAsia" w:ascii="宋体" w:hAnsi="宋体" w:cs="宋体"/>
              </w:rPr>
              <w:t>;</w:t>
            </w:r>
            <w:r>
              <w:rPr>
                <w:rStyle w:val="40"/>
                <w:rFonts w:hint="eastAsia" w:ascii="宋体" w:hAnsi="宋体" w:cs="宋体"/>
              </w:rPr>
              <w:br w:type="textWrapping"/>
            </w:r>
            <w:r>
              <w:rPr>
                <w:rStyle w:val="40"/>
                <w:rFonts w:hint="eastAsia" w:ascii="宋体" w:hAnsi="宋体" w:cs="宋体"/>
              </w:rPr>
              <w:t>2</w:t>
            </w:r>
            <w:r>
              <w:rPr>
                <w:rStyle w:val="39"/>
                <w:rFonts w:hint="default"/>
              </w:rPr>
              <w:t>、有效的工商营业执照副本复印件；</w:t>
            </w:r>
            <w:r>
              <w:rPr>
                <w:rStyle w:val="40"/>
                <w:rFonts w:hint="eastAsia" w:ascii="宋体" w:hAnsi="宋体" w:cs="宋体"/>
              </w:rPr>
              <w:br w:type="textWrapping"/>
            </w:r>
            <w:r>
              <w:rPr>
                <w:rStyle w:val="40"/>
                <w:rFonts w:hint="eastAsia" w:ascii="宋体" w:hAnsi="宋体" w:cs="宋体"/>
              </w:rPr>
              <w:t>3</w:t>
            </w:r>
            <w:r>
              <w:rPr>
                <w:rStyle w:val="39"/>
                <w:rFonts w:hint="default"/>
              </w:rPr>
              <w:t>、危险化学品经营许可证</w:t>
            </w:r>
            <w:r>
              <w:rPr>
                <w:rStyle w:val="40"/>
                <w:rFonts w:hint="eastAsia" w:ascii="宋体" w:hAnsi="宋体" w:cs="宋体"/>
              </w:rPr>
              <w:t>;</w:t>
            </w:r>
            <w:r>
              <w:rPr>
                <w:rStyle w:val="40"/>
                <w:rFonts w:hint="eastAsia" w:ascii="宋体" w:hAnsi="宋体" w:cs="宋体"/>
              </w:rPr>
              <w:br w:type="textWrapping"/>
            </w:r>
            <w:r>
              <w:rPr>
                <w:rStyle w:val="40"/>
                <w:rFonts w:hint="eastAsia" w:ascii="宋体" w:hAnsi="宋体" w:cs="宋体"/>
              </w:rPr>
              <w:t>4</w:t>
            </w:r>
            <w:r>
              <w:rPr>
                <w:rStyle w:val="39"/>
                <w:rFonts w:hint="default"/>
              </w:rPr>
              <w:t>、</w:t>
            </w:r>
            <w:r>
              <w:rPr>
                <w:rStyle w:val="39"/>
                <w:rFonts w:hint="eastAsia"/>
                <w:lang w:val="en-US" w:eastAsia="zh-CN"/>
              </w:rPr>
              <w:t>运输合同和</w:t>
            </w:r>
            <w:r>
              <w:rPr>
                <w:rStyle w:val="39"/>
                <w:rFonts w:hint="default"/>
              </w:rPr>
              <w:t>道路运输许可证。</w:t>
            </w:r>
          </w:p>
        </w:tc>
      </w:tr>
      <w:tr w14:paraId="71BD4E65">
        <w:tblPrEx>
          <w:tblCellMar>
            <w:top w:w="0" w:type="dxa"/>
            <w:left w:w="108" w:type="dxa"/>
            <w:bottom w:w="0" w:type="dxa"/>
            <w:right w:w="108" w:type="dxa"/>
          </w:tblCellMar>
        </w:tblPrEx>
        <w:trPr>
          <w:trHeight w:val="340" w:hRule="atLeast"/>
          <w:jc w:val="center"/>
        </w:trPr>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14:paraId="74D705D4">
            <w:pPr>
              <w:jc w:val="center"/>
              <w:rPr>
                <w:rFonts w:hint="default" w:ascii="宋体" w:hAnsi="宋体" w:cs="宋体"/>
                <w:color w:val="000000"/>
                <w:sz w:val="24"/>
                <w:lang w:val="en-US" w:eastAsia="zh-CN"/>
              </w:rPr>
            </w:pPr>
            <w:r>
              <w:rPr>
                <w:rFonts w:hint="eastAsia" w:ascii="宋体" w:hAnsi="宋体" w:cs="宋体"/>
                <w:color w:val="000000"/>
                <w:sz w:val="24"/>
                <w:lang w:val="en-US" w:eastAsia="zh-CN"/>
              </w:rPr>
              <w:t>2</w:t>
            </w:r>
          </w:p>
        </w:tc>
        <w:tc>
          <w:tcPr>
            <w:tcW w:w="2372" w:type="dxa"/>
            <w:tcBorders>
              <w:top w:val="single" w:color="auto" w:sz="4" w:space="0"/>
              <w:left w:val="single" w:color="auto" w:sz="4" w:space="0"/>
              <w:bottom w:val="single" w:color="auto" w:sz="4" w:space="0"/>
              <w:right w:val="single" w:color="auto" w:sz="4" w:space="0"/>
            </w:tcBorders>
            <w:shd w:val="clear" w:color="auto" w:fill="auto"/>
            <w:vAlign w:val="center"/>
          </w:tcPr>
          <w:p w14:paraId="57CB1B8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硫酸铁铵十二水合物</w:t>
            </w:r>
          </w:p>
        </w:tc>
        <w:tc>
          <w:tcPr>
            <w:tcW w:w="2060" w:type="dxa"/>
            <w:tcBorders>
              <w:top w:val="single" w:color="auto" w:sz="4" w:space="0"/>
              <w:left w:val="single" w:color="auto" w:sz="4" w:space="0"/>
              <w:bottom w:val="single" w:color="auto" w:sz="4" w:space="0"/>
              <w:right w:val="single" w:color="auto" w:sz="4" w:space="0"/>
            </w:tcBorders>
            <w:shd w:val="clear" w:color="auto" w:fill="auto"/>
            <w:vAlign w:val="center"/>
          </w:tcPr>
          <w:p w14:paraId="48875235">
            <w:pPr>
              <w:keepNext w:val="0"/>
              <w:keepLines w:val="0"/>
              <w:widowControl/>
              <w:suppressLineNumbers w:val="0"/>
              <w:jc w:val="both"/>
              <w:textAlignment w:val="center"/>
              <w:rPr>
                <w:rFonts w:hint="eastAsia" w:ascii="宋体" w:hAnsi="宋体" w:eastAsia="宋体" w:cs="宋体"/>
                <w:b w:val="0"/>
                <w:bCs w:val="0"/>
                <w:sz w:val="24"/>
                <w:szCs w:val="24"/>
                <w:vertAlign w:val="baseline"/>
              </w:rPr>
            </w:pPr>
            <w:r>
              <w:rPr>
                <w:rFonts w:hint="eastAsia" w:ascii="宋体" w:hAnsi="宋体" w:eastAsia="宋体" w:cs="宋体"/>
                <w:b w:val="0"/>
                <w:bCs w:val="0"/>
                <w:sz w:val="24"/>
                <w:szCs w:val="24"/>
                <w:vertAlign w:val="baseline"/>
              </w:rPr>
              <w:t>优级纯，500g</w:t>
            </w:r>
          </w:p>
          <w:p w14:paraId="591A9C5E">
            <w:pPr>
              <w:keepNext w:val="0"/>
              <w:keepLines w:val="0"/>
              <w:widowControl/>
              <w:suppressLineNumbers w:val="0"/>
              <w:jc w:val="both"/>
              <w:textAlignment w:val="center"/>
              <w:rPr>
                <w:rFonts w:hint="eastAsia" w:ascii="宋体" w:hAnsi="宋体" w:eastAsia="宋体" w:cs="宋体"/>
                <w:b w:val="0"/>
                <w:bCs w:val="0"/>
                <w:sz w:val="24"/>
                <w:szCs w:val="24"/>
                <w:vertAlign w:val="baseline"/>
              </w:rPr>
            </w:pPr>
            <w:r>
              <w:rPr>
                <w:rFonts w:hint="eastAsia" w:ascii="宋体" w:hAnsi="宋体" w:eastAsia="宋体" w:cs="宋体"/>
                <w:b w:val="0"/>
                <w:bCs w:val="0"/>
                <w:sz w:val="24"/>
                <w:szCs w:val="24"/>
                <w:vertAlign w:val="baseline"/>
              </w:rPr>
              <w:t>CASN</w:t>
            </w:r>
            <w:r>
              <w:rPr>
                <w:rFonts w:hint="eastAsia" w:ascii="宋体" w:hAnsi="宋体" w:cs="宋体"/>
                <w:b w:val="0"/>
                <w:bCs w:val="0"/>
                <w:sz w:val="24"/>
                <w:szCs w:val="24"/>
                <w:vertAlign w:val="baseline"/>
                <w:lang w:val="en-US" w:eastAsia="zh-CN"/>
              </w:rPr>
              <w:t>o</w:t>
            </w:r>
            <w:r>
              <w:rPr>
                <w:rFonts w:hint="eastAsia" w:ascii="宋体" w:hAnsi="宋体" w:eastAsia="宋体" w:cs="宋体"/>
                <w:b w:val="0"/>
                <w:bCs w:val="0"/>
                <w:sz w:val="24"/>
                <w:szCs w:val="24"/>
                <w:vertAlign w:val="baseline"/>
              </w:rPr>
              <w:t>：7783-83-7</w:t>
            </w:r>
          </w:p>
        </w:tc>
        <w:tc>
          <w:tcPr>
            <w:tcW w:w="1051" w:type="dxa"/>
            <w:tcBorders>
              <w:top w:val="single" w:color="auto" w:sz="4" w:space="0"/>
              <w:left w:val="single" w:color="auto" w:sz="4" w:space="0"/>
              <w:bottom w:val="single" w:color="auto" w:sz="4" w:space="0"/>
              <w:right w:val="single" w:color="auto" w:sz="4" w:space="0"/>
            </w:tcBorders>
            <w:shd w:val="clear" w:color="auto" w:fill="auto"/>
            <w:vAlign w:val="center"/>
          </w:tcPr>
          <w:p w14:paraId="19138DAC">
            <w:pPr>
              <w:rPr>
                <w:rFonts w:hint="default" w:ascii="宋体" w:hAnsi="宋体" w:eastAsia="宋体" w:cs="宋体"/>
                <w:color w:val="000000"/>
                <w:sz w:val="24"/>
                <w:lang w:val="en-US" w:eastAsia="zh-CN"/>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5AF0C3C4">
            <w:pPr>
              <w:widowControl/>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瓶</w:t>
            </w:r>
          </w:p>
        </w:tc>
        <w:tc>
          <w:tcPr>
            <w:tcW w:w="3507" w:type="dxa"/>
            <w:tcBorders>
              <w:top w:val="single" w:color="auto" w:sz="4" w:space="0"/>
              <w:left w:val="single" w:color="auto" w:sz="4" w:space="0"/>
              <w:bottom w:val="single" w:color="auto" w:sz="4" w:space="0"/>
              <w:right w:val="single" w:color="auto" w:sz="4" w:space="0"/>
            </w:tcBorders>
            <w:shd w:val="clear" w:color="auto" w:fill="auto"/>
            <w:vAlign w:val="bottom"/>
          </w:tcPr>
          <w:p w14:paraId="4086D72B">
            <w:pPr>
              <w:keepNext w:val="0"/>
              <w:keepLines w:val="0"/>
              <w:widowControl/>
              <w:suppressLineNumbers w:val="0"/>
              <w:jc w:val="both"/>
              <w:textAlignment w:val="bottom"/>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GB/T 1279-2008</w:t>
            </w:r>
          </w:p>
        </w:tc>
        <w:tc>
          <w:tcPr>
            <w:tcW w:w="3498" w:type="dxa"/>
            <w:vMerge w:val="continue"/>
            <w:tcBorders>
              <w:top w:val="single" w:color="auto" w:sz="4" w:space="0"/>
              <w:left w:val="single" w:color="000000" w:sz="4" w:space="0"/>
              <w:right w:val="single" w:color="auto" w:sz="4" w:space="0"/>
            </w:tcBorders>
            <w:shd w:val="clear" w:color="auto" w:fill="auto"/>
            <w:vAlign w:val="center"/>
          </w:tcPr>
          <w:p w14:paraId="1C8F1FDC">
            <w:pPr>
              <w:jc w:val="left"/>
              <w:rPr>
                <w:rFonts w:hint="eastAsia" w:ascii="宋体" w:hAnsi="宋体" w:cs="宋体"/>
                <w:color w:val="000000"/>
                <w:kern w:val="0"/>
                <w:sz w:val="24"/>
              </w:rPr>
            </w:pPr>
          </w:p>
        </w:tc>
      </w:tr>
      <w:tr w14:paraId="5ECCB560">
        <w:tblPrEx>
          <w:tblCellMar>
            <w:top w:w="0" w:type="dxa"/>
            <w:left w:w="108" w:type="dxa"/>
            <w:bottom w:w="0" w:type="dxa"/>
            <w:right w:w="108" w:type="dxa"/>
          </w:tblCellMar>
        </w:tblPrEx>
        <w:trPr>
          <w:trHeight w:val="340" w:hRule="atLeast"/>
          <w:jc w:val="center"/>
        </w:trPr>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14:paraId="20D63844">
            <w:pPr>
              <w:jc w:val="center"/>
              <w:rPr>
                <w:rFonts w:hint="default" w:ascii="宋体" w:hAnsi="宋体" w:cs="宋体"/>
                <w:color w:val="000000"/>
                <w:sz w:val="24"/>
                <w:lang w:val="en-US" w:eastAsia="zh-CN"/>
              </w:rPr>
            </w:pPr>
            <w:r>
              <w:rPr>
                <w:rFonts w:hint="eastAsia" w:ascii="宋体" w:hAnsi="宋体" w:cs="宋体"/>
                <w:color w:val="000000"/>
                <w:sz w:val="24"/>
                <w:lang w:val="en-US" w:eastAsia="zh-CN"/>
              </w:rPr>
              <w:t>3</w:t>
            </w:r>
          </w:p>
        </w:tc>
        <w:tc>
          <w:tcPr>
            <w:tcW w:w="2372" w:type="dxa"/>
            <w:tcBorders>
              <w:top w:val="single" w:color="auto" w:sz="4" w:space="0"/>
              <w:left w:val="single" w:color="auto" w:sz="4" w:space="0"/>
              <w:bottom w:val="single" w:color="auto" w:sz="4" w:space="0"/>
              <w:right w:val="single" w:color="auto" w:sz="4" w:space="0"/>
            </w:tcBorders>
            <w:shd w:val="clear" w:color="auto" w:fill="auto"/>
            <w:vAlign w:val="center"/>
          </w:tcPr>
          <w:p w14:paraId="6C1E579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KSCN标准滴定溶液</w:t>
            </w:r>
          </w:p>
        </w:tc>
        <w:tc>
          <w:tcPr>
            <w:tcW w:w="2060" w:type="dxa"/>
            <w:tcBorders>
              <w:top w:val="single" w:color="auto" w:sz="4" w:space="0"/>
              <w:left w:val="single" w:color="auto" w:sz="4" w:space="0"/>
              <w:bottom w:val="single" w:color="auto" w:sz="4" w:space="0"/>
              <w:right w:val="single" w:color="auto" w:sz="4" w:space="0"/>
            </w:tcBorders>
            <w:shd w:val="clear" w:color="auto" w:fill="auto"/>
            <w:vAlign w:val="center"/>
          </w:tcPr>
          <w:p w14:paraId="53F7BB31">
            <w:pPr>
              <w:keepNext w:val="0"/>
              <w:keepLines w:val="0"/>
              <w:widowControl/>
              <w:suppressLineNumbers w:val="0"/>
              <w:jc w:val="both"/>
              <w:textAlignment w:val="center"/>
              <w:rPr>
                <w:rFonts w:hint="eastAsia" w:ascii="宋体" w:hAnsi="宋体" w:eastAsia="宋体" w:cs="宋体"/>
                <w:b w:val="0"/>
                <w:bCs w:val="0"/>
                <w:sz w:val="24"/>
                <w:szCs w:val="24"/>
                <w:vertAlign w:val="baseline"/>
              </w:rPr>
            </w:pPr>
            <w:r>
              <w:rPr>
                <w:rFonts w:hint="eastAsia" w:ascii="宋体" w:hAnsi="宋体" w:eastAsia="宋体" w:cs="宋体"/>
                <w:b w:val="0"/>
                <w:bCs w:val="0"/>
                <w:sz w:val="24"/>
                <w:szCs w:val="24"/>
                <w:vertAlign w:val="baseline"/>
              </w:rPr>
              <w:t>0.05mol/L</w:t>
            </w:r>
            <w:r>
              <w:rPr>
                <w:rFonts w:hint="eastAsia" w:ascii="宋体" w:hAnsi="宋体" w:cs="宋体"/>
                <w:b w:val="0"/>
                <w:bCs w:val="0"/>
                <w:sz w:val="24"/>
                <w:szCs w:val="24"/>
                <w:vertAlign w:val="baseline"/>
                <w:lang w:val="en-US" w:eastAsia="zh-CN"/>
              </w:rPr>
              <w:t xml:space="preserve"> </w:t>
            </w:r>
            <w:r>
              <w:rPr>
                <w:rFonts w:hint="eastAsia" w:ascii="宋体" w:hAnsi="宋体" w:eastAsia="宋体" w:cs="宋体"/>
                <w:b w:val="0"/>
                <w:bCs w:val="0"/>
                <w:sz w:val="24"/>
                <w:szCs w:val="24"/>
                <w:vertAlign w:val="baseline"/>
              </w:rPr>
              <w:t>500ml</w:t>
            </w:r>
          </w:p>
        </w:tc>
        <w:tc>
          <w:tcPr>
            <w:tcW w:w="1051" w:type="dxa"/>
            <w:tcBorders>
              <w:top w:val="single" w:color="auto" w:sz="4" w:space="0"/>
              <w:left w:val="single" w:color="auto" w:sz="4" w:space="0"/>
              <w:bottom w:val="single" w:color="auto" w:sz="4" w:space="0"/>
              <w:right w:val="single" w:color="auto" w:sz="4" w:space="0"/>
            </w:tcBorders>
            <w:shd w:val="clear" w:color="auto" w:fill="auto"/>
            <w:vAlign w:val="center"/>
          </w:tcPr>
          <w:p w14:paraId="03B18716">
            <w:pPr>
              <w:rPr>
                <w:rFonts w:hint="default" w:ascii="宋体" w:hAnsi="宋体" w:eastAsia="宋体" w:cs="宋体"/>
                <w:color w:val="000000"/>
                <w:sz w:val="24"/>
                <w:lang w:val="en-US" w:eastAsia="zh-CN"/>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003B82C6">
            <w:pPr>
              <w:widowControl/>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瓶</w:t>
            </w:r>
          </w:p>
        </w:tc>
        <w:tc>
          <w:tcPr>
            <w:tcW w:w="3507" w:type="dxa"/>
            <w:tcBorders>
              <w:top w:val="single" w:color="auto" w:sz="4" w:space="0"/>
              <w:left w:val="single" w:color="auto" w:sz="4" w:space="0"/>
              <w:bottom w:val="single" w:color="auto" w:sz="4" w:space="0"/>
              <w:right w:val="single" w:color="auto" w:sz="4" w:space="0"/>
            </w:tcBorders>
            <w:shd w:val="clear" w:color="auto" w:fill="auto"/>
            <w:vAlign w:val="bottom"/>
          </w:tcPr>
          <w:p w14:paraId="6267AFD0">
            <w:pPr>
              <w:keepNext w:val="0"/>
              <w:keepLines w:val="0"/>
              <w:widowControl/>
              <w:suppressLineNumbers w:val="0"/>
              <w:jc w:val="both"/>
              <w:textAlignment w:val="bottom"/>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w:t>
            </w:r>
          </w:p>
        </w:tc>
        <w:tc>
          <w:tcPr>
            <w:tcW w:w="3498" w:type="dxa"/>
            <w:vMerge w:val="continue"/>
            <w:tcBorders>
              <w:left w:val="single" w:color="000000" w:sz="4" w:space="0"/>
              <w:bottom w:val="single" w:color="auto" w:sz="4" w:space="0"/>
              <w:right w:val="single" w:color="auto" w:sz="4" w:space="0"/>
            </w:tcBorders>
            <w:shd w:val="clear" w:color="auto" w:fill="auto"/>
            <w:vAlign w:val="center"/>
          </w:tcPr>
          <w:p w14:paraId="5EC3E85D">
            <w:pPr>
              <w:jc w:val="left"/>
              <w:rPr>
                <w:rFonts w:hint="eastAsia" w:ascii="宋体" w:hAnsi="宋体" w:cs="宋体"/>
                <w:color w:val="000000"/>
                <w:kern w:val="0"/>
                <w:sz w:val="24"/>
              </w:rPr>
            </w:pPr>
          </w:p>
        </w:tc>
      </w:tr>
    </w:tbl>
    <w:p w14:paraId="7D4F13BE">
      <w:pPr>
        <w:spacing w:line="500" w:lineRule="exact"/>
        <w:rPr>
          <w:rFonts w:hint="eastAsia" w:asciiTheme="majorEastAsia" w:hAnsiTheme="majorEastAsia" w:eastAsiaTheme="majorEastAsia"/>
          <w:b/>
          <w:color w:val="FF0000"/>
          <w:szCs w:val="21"/>
        </w:rPr>
      </w:pPr>
    </w:p>
    <w:p w14:paraId="02074BA4">
      <w:pPr>
        <w:spacing w:line="500" w:lineRule="exact"/>
        <w:rPr>
          <w:rFonts w:hint="eastAsia" w:asciiTheme="majorEastAsia" w:hAnsiTheme="majorEastAsia" w:eastAsiaTheme="majorEastAsia"/>
          <w:b/>
          <w:color w:val="FF0000"/>
          <w:szCs w:val="21"/>
        </w:rPr>
      </w:pPr>
      <w:r>
        <w:rPr>
          <w:rFonts w:hint="eastAsia" w:asciiTheme="majorEastAsia" w:hAnsiTheme="majorEastAsia" w:eastAsiaTheme="majorEastAsia"/>
          <w:b/>
          <w:color w:val="FF0000"/>
          <w:szCs w:val="21"/>
        </w:rPr>
        <w:t>注：1、国家管制的易制毒产品必须要有资质才能填报价格，否则为废标。2、危化品的运输和罐装必须有资质的单位和人员</w:t>
      </w:r>
    </w:p>
    <w:sectPr>
      <w:pgSz w:w="16838" w:h="11906" w:orient="landscape"/>
      <w:pgMar w:top="1077" w:right="1440" w:bottom="107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60E68">
    <w:pPr>
      <w:pStyle w:val="11"/>
      <w:jc w:val="center"/>
    </w:pPr>
    <w:r>
      <w:fldChar w:fldCharType="begin"/>
    </w:r>
    <w:r>
      <w:instrText xml:space="preserve"> PAGE   \* MERGEFORMAT </w:instrText>
    </w:r>
    <w:r>
      <w:fldChar w:fldCharType="separate"/>
    </w:r>
    <w:r>
      <w:rPr>
        <w:lang w:val="zh-CN"/>
      </w:rPr>
      <w:t>14</w:t>
    </w:r>
    <w:r>
      <w:rPr>
        <w:lang w:val="zh-CN"/>
      </w:rPr>
      <w:fldChar w:fldCharType="end"/>
    </w:r>
  </w:p>
  <w:p w14:paraId="26597A52">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E0B15A"/>
    <w:multiLevelType w:val="singleLevel"/>
    <w:tmpl w:val="B7E0B15A"/>
    <w:lvl w:ilvl="0" w:tentative="0">
      <w:start w:val="1"/>
      <w:numFmt w:val="chineseCounting"/>
      <w:suff w:val="nothing"/>
      <w:lvlText w:val="（%1）"/>
      <w:lvlJc w:val="left"/>
      <w:pPr>
        <w:ind w:left="229"/>
      </w:pPr>
      <w:rPr>
        <w:rFonts w:hint="eastAsia"/>
      </w:rPr>
    </w:lvl>
  </w:abstractNum>
  <w:abstractNum w:abstractNumId="1">
    <w:nsid w:val="2B495FF4"/>
    <w:multiLevelType w:val="singleLevel"/>
    <w:tmpl w:val="2B495FF4"/>
    <w:lvl w:ilvl="0" w:tentative="0">
      <w:start w:val="1"/>
      <w:numFmt w:val="chineseCounting"/>
      <w:suff w:val="nothing"/>
      <w:lvlText w:val="（%1）"/>
      <w:lvlJc w:val="left"/>
      <w:pPr>
        <w:ind w:left="0" w:firstLine="420"/>
      </w:pPr>
      <w:rPr>
        <w:rFonts w:hint="eastAsia"/>
      </w:rPr>
    </w:lvl>
  </w:abstractNum>
  <w:abstractNum w:abstractNumId="2">
    <w:nsid w:val="68E3E8BA"/>
    <w:multiLevelType w:val="singleLevel"/>
    <w:tmpl w:val="68E3E8BA"/>
    <w:lvl w:ilvl="0" w:tentative="0">
      <w:start w:val="3"/>
      <w:numFmt w:val="chineseCounting"/>
      <w:suff w:val="nothing"/>
      <w:lvlText w:val="%1、"/>
      <w:lvlJc w:val="left"/>
      <w:rPr>
        <w:rFonts w:hint="eastAsia"/>
      </w:rPr>
    </w:lvl>
  </w:abstractNum>
  <w:abstractNum w:abstractNumId="3">
    <w:nsid w:val="7BD60DF2"/>
    <w:multiLevelType w:val="multilevel"/>
    <w:tmpl w:val="7BD60DF2"/>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6"/>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WI1YmU1ZTRkYzhlOTE3NjU4YTU3NTMzMzU3ZTdiMjIifQ=="/>
  </w:docVars>
  <w:rsids>
    <w:rsidRoot w:val="001D5C5B"/>
    <w:rsid w:val="000059E1"/>
    <w:rsid w:val="000134F5"/>
    <w:rsid w:val="0001707C"/>
    <w:rsid w:val="00026BD2"/>
    <w:rsid w:val="0003284F"/>
    <w:rsid w:val="000359B3"/>
    <w:rsid w:val="00043AB9"/>
    <w:rsid w:val="0004797C"/>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790B"/>
    <w:rsid w:val="000A02CA"/>
    <w:rsid w:val="000A15DE"/>
    <w:rsid w:val="000A26CE"/>
    <w:rsid w:val="000A5947"/>
    <w:rsid w:val="000A5A07"/>
    <w:rsid w:val="000A6AFF"/>
    <w:rsid w:val="000D04B9"/>
    <w:rsid w:val="000D0B49"/>
    <w:rsid w:val="000D54A8"/>
    <w:rsid w:val="000D5571"/>
    <w:rsid w:val="000D5F10"/>
    <w:rsid w:val="000D6E16"/>
    <w:rsid w:val="000E0AC0"/>
    <w:rsid w:val="000E31BB"/>
    <w:rsid w:val="000E4068"/>
    <w:rsid w:val="000F5456"/>
    <w:rsid w:val="000F5A2E"/>
    <w:rsid w:val="001057D4"/>
    <w:rsid w:val="00107961"/>
    <w:rsid w:val="001122E1"/>
    <w:rsid w:val="00113340"/>
    <w:rsid w:val="001273AC"/>
    <w:rsid w:val="00130394"/>
    <w:rsid w:val="00133A60"/>
    <w:rsid w:val="00136914"/>
    <w:rsid w:val="00136FFD"/>
    <w:rsid w:val="001371CF"/>
    <w:rsid w:val="00137FE0"/>
    <w:rsid w:val="00160BF2"/>
    <w:rsid w:val="0016328D"/>
    <w:rsid w:val="00173640"/>
    <w:rsid w:val="00175ADD"/>
    <w:rsid w:val="00195AF2"/>
    <w:rsid w:val="001A48BF"/>
    <w:rsid w:val="001B0EB3"/>
    <w:rsid w:val="001B527D"/>
    <w:rsid w:val="001B5F50"/>
    <w:rsid w:val="001B68D5"/>
    <w:rsid w:val="001B6B00"/>
    <w:rsid w:val="001D36EB"/>
    <w:rsid w:val="001D5C5B"/>
    <w:rsid w:val="001D7F20"/>
    <w:rsid w:val="001E72E1"/>
    <w:rsid w:val="001F046B"/>
    <w:rsid w:val="001F06CE"/>
    <w:rsid w:val="001F558B"/>
    <w:rsid w:val="00202511"/>
    <w:rsid w:val="002068FC"/>
    <w:rsid w:val="002129C6"/>
    <w:rsid w:val="00215B44"/>
    <w:rsid w:val="00216E77"/>
    <w:rsid w:val="00220690"/>
    <w:rsid w:val="002232E6"/>
    <w:rsid w:val="00224555"/>
    <w:rsid w:val="0023226C"/>
    <w:rsid w:val="00241005"/>
    <w:rsid w:val="002440BF"/>
    <w:rsid w:val="002500AC"/>
    <w:rsid w:val="002549BB"/>
    <w:rsid w:val="0025761E"/>
    <w:rsid w:val="00260F22"/>
    <w:rsid w:val="00264976"/>
    <w:rsid w:val="0027438B"/>
    <w:rsid w:val="00283A4B"/>
    <w:rsid w:val="00285DDF"/>
    <w:rsid w:val="00286F48"/>
    <w:rsid w:val="002933BE"/>
    <w:rsid w:val="00295A5F"/>
    <w:rsid w:val="002A5C23"/>
    <w:rsid w:val="002A7A32"/>
    <w:rsid w:val="002B5E1D"/>
    <w:rsid w:val="002B6752"/>
    <w:rsid w:val="002C52F2"/>
    <w:rsid w:val="002D3103"/>
    <w:rsid w:val="002D433E"/>
    <w:rsid w:val="002D4950"/>
    <w:rsid w:val="002E2C0E"/>
    <w:rsid w:val="002E36A3"/>
    <w:rsid w:val="002E5C45"/>
    <w:rsid w:val="002E6679"/>
    <w:rsid w:val="002F61B2"/>
    <w:rsid w:val="00304524"/>
    <w:rsid w:val="00306EF5"/>
    <w:rsid w:val="003072B7"/>
    <w:rsid w:val="00307B93"/>
    <w:rsid w:val="00311A45"/>
    <w:rsid w:val="0031344E"/>
    <w:rsid w:val="00315D16"/>
    <w:rsid w:val="00316E94"/>
    <w:rsid w:val="00323947"/>
    <w:rsid w:val="003241B6"/>
    <w:rsid w:val="00326CB9"/>
    <w:rsid w:val="003307C8"/>
    <w:rsid w:val="003350B5"/>
    <w:rsid w:val="00337214"/>
    <w:rsid w:val="003374DA"/>
    <w:rsid w:val="00337915"/>
    <w:rsid w:val="003418B9"/>
    <w:rsid w:val="00342E7D"/>
    <w:rsid w:val="003430A8"/>
    <w:rsid w:val="00350995"/>
    <w:rsid w:val="00351401"/>
    <w:rsid w:val="00357DE6"/>
    <w:rsid w:val="0036236E"/>
    <w:rsid w:val="00364E96"/>
    <w:rsid w:val="00366E00"/>
    <w:rsid w:val="00367250"/>
    <w:rsid w:val="00372054"/>
    <w:rsid w:val="003746A9"/>
    <w:rsid w:val="003813BF"/>
    <w:rsid w:val="0038267D"/>
    <w:rsid w:val="003835A1"/>
    <w:rsid w:val="00386D07"/>
    <w:rsid w:val="00386F3A"/>
    <w:rsid w:val="003877FC"/>
    <w:rsid w:val="003918D1"/>
    <w:rsid w:val="003A2A53"/>
    <w:rsid w:val="003A792E"/>
    <w:rsid w:val="003B244F"/>
    <w:rsid w:val="003B7512"/>
    <w:rsid w:val="003C1311"/>
    <w:rsid w:val="003C2879"/>
    <w:rsid w:val="003C2ABE"/>
    <w:rsid w:val="003C6BE5"/>
    <w:rsid w:val="003C6E01"/>
    <w:rsid w:val="003D1000"/>
    <w:rsid w:val="003D2E42"/>
    <w:rsid w:val="003D3181"/>
    <w:rsid w:val="003E0C1E"/>
    <w:rsid w:val="003E0F28"/>
    <w:rsid w:val="003E34BE"/>
    <w:rsid w:val="003E7EBF"/>
    <w:rsid w:val="003F3952"/>
    <w:rsid w:val="004037E0"/>
    <w:rsid w:val="00405CA8"/>
    <w:rsid w:val="004136D5"/>
    <w:rsid w:val="00416499"/>
    <w:rsid w:val="00416B67"/>
    <w:rsid w:val="00417C39"/>
    <w:rsid w:val="00434F5F"/>
    <w:rsid w:val="00447358"/>
    <w:rsid w:val="00447B9F"/>
    <w:rsid w:val="00450C37"/>
    <w:rsid w:val="004559AE"/>
    <w:rsid w:val="004738C5"/>
    <w:rsid w:val="00475E78"/>
    <w:rsid w:val="00476050"/>
    <w:rsid w:val="00477E9D"/>
    <w:rsid w:val="00482A91"/>
    <w:rsid w:val="004854A2"/>
    <w:rsid w:val="00493964"/>
    <w:rsid w:val="00494714"/>
    <w:rsid w:val="004962AC"/>
    <w:rsid w:val="004A1B16"/>
    <w:rsid w:val="004A2169"/>
    <w:rsid w:val="004A35EE"/>
    <w:rsid w:val="004A5180"/>
    <w:rsid w:val="004A7AFA"/>
    <w:rsid w:val="004B4210"/>
    <w:rsid w:val="004B5B28"/>
    <w:rsid w:val="004B6F5D"/>
    <w:rsid w:val="004B7B52"/>
    <w:rsid w:val="004C697D"/>
    <w:rsid w:val="004D2E4D"/>
    <w:rsid w:val="004D3766"/>
    <w:rsid w:val="004D3C79"/>
    <w:rsid w:val="004D5FB1"/>
    <w:rsid w:val="004E2D26"/>
    <w:rsid w:val="004E5B8B"/>
    <w:rsid w:val="004F3CD4"/>
    <w:rsid w:val="004F509B"/>
    <w:rsid w:val="004F5568"/>
    <w:rsid w:val="00502C52"/>
    <w:rsid w:val="00503998"/>
    <w:rsid w:val="005051CE"/>
    <w:rsid w:val="00512F3D"/>
    <w:rsid w:val="00522216"/>
    <w:rsid w:val="00526F5C"/>
    <w:rsid w:val="005276CB"/>
    <w:rsid w:val="00534BBF"/>
    <w:rsid w:val="00537195"/>
    <w:rsid w:val="00555816"/>
    <w:rsid w:val="00571165"/>
    <w:rsid w:val="00571B16"/>
    <w:rsid w:val="00572F09"/>
    <w:rsid w:val="00585959"/>
    <w:rsid w:val="005860C0"/>
    <w:rsid w:val="00591F44"/>
    <w:rsid w:val="005A4838"/>
    <w:rsid w:val="005B390E"/>
    <w:rsid w:val="005B3D73"/>
    <w:rsid w:val="005D145E"/>
    <w:rsid w:val="005D2C75"/>
    <w:rsid w:val="005D61F0"/>
    <w:rsid w:val="005D6830"/>
    <w:rsid w:val="005E2A05"/>
    <w:rsid w:val="005F1335"/>
    <w:rsid w:val="005F4CBF"/>
    <w:rsid w:val="006002A8"/>
    <w:rsid w:val="00611225"/>
    <w:rsid w:val="006118BC"/>
    <w:rsid w:val="00623D78"/>
    <w:rsid w:val="006255A5"/>
    <w:rsid w:val="00631D05"/>
    <w:rsid w:val="0063784B"/>
    <w:rsid w:val="00642987"/>
    <w:rsid w:val="00644099"/>
    <w:rsid w:val="006446FE"/>
    <w:rsid w:val="0065554E"/>
    <w:rsid w:val="006559C3"/>
    <w:rsid w:val="006657F5"/>
    <w:rsid w:val="00667CCD"/>
    <w:rsid w:val="00676F06"/>
    <w:rsid w:val="00690DB2"/>
    <w:rsid w:val="00692479"/>
    <w:rsid w:val="00692B56"/>
    <w:rsid w:val="00697A76"/>
    <w:rsid w:val="006A122F"/>
    <w:rsid w:val="006B5A19"/>
    <w:rsid w:val="006B6879"/>
    <w:rsid w:val="006C008C"/>
    <w:rsid w:val="006C1673"/>
    <w:rsid w:val="006C7FE2"/>
    <w:rsid w:val="006D5AA1"/>
    <w:rsid w:val="006E735F"/>
    <w:rsid w:val="006F0B97"/>
    <w:rsid w:val="00700598"/>
    <w:rsid w:val="0070183D"/>
    <w:rsid w:val="00703A3B"/>
    <w:rsid w:val="007068E8"/>
    <w:rsid w:val="00715514"/>
    <w:rsid w:val="007215D7"/>
    <w:rsid w:val="00721E68"/>
    <w:rsid w:val="00724C73"/>
    <w:rsid w:val="007313A4"/>
    <w:rsid w:val="00742839"/>
    <w:rsid w:val="007537C3"/>
    <w:rsid w:val="007566A0"/>
    <w:rsid w:val="0076314B"/>
    <w:rsid w:val="007649B3"/>
    <w:rsid w:val="007662F5"/>
    <w:rsid w:val="007671BC"/>
    <w:rsid w:val="007717C4"/>
    <w:rsid w:val="0078212C"/>
    <w:rsid w:val="0078416A"/>
    <w:rsid w:val="00784599"/>
    <w:rsid w:val="007A2C20"/>
    <w:rsid w:val="007A30EE"/>
    <w:rsid w:val="007A560D"/>
    <w:rsid w:val="007A5F95"/>
    <w:rsid w:val="007B4FE1"/>
    <w:rsid w:val="007C12A4"/>
    <w:rsid w:val="007D5894"/>
    <w:rsid w:val="007E7B94"/>
    <w:rsid w:val="00803305"/>
    <w:rsid w:val="0081100C"/>
    <w:rsid w:val="0081179D"/>
    <w:rsid w:val="00817AAA"/>
    <w:rsid w:val="008215FB"/>
    <w:rsid w:val="008333FB"/>
    <w:rsid w:val="008340A2"/>
    <w:rsid w:val="008402A7"/>
    <w:rsid w:val="0084141C"/>
    <w:rsid w:val="00860ACA"/>
    <w:rsid w:val="00863011"/>
    <w:rsid w:val="00870EF3"/>
    <w:rsid w:val="008714FC"/>
    <w:rsid w:val="00871EBA"/>
    <w:rsid w:val="008943BD"/>
    <w:rsid w:val="00897E3F"/>
    <w:rsid w:val="008A2BD5"/>
    <w:rsid w:val="008A53B2"/>
    <w:rsid w:val="008A5493"/>
    <w:rsid w:val="008A7845"/>
    <w:rsid w:val="008B52E9"/>
    <w:rsid w:val="008B625F"/>
    <w:rsid w:val="008D1969"/>
    <w:rsid w:val="008D3752"/>
    <w:rsid w:val="008D71AD"/>
    <w:rsid w:val="008D7E1C"/>
    <w:rsid w:val="008E016E"/>
    <w:rsid w:val="008E52D6"/>
    <w:rsid w:val="008F720C"/>
    <w:rsid w:val="009056E3"/>
    <w:rsid w:val="009119D7"/>
    <w:rsid w:val="00917906"/>
    <w:rsid w:val="00934DA0"/>
    <w:rsid w:val="0093515E"/>
    <w:rsid w:val="009368FD"/>
    <w:rsid w:val="009402E4"/>
    <w:rsid w:val="0094112D"/>
    <w:rsid w:val="00941B4B"/>
    <w:rsid w:val="009472B8"/>
    <w:rsid w:val="00951FF9"/>
    <w:rsid w:val="009639EC"/>
    <w:rsid w:val="00971AB8"/>
    <w:rsid w:val="00973733"/>
    <w:rsid w:val="009737FA"/>
    <w:rsid w:val="00984559"/>
    <w:rsid w:val="009855C8"/>
    <w:rsid w:val="009A0C62"/>
    <w:rsid w:val="009A2494"/>
    <w:rsid w:val="009C4878"/>
    <w:rsid w:val="009D24C4"/>
    <w:rsid w:val="009D536C"/>
    <w:rsid w:val="009E1FB5"/>
    <w:rsid w:val="009E2B0C"/>
    <w:rsid w:val="009E4FA1"/>
    <w:rsid w:val="009E527A"/>
    <w:rsid w:val="009E5948"/>
    <w:rsid w:val="009E62D0"/>
    <w:rsid w:val="009E6335"/>
    <w:rsid w:val="009F48C6"/>
    <w:rsid w:val="00A05D01"/>
    <w:rsid w:val="00A179F4"/>
    <w:rsid w:val="00A25955"/>
    <w:rsid w:val="00A27DF4"/>
    <w:rsid w:val="00A30ED5"/>
    <w:rsid w:val="00A35D17"/>
    <w:rsid w:val="00A40D6D"/>
    <w:rsid w:val="00A45710"/>
    <w:rsid w:val="00A47B6E"/>
    <w:rsid w:val="00A52DDA"/>
    <w:rsid w:val="00A53DA3"/>
    <w:rsid w:val="00A54D70"/>
    <w:rsid w:val="00A568D6"/>
    <w:rsid w:val="00A56BCC"/>
    <w:rsid w:val="00A6028E"/>
    <w:rsid w:val="00A61DCC"/>
    <w:rsid w:val="00A67821"/>
    <w:rsid w:val="00A71748"/>
    <w:rsid w:val="00A828D1"/>
    <w:rsid w:val="00A86337"/>
    <w:rsid w:val="00A92A0A"/>
    <w:rsid w:val="00A938C7"/>
    <w:rsid w:val="00A9418F"/>
    <w:rsid w:val="00AA2952"/>
    <w:rsid w:val="00AA5F77"/>
    <w:rsid w:val="00AB350A"/>
    <w:rsid w:val="00AB44C4"/>
    <w:rsid w:val="00AB66CA"/>
    <w:rsid w:val="00AC77FE"/>
    <w:rsid w:val="00AD13C4"/>
    <w:rsid w:val="00AE25A4"/>
    <w:rsid w:val="00AE3697"/>
    <w:rsid w:val="00AF0CAF"/>
    <w:rsid w:val="00AF3DBB"/>
    <w:rsid w:val="00B07934"/>
    <w:rsid w:val="00B10E35"/>
    <w:rsid w:val="00B27F3C"/>
    <w:rsid w:val="00B302E8"/>
    <w:rsid w:val="00B365F6"/>
    <w:rsid w:val="00B477FC"/>
    <w:rsid w:val="00B502F8"/>
    <w:rsid w:val="00B50F23"/>
    <w:rsid w:val="00B52655"/>
    <w:rsid w:val="00B52C26"/>
    <w:rsid w:val="00B53DD5"/>
    <w:rsid w:val="00B54AE4"/>
    <w:rsid w:val="00B5594C"/>
    <w:rsid w:val="00B57BAF"/>
    <w:rsid w:val="00B61D18"/>
    <w:rsid w:val="00B645EB"/>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26A5"/>
    <w:rsid w:val="00BF4510"/>
    <w:rsid w:val="00BF5650"/>
    <w:rsid w:val="00BF7486"/>
    <w:rsid w:val="00C00131"/>
    <w:rsid w:val="00C10296"/>
    <w:rsid w:val="00C10FE1"/>
    <w:rsid w:val="00C135EB"/>
    <w:rsid w:val="00C17553"/>
    <w:rsid w:val="00C33C0A"/>
    <w:rsid w:val="00C3589F"/>
    <w:rsid w:val="00C36DBA"/>
    <w:rsid w:val="00C42B15"/>
    <w:rsid w:val="00C43AB7"/>
    <w:rsid w:val="00C50A9E"/>
    <w:rsid w:val="00C52741"/>
    <w:rsid w:val="00C5324D"/>
    <w:rsid w:val="00C5468D"/>
    <w:rsid w:val="00C57911"/>
    <w:rsid w:val="00C634CE"/>
    <w:rsid w:val="00C72709"/>
    <w:rsid w:val="00C83359"/>
    <w:rsid w:val="00C857FC"/>
    <w:rsid w:val="00C87D11"/>
    <w:rsid w:val="00C928D9"/>
    <w:rsid w:val="00C943C9"/>
    <w:rsid w:val="00C9795A"/>
    <w:rsid w:val="00CA0662"/>
    <w:rsid w:val="00CA67EB"/>
    <w:rsid w:val="00CA6D13"/>
    <w:rsid w:val="00CB2AA3"/>
    <w:rsid w:val="00CB467D"/>
    <w:rsid w:val="00CD23BD"/>
    <w:rsid w:val="00CD5EDE"/>
    <w:rsid w:val="00CF19CE"/>
    <w:rsid w:val="00D00796"/>
    <w:rsid w:val="00D11AB7"/>
    <w:rsid w:val="00D11C3F"/>
    <w:rsid w:val="00D12338"/>
    <w:rsid w:val="00D16EAC"/>
    <w:rsid w:val="00D220C6"/>
    <w:rsid w:val="00D27E3F"/>
    <w:rsid w:val="00D30BF8"/>
    <w:rsid w:val="00D31155"/>
    <w:rsid w:val="00D35281"/>
    <w:rsid w:val="00D46F30"/>
    <w:rsid w:val="00D47C7B"/>
    <w:rsid w:val="00D50535"/>
    <w:rsid w:val="00D51BE7"/>
    <w:rsid w:val="00D52A6A"/>
    <w:rsid w:val="00D61ACB"/>
    <w:rsid w:val="00D61AD2"/>
    <w:rsid w:val="00D67A5F"/>
    <w:rsid w:val="00D72CE7"/>
    <w:rsid w:val="00D74198"/>
    <w:rsid w:val="00D769AD"/>
    <w:rsid w:val="00D81C3F"/>
    <w:rsid w:val="00D82291"/>
    <w:rsid w:val="00D83B31"/>
    <w:rsid w:val="00D85348"/>
    <w:rsid w:val="00D9088E"/>
    <w:rsid w:val="00D939E1"/>
    <w:rsid w:val="00D93D09"/>
    <w:rsid w:val="00DA0C40"/>
    <w:rsid w:val="00DB3AE4"/>
    <w:rsid w:val="00DC675C"/>
    <w:rsid w:val="00DD0A7A"/>
    <w:rsid w:val="00DD1E2E"/>
    <w:rsid w:val="00DD2D81"/>
    <w:rsid w:val="00DD323E"/>
    <w:rsid w:val="00DE210E"/>
    <w:rsid w:val="00DE5D4C"/>
    <w:rsid w:val="00DE7DA6"/>
    <w:rsid w:val="00E00735"/>
    <w:rsid w:val="00E011DC"/>
    <w:rsid w:val="00E01533"/>
    <w:rsid w:val="00E0283D"/>
    <w:rsid w:val="00E0301E"/>
    <w:rsid w:val="00E122D2"/>
    <w:rsid w:val="00E13EE3"/>
    <w:rsid w:val="00E23490"/>
    <w:rsid w:val="00E249E4"/>
    <w:rsid w:val="00E24E3D"/>
    <w:rsid w:val="00E2670D"/>
    <w:rsid w:val="00E34E6C"/>
    <w:rsid w:val="00E352CD"/>
    <w:rsid w:val="00E40574"/>
    <w:rsid w:val="00E419B2"/>
    <w:rsid w:val="00E43322"/>
    <w:rsid w:val="00E43563"/>
    <w:rsid w:val="00E43FC9"/>
    <w:rsid w:val="00E511F4"/>
    <w:rsid w:val="00E56448"/>
    <w:rsid w:val="00E64D90"/>
    <w:rsid w:val="00E65AF2"/>
    <w:rsid w:val="00E72AD1"/>
    <w:rsid w:val="00E8298B"/>
    <w:rsid w:val="00E85AB2"/>
    <w:rsid w:val="00E9236D"/>
    <w:rsid w:val="00E92E4C"/>
    <w:rsid w:val="00EA321D"/>
    <w:rsid w:val="00EA6587"/>
    <w:rsid w:val="00EB0D34"/>
    <w:rsid w:val="00EB0F85"/>
    <w:rsid w:val="00EB39AD"/>
    <w:rsid w:val="00EB5501"/>
    <w:rsid w:val="00EC393C"/>
    <w:rsid w:val="00EC4973"/>
    <w:rsid w:val="00EC5A67"/>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267D"/>
    <w:rsid w:val="00F344C3"/>
    <w:rsid w:val="00F35B0D"/>
    <w:rsid w:val="00F4099E"/>
    <w:rsid w:val="00F42719"/>
    <w:rsid w:val="00F42D56"/>
    <w:rsid w:val="00F43713"/>
    <w:rsid w:val="00F440CE"/>
    <w:rsid w:val="00F50DC5"/>
    <w:rsid w:val="00F55C81"/>
    <w:rsid w:val="00F55F40"/>
    <w:rsid w:val="00F70FAB"/>
    <w:rsid w:val="00F75009"/>
    <w:rsid w:val="00F82D3F"/>
    <w:rsid w:val="00F90ADB"/>
    <w:rsid w:val="00F940CC"/>
    <w:rsid w:val="00F94630"/>
    <w:rsid w:val="00F979D4"/>
    <w:rsid w:val="00FA0B98"/>
    <w:rsid w:val="00FA22F5"/>
    <w:rsid w:val="00FA3DEB"/>
    <w:rsid w:val="00FA513D"/>
    <w:rsid w:val="00FA6923"/>
    <w:rsid w:val="00FB4B09"/>
    <w:rsid w:val="00FC479D"/>
    <w:rsid w:val="00FC70CD"/>
    <w:rsid w:val="00FD35BF"/>
    <w:rsid w:val="00FD42DF"/>
    <w:rsid w:val="00FD4B03"/>
    <w:rsid w:val="00FE215B"/>
    <w:rsid w:val="00FE3998"/>
    <w:rsid w:val="00FE4813"/>
    <w:rsid w:val="00FE4E7F"/>
    <w:rsid w:val="00FF3AA4"/>
    <w:rsid w:val="02A33B56"/>
    <w:rsid w:val="02FF5E45"/>
    <w:rsid w:val="03B804CE"/>
    <w:rsid w:val="0754675F"/>
    <w:rsid w:val="078D7EC3"/>
    <w:rsid w:val="08640C24"/>
    <w:rsid w:val="0A857259"/>
    <w:rsid w:val="0C4026F1"/>
    <w:rsid w:val="0CFC3CC5"/>
    <w:rsid w:val="0DF83AA1"/>
    <w:rsid w:val="0FFD49DB"/>
    <w:rsid w:val="10B262A5"/>
    <w:rsid w:val="115C1106"/>
    <w:rsid w:val="13C94AAD"/>
    <w:rsid w:val="149E7F7E"/>
    <w:rsid w:val="158242C4"/>
    <w:rsid w:val="170209AC"/>
    <w:rsid w:val="18624A54"/>
    <w:rsid w:val="18FE477D"/>
    <w:rsid w:val="1CD6468F"/>
    <w:rsid w:val="1CE81E71"/>
    <w:rsid w:val="1D2D579C"/>
    <w:rsid w:val="1DDD564C"/>
    <w:rsid w:val="1EA062D6"/>
    <w:rsid w:val="1EC73863"/>
    <w:rsid w:val="212958D0"/>
    <w:rsid w:val="215F4227"/>
    <w:rsid w:val="216C2FB9"/>
    <w:rsid w:val="24EA0CBC"/>
    <w:rsid w:val="27B91ECD"/>
    <w:rsid w:val="283D43BC"/>
    <w:rsid w:val="2AE8703B"/>
    <w:rsid w:val="2C6923FD"/>
    <w:rsid w:val="2DCD42C6"/>
    <w:rsid w:val="30AF3D54"/>
    <w:rsid w:val="31AD68E8"/>
    <w:rsid w:val="33BA4981"/>
    <w:rsid w:val="3A4A73CA"/>
    <w:rsid w:val="3ABE3914"/>
    <w:rsid w:val="40B76E3C"/>
    <w:rsid w:val="415A73C9"/>
    <w:rsid w:val="423B68F5"/>
    <w:rsid w:val="451A1B5E"/>
    <w:rsid w:val="461477CA"/>
    <w:rsid w:val="46875502"/>
    <w:rsid w:val="4C107D48"/>
    <w:rsid w:val="4C245AF0"/>
    <w:rsid w:val="4C8737ED"/>
    <w:rsid w:val="4D753710"/>
    <w:rsid w:val="4DAE7818"/>
    <w:rsid w:val="4EF676C9"/>
    <w:rsid w:val="4F1E452A"/>
    <w:rsid w:val="53BB5D38"/>
    <w:rsid w:val="546E7D01"/>
    <w:rsid w:val="55352008"/>
    <w:rsid w:val="582F4FA6"/>
    <w:rsid w:val="58D26AB1"/>
    <w:rsid w:val="5BA84B60"/>
    <w:rsid w:val="5D575FB0"/>
    <w:rsid w:val="5DD33D75"/>
    <w:rsid w:val="5F3833E6"/>
    <w:rsid w:val="5FFB256E"/>
    <w:rsid w:val="613A3445"/>
    <w:rsid w:val="621B3277"/>
    <w:rsid w:val="6235324D"/>
    <w:rsid w:val="63623A3E"/>
    <w:rsid w:val="641F461E"/>
    <w:rsid w:val="648A1DEC"/>
    <w:rsid w:val="65526121"/>
    <w:rsid w:val="657826F1"/>
    <w:rsid w:val="67183D31"/>
    <w:rsid w:val="687708E0"/>
    <w:rsid w:val="690C7683"/>
    <w:rsid w:val="694E2FC0"/>
    <w:rsid w:val="69A86B57"/>
    <w:rsid w:val="6AF17C50"/>
    <w:rsid w:val="6BB43DF4"/>
    <w:rsid w:val="6C995C53"/>
    <w:rsid w:val="701E2184"/>
    <w:rsid w:val="70B60DD1"/>
    <w:rsid w:val="749C52E2"/>
    <w:rsid w:val="750139B7"/>
    <w:rsid w:val="78CE2999"/>
    <w:rsid w:val="7A37456E"/>
    <w:rsid w:val="7AC55372"/>
    <w:rsid w:val="7D657644"/>
    <w:rsid w:val="7E5F5E41"/>
    <w:rsid w:val="7F166E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locked/>
    <w:uiPriority w:val="0"/>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5">
    <w:name w:val="annotation subject"/>
    <w:basedOn w:val="4"/>
    <w:next w:val="4"/>
    <w:link w:val="30"/>
    <w:semiHidden/>
    <w:qFormat/>
    <w:uiPriority w:val="99"/>
    <w:rPr>
      <w:b/>
      <w:bCs/>
    </w:r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Emphasis"/>
    <w:basedOn w:val="18"/>
    <w:qFormat/>
    <w:locked/>
    <w:uiPriority w:val="20"/>
    <w:rPr>
      <w:i/>
      <w:iCs/>
    </w:rPr>
  </w:style>
  <w:style w:type="character" w:styleId="20">
    <w:name w:val="annotation reference"/>
    <w:basedOn w:val="18"/>
    <w:semiHidden/>
    <w:qFormat/>
    <w:uiPriority w:val="99"/>
    <w:rPr>
      <w:rFonts w:cs="Times New Roman"/>
      <w:sz w:val="21"/>
    </w:rPr>
  </w:style>
  <w:style w:type="character" w:customStyle="1" w:styleId="21">
    <w:name w:val="标题 2 Char"/>
    <w:basedOn w:val="18"/>
    <w:link w:val="3"/>
    <w:qFormat/>
    <w:locked/>
    <w:uiPriority w:val="99"/>
    <w:rPr>
      <w:rFonts w:ascii="Arial" w:hAnsi="Arial" w:eastAsia="黑体" w:cs="Times New Roman"/>
      <w:b/>
      <w:sz w:val="20"/>
    </w:rPr>
  </w:style>
  <w:style w:type="character" w:customStyle="1" w:styleId="22">
    <w:name w:val="纯文本 Char"/>
    <w:basedOn w:val="18"/>
    <w:link w:val="7"/>
    <w:qFormat/>
    <w:locked/>
    <w:uiPriority w:val="99"/>
    <w:rPr>
      <w:rFonts w:ascii="宋体" w:hAnsi="Courier New" w:eastAsia="宋体" w:cs="Times New Roman"/>
      <w:sz w:val="21"/>
    </w:rPr>
  </w:style>
  <w:style w:type="character" w:customStyle="1" w:styleId="23">
    <w:name w:val="正文文本缩进 Char"/>
    <w:basedOn w:val="18"/>
    <w:link w:val="6"/>
    <w:qFormat/>
    <w:locked/>
    <w:uiPriority w:val="99"/>
    <w:rPr>
      <w:rFonts w:ascii="Times New Roman" w:hAnsi="Times New Roman" w:eastAsia="宋体" w:cs="Times New Roman"/>
      <w:sz w:val="24"/>
    </w:rPr>
  </w:style>
  <w:style w:type="character" w:customStyle="1" w:styleId="24">
    <w:name w:val="日期 Char"/>
    <w:basedOn w:val="18"/>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8"/>
    <w:link w:val="9"/>
    <w:qFormat/>
    <w:locked/>
    <w:uiPriority w:val="99"/>
    <w:rPr>
      <w:rFonts w:ascii="Times New Roman" w:hAnsi="Times New Roman" w:eastAsia="宋体" w:cs="Times New Roman"/>
      <w:sz w:val="24"/>
    </w:rPr>
  </w:style>
  <w:style w:type="character" w:customStyle="1" w:styleId="27">
    <w:name w:val="页眉 Char"/>
    <w:basedOn w:val="18"/>
    <w:link w:val="12"/>
    <w:semiHidden/>
    <w:qFormat/>
    <w:locked/>
    <w:uiPriority w:val="99"/>
    <w:rPr>
      <w:rFonts w:ascii="Times New Roman" w:hAnsi="Times New Roman" w:eastAsia="宋体" w:cs="Times New Roman"/>
      <w:sz w:val="18"/>
    </w:rPr>
  </w:style>
  <w:style w:type="character" w:customStyle="1" w:styleId="28">
    <w:name w:val="页脚 Char"/>
    <w:basedOn w:val="18"/>
    <w:link w:val="11"/>
    <w:qFormat/>
    <w:locked/>
    <w:uiPriority w:val="99"/>
    <w:rPr>
      <w:rFonts w:ascii="Times New Roman" w:hAnsi="Times New Roman" w:eastAsia="宋体" w:cs="Times New Roman"/>
      <w:sz w:val="18"/>
    </w:rPr>
  </w:style>
  <w:style w:type="character" w:customStyle="1" w:styleId="29">
    <w:name w:val="批注文字 Char"/>
    <w:basedOn w:val="18"/>
    <w:link w:val="4"/>
    <w:semiHidden/>
    <w:qFormat/>
    <w:locked/>
    <w:uiPriority w:val="99"/>
    <w:rPr>
      <w:rFonts w:ascii="Times New Roman" w:hAnsi="Times New Roman" w:cs="Times New Roman"/>
      <w:sz w:val="24"/>
    </w:rPr>
  </w:style>
  <w:style w:type="character" w:customStyle="1" w:styleId="30">
    <w:name w:val="批注主题 Char"/>
    <w:basedOn w:val="29"/>
    <w:link w:val="15"/>
    <w:semiHidden/>
    <w:qFormat/>
    <w:locked/>
    <w:uiPriority w:val="99"/>
    <w:rPr>
      <w:rFonts w:ascii="Times New Roman" w:hAnsi="Times New Roman" w:cs="Times New Roman"/>
      <w:b/>
      <w:sz w:val="24"/>
    </w:rPr>
  </w:style>
  <w:style w:type="character" w:customStyle="1" w:styleId="31">
    <w:name w:val="批注框文本 Char"/>
    <w:basedOn w:val="18"/>
    <w:link w:val="10"/>
    <w:semiHidden/>
    <w:qFormat/>
    <w:locked/>
    <w:uiPriority w:val="99"/>
    <w:rPr>
      <w:rFonts w:ascii="Times New Roman" w:hAnsi="Times New Roman" w:cs="Times New Roman"/>
      <w:sz w:val="18"/>
    </w:rPr>
  </w:style>
  <w:style w:type="character" w:customStyle="1" w:styleId="32">
    <w:name w:val="正文文本 Char"/>
    <w:basedOn w:val="18"/>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Char"/>
    <w:basedOn w:val="18"/>
    <w:link w:val="2"/>
    <w:qFormat/>
    <w:uiPriority w:val="0"/>
    <w:rPr>
      <w:rFonts w:ascii="Times New Roman" w:hAnsi="Times New Roman"/>
      <w:b/>
      <w:bCs/>
      <w:kern w:val="44"/>
      <w:sz w:val="44"/>
      <w:szCs w:val="44"/>
    </w:rPr>
  </w:style>
  <w:style w:type="character" w:customStyle="1" w:styleId="37">
    <w:name w:val="font51"/>
    <w:basedOn w:val="18"/>
    <w:qFormat/>
    <w:uiPriority w:val="0"/>
    <w:rPr>
      <w:rFonts w:ascii="Calibri" w:hAnsi="Calibri" w:cs="Calibri"/>
      <w:b/>
      <w:bCs/>
      <w:color w:val="000000"/>
      <w:sz w:val="24"/>
      <w:szCs w:val="24"/>
      <w:u w:val="none"/>
    </w:rPr>
  </w:style>
  <w:style w:type="character" w:customStyle="1" w:styleId="38">
    <w:name w:val="font31"/>
    <w:basedOn w:val="18"/>
    <w:qFormat/>
    <w:uiPriority w:val="0"/>
    <w:rPr>
      <w:rFonts w:hint="eastAsia" w:ascii="宋体" w:hAnsi="宋体" w:eastAsia="宋体" w:cs="宋体"/>
      <w:b/>
      <w:bCs/>
      <w:color w:val="000000"/>
      <w:sz w:val="24"/>
      <w:szCs w:val="24"/>
      <w:u w:val="none"/>
    </w:rPr>
  </w:style>
  <w:style w:type="character" w:customStyle="1" w:styleId="39">
    <w:name w:val="font21"/>
    <w:basedOn w:val="18"/>
    <w:qFormat/>
    <w:uiPriority w:val="0"/>
    <w:rPr>
      <w:rFonts w:hint="eastAsia" w:ascii="宋体" w:hAnsi="宋体" w:eastAsia="宋体" w:cs="宋体"/>
      <w:color w:val="000000"/>
      <w:sz w:val="24"/>
      <w:szCs w:val="24"/>
      <w:u w:val="none"/>
    </w:rPr>
  </w:style>
  <w:style w:type="character" w:customStyle="1" w:styleId="40">
    <w:name w:val="font11"/>
    <w:basedOn w:val="18"/>
    <w:qFormat/>
    <w:uiPriority w:val="0"/>
    <w:rPr>
      <w:rFonts w:hint="default" w:ascii="Courier New" w:hAnsi="Courier New" w:cs="Courier New"/>
      <w:color w:val="000000"/>
      <w:sz w:val="24"/>
      <w:szCs w:val="24"/>
      <w:u w:val="none"/>
    </w:rPr>
  </w:style>
  <w:style w:type="character" w:customStyle="1" w:styleId="41">
    <w:name w:val="font61"/>
    <w:basedOn w:val="18"/>
    <w:qFormat/>
    <w:uiPriority w:val="0"/>
    <w:rPr>
      <w:rFonts w:hint="default" w:ascii="Calibri" w:hAnsi="Calibri" w:cs="Calibri"/>
      <w:color w:val="000000"/>
      <w:sz w:val="24"/>
      <w:szCs w:val="24"/>
      <w:u w:val="none"/>
    </w:rPr>
  </w:style>
  <w:style w:type="paragraph" w:customStyle="1" w:styleId="42">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DF070D-E5F2-42F6-B54A-C8628FFA34DE}">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12</Pages>
  <Words>4993</Words>
  <Characters>5186</Characters>
  <Lines>55</Lines>
  <Paragraphs>15</Paragraphs>
  <TotalTime>12</TotalTime>
  <ScaleCrop>false</ScaleCrop>
  <LinksUpToDate>false</LinksUpToDate>
  <CharactersWithSpaces>5857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2019-05-15T01:14:00Z</dcterms:created>
  <dc:creator>qiuxc</dc:creator>
  <cp:lastModifiedBy>周芳</cp:lastModifiedBy>
  <cp:lastPrinted>2016-01-18T07:21:00Z</cp:lastPrinted>
  <dcterms:modified xsi:type="dcterms:W3CDTF">2025-05-13T06:23:12Z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FAE4B45D9DC64E43911EAE01FAB71EE3_12</vt:lpwstr>
  </property>
  <property fmtid="{D5CDD505-2E9C-101B-9397-08002B2CF9AE}" pid="4" name="KSOTemplateDocerSaveRecord">
    <vt:lpwstr>eyJoZGlkIjoiMmY5NDI5N2U2YmVjMmIxMGZjNTJkMWRiMzBhOGYzM2MiLCJ1c2VySWQiOiIxMjkzMTgyMDA1In0=</vt:lpwstr>
  </property>
</Properties>
</file>