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w:t>
      </w:r>
      <w:r>
        <w:rPr>
          <w:rFonts w:hint="eastAsia" w:ascii="仿宋_GB2312" w:eastAsia="仿宋_GB2312"/>
          <w:b w:val="0"/>
          <w:bCs w:val="0"/>
          <w:sz w:val="24"/>
          <w:lang w:val="en-US" w:eastAsia="zh-CN"/>
        </w:rPr>
        <w:t>产线</w:t>
      </w:r>
      <w:r>
        <w:rPr>
          <w:rFonts w:hint="eastAsia" w:ascii="仿宋_GB2312" w:eastAsia="仿宋_GB2312"/>
          <w:b w:val="0"/>
          <w:bCs w:val="0"/>
          <w:sz w:val="24"/>
          <w:u w:val="none"/>
          <w:lang w:val="en-US" w:eastAsia="zh-CN"/>
        </w:rPr>
        <w:t>钼电极水套</w:t>
      </w:r>
      <w:r>
        <w:rPr>
          <w:rFonts w:hint="eastAsia" w:ascii="仿宋_GB2312" w:eastAsia="仿宋_GB2312"/>
          <w:b w:val="0"/>
          <w:bCs w:val="0"/>
          <w:sz w:val="24"/>
        </w:rPr>
        <w:t>采购项</w:t>
      </w:r>
      <w:r>
        <w:rPr>
          <w:rFonts w:hint="eastAsia" w:ascii="仿宋_GB2312" w:eastAsia="仿宋_GB2312"/>
          <w:sz w:val="24"/>
        </w:rPr>
        <w:t>目</w:t>
      </w:r>
      <w:r>
        <w:rPr>
          <w:rFonts w:hint="eastAsia" w:ascii="仿宋_GB2312" w:eastAsia="仿宋_GB2312"/>
          <w:sz w:val="24"/>
          <w:lang w:val="en-US" w:eastAsia="zh-CN"/>
        </w:rPr>
        <w:t>现</w:t>
      </w:r>
      <w:r>
        <w:rPr>
          <w:rFonts w:hint="eastAsia" w:ascii="仿宋_GB2312" w:eastAsia="仿宋_GB2312"/>
          <w:sz w:val="24"/>
        </w:rPr>
        <w:t>组织</w:t>
      </w:r>
      <w:r>
        <w:rPr>
          <w:rFonts w:hint="eastAsia" w:ascii="仿宋_GB2312" w:eastAsia="仿宋_GB2312"/>
          <w:sz w:val="24"/>
          <w:lang w:val="en-US" w:eastAsia="zh-CN"/>
        </w:rPr>
        <w:t>询比</w:t>
      </w:r>
      <w:r>
        <w:rPr>
          <w:rFonts w:hint="eastAsia" w:ascii="仿宋_GB2312" w:eastAsia="仿宋_GB2312"/>
          <w:sz w:val="24"/>
        </w:rPr>
        <w:t>，欢迎</w:t>
      </w:r>
      <w:r>
        <w:rPr>
          <w:rFonts w:hint="eastAsia" w:ascii="仿宋_GB2312" w:eastAsia="仿宋_GB2312"/>
          <w:sz w:val="24"/>
          <w:lang w:val="en-US" w:eastAsia="zh-CN"/>
        </w:rPr>
        <w:t>各</w:t>
      </w:r>
      <w:r>
        <w:rPr>
          <w:rFonts w:hint="eastAsia" w:ascii="仿宋_GB2312" w:eastAsia="仿宋_GB2312"/>
          <w:sz w:val="24"/>
        </w:rPr>
        <w:t>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val="0"/>
          <w:bCs w:val="0"/>
          <w:sz w:val="24"/>
          <w:u w:val="none"/>
          <w:lang w:eastAsia="zh-CN"/>
        </w:rPr>
        <w:t>：</w:t>
      </w:r>
      <w:r>
        <w:rPr>
          <w:rFonts w:hint="eastAsia" w:ascii="仿宋_GB2312" w:eastAsia="仿宋_GB2312"/>
          <w:b w:val="0"/>
          <w:bCs w:val="0"/>
          <w:sz w:val="24"/>
          <w:u w:val="none"/>
          <w:lang w:val="en-US" w:eastAsia="zh-CN"/>
        </w:rPr>
        <w:t>J01生产线</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J01生产线大修用钼电极水套共需28支，具体规格尺寸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14</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20</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3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技术咨询：童先生    联系电话：15308193182</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J01生产线钼电极水套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；本项目不接受“三无”供应商响应。未在我司合格供应商目录或试用供应商目录内的供应商，需按公司供应商准入流程办理。</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以上信息资料，报价单位盖</w:t>
            </w:r>
            <w:r>
              <w:rPr>
                <w:rFonts w:hint="eastAsia" w:ascii="楷体_GB2312" w:hAnsi="宋体" w:eastAsia="楷体_GB2312"/>
                <w:szCs w:val="21"/>
                <w:lang w:val="en-US" w:eastAsia="zh-CN"/>
              </w:rPr>
              <w:t>章</w:t>
            </w:r>
            <w:r>
              <w:rPr>
                <w:rFonts w:hint="eastAsia" w:ascii="楷体_GB2312" w:hAnsi="宋体" w:eastAsia="楷体_GB2312"/>
                <w:szCs w:val="21"/>
              </w:rPr>
              <w:t>。提供报价单位自行声明的，采购方保留核验声明真实性权利。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5</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2025年4月30日前到货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5</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20</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2025年4月30日交货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default" w:eastAsia="宋体"/>
          <w:sz w:val="24"/>
          <w:lang w:val="en-US" w:eastAsia="zh-CN"/>
        </w:rPr>
      </w:pPr>
      <w:r>
        <w:rPr>
          <w:sz w:val="24"/>
        </w:rPr>
        <w:t>*2</w:t>
      </w:r>
      <w:r>
        <w:rPr>
          <w:rFonts w:hint="eastAsia"/>
          <w:sz w:val="24"/>
        </w:rPr>
        <w:t>．付款方法和条件</w:t>
      </w:r>
      <w:r>
        <w:rPr>
          <w:rFonts w:hint="eastAsia"/>
          <w:sz w:val="24"/>
          <w:lang w:eastAsia="zh-CN"/>
        </w:rPr>
        <w:t>：</w:t>
      </w: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numPr>
          <w:ilvl w:val="0"/>
          <w:numId w:val="2"/>
        </w:numPr>
        <w:ind w:firstLine="2570" w:firstLineChars="800"/>
        <w:rPr>
          <w:rFonts w:hint="eastAsia"/>
          <w:b/>
          <w:sz w:val="32"/>
          <w:szCs w:val="32"/>
        </w:rPr>
      </w:pPr>
      <w:r>
        <w:rPr>
          <w:rFonts w:hint="eastAsia" w:ascii="黑体" w:eastAsia="黑体"/>
          <w:b/>
          <w:sz w:val="32"/>
          <w:szCs w:val="32"/>
        </w:rPr>
        <w:t xml:space="preserve">  </w:t>
      </w:r>
      <w:r>
        <w:rPr>
          <w:rFonts w:hint="eastAsia" w:ascii="黑体" w:eastAsia="黑体"/>
          <w:b/>
          <w:sz w:val="32"/>
          <w:szCs w:val="32"/>
          <w:lang w:val="en-US" w:eastAsia="zh-CN"/>
        </w:rPr>
        <w:t>钼电极水套</w:t>
      </w:r>
      <w:r>
        <w:rPr>
          <w:rFonts w:hint="eastAsia"/>
          <w:b/>
          <w:sz w:val="32"/>
          <w:szCs w:val="32"/>
        </w:rPr>
        <w:t>技术要求</w:t>
      </w:r>
    </w:p>
    <w:p>
      <w:pPr>
        <w:numPr>
          <w:numId w:val="0"/>
        </w:numPr>
        <w:rPr>
          <w:rFonts w:hint="eastAsia"/>
          <w:b/>
          <w:sz w:val="32"/>
          <w:szCs w:val="32"/>
        </w:rPr>
      </w:pP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restart"/>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钼电极水套</w:t>
            </w:r>
          </w:p>
        </w:tc>
        <w:tc>
          <w:tcPr>
            <w:tcW w:w="2490" w:type="dxa"/>
            <w:vAlign w:val="center"/>
          </w:tcPr>
          <w:p>
            <w:pPr>
              <w:adjustRightInd w:val="0"/>
              <w:snapToGrid w:val="0"/>
              <w:spacing w:line="360" w:lineRule="auto"/>
              <w:ind w:right="399" w:rightChars="190"/>
              <w:jc w:val="center"/>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51*L450</w:t>
            </w:r>
          </w:p>
        </w:tc>
        <w:tc>
          <w:tcPr>
            <w:tcW w:w="2491" w:type="dxa"/>
            <w:vAlign w:val="center"/>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2</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tcBorders/>
          </w:tcPr>
          <w:p>
            <w:pPr>
              <w:adjustRightInd w:val="0"/>
              <w:snapToGrid w:val="0"/>
              <w:spacing w:line="360" w:lineRule="auto"/>
              <w:ind w:right="399" w:rightChars="190"/>
              <w:rPr>
                <w:rFonts w:hint="default" w:ascii="宋体" w:eastAsia="宋体"/>
                <w:color w:val="000000"/>
                <w:sz w:val="24"/>
                <w:vertAlign w:val="baseline"/>
                <w:lang w:val="en-US" w:eastAsia="zh-CN"/>
              </w:rPr>
            </w:pPr>
          </w:p>
        </w:tc>
        <w:tc>
          <w:tcPr>
            <w:tcW w:w="2490" w:type="dxa"/>
            <w:vAlign w:val="center"/>
          </w:tcPr>
          <w:p>
            <w:pPr>
              <w:adjustRightInd w:val="0"/>
              <w:snapToGrid w:val="0"/>
              <w:spacing w:line="360" w:lineRule="auto"/>
              <w:ind w:right="399" w:rightChars="190"/>
              <w:jc w:val="center"/>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51*L800</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tcBorders/>
          </w:tcPr>
          <w:p>
            <w:pPr>
              <w:adjustRightInd w:val="0"/>
              <w:snapToGrid w:val="0"/>
              <w:spacing w:line="360" w:lineRule="auto"/>
              <w:ind w:right="399" w:rightChars="190"/>
              <w:rPr>
                <w:rFonts w:hint="default" w:ascii="宋体" w:eastAsia="宋体"/>
                <w:color w:val="000000"/>
                <w:sz w:val="24"/>
                <w:vertAlign w:val="baseline"/>
                <w:lang w:val="en-US" w:eastAsia="zh-CN"/>
              </w:rPr>
            </w:pPr>
          </w:p>
        </w:tc>
        <w:tc>
          <w:tcPr>
            <w:tcW w:w="2490" w:type="dxa"/>
            <w:vAlign w:val="center"/>
          </w:tcPr>
          <w:p>
            <w:pPr>
              <w:adjustRightInd w:val="0"/>
              <w:snapToGrid w:val="0"/>
              <w:spacing w:line="360" w:lineRule="auto"/>
              <w:ind w:right="399" w:rightChars="190"/>
              <w:jc w:val="center"/>
              <w:rPr>
                <w:rFonts w:hint="default" w:ascii="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79*L500</w:t>
            </w:r>
          </w:p>
        </w:tc>
        <w:tc>
          <w:tcPr>
            <w:tcW w:w="2491" w:type="dxa"/>
            <w:vAlign w:val="center"/>
          </w:tcPr>
          <w:p>
            <w:pPr>
              <w:adjustRightInd w:val="0"/>
              <w:snapToGrid w:val="0"/>
              <w:spacing w:line="360" w:lineRule="auto"/>
              <w:ind w:right="399" w:rightChars="190"/>
              <w:jc w:val="center"/>
              <w:rPr>
                <w:rFonts w:hint="default" w:ascii="宋体"/>
                <w:color w:val="000000"/>
                <w:sz w:val="24"/>
                <w:vertAlign w:val="baseline"/>
                <w:lang w:val="en-US" w:eastAsia="zh-CN"/>
              </w:rPr>
            </w:pPr>
            <w:r>
              <w:rPr>
                <w:rFonts w:hint="eastAsia" w:ascii="宋体"/>
                <w:color w:val="000000"/>
                <w:sz w:val="24"/>
                <w:vertAlign w:val="baseline"/>
                <w:lang w:val="en-US" w:eastAsia="zh-CN"/>
              </w:rPr>
              <w:t>25</w:t>
            </w:r>
          </w:p>
        </w:tc>
        <w:tc>
          <w:tcPr>
            <w:tcW w:w="2491" w:type="dxa"/>
            <w:vAlign w:val="center"/>
          </w:tcPr>
          <w:p>
            <w:pPr>
              <w:adjustRightInd w:val="0"/>
              <w:snapToGrid w:val="0"/>
              <w:spacing w:line="360" w:lineRule="auto"/>
              <w:ind w:right="399" w:rightChars="190"/>
              <w:jc w:val="center"/>
              <w:rPr>
                <w:rFonts w:hint="eastAsia"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含支架</w:t>
            </w:r>
          </w:p>
        </w:tc>
      </w:tr>
    </w:tbl>
    <w:p>
      <w:pPr>
        <w:adjustRightInd w:val="0"/>
        <w:snapToGrid w:val="0"/>
        <w:spacing w:line="360" w:lineRule="auto"/>
        <w:ind w:right="399" w:rightChars="190"/>
        <w:rPr>
          <w:rFonts w:ascii="宋体"/>
          <w:color w:val="000000"/>
          <w:sz w:val="24"/>
        </w:rPr>
      </w:pP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询价货物尺寸及技术要求,详见附图。</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ascii="黑体" w:eastAsia="黑体"/>
          <w:bCs/>
          <w:sz w:val="32"/>
          <w:szCs w:val="32"/>
        </w:rPr>
      </w:pPr>
      <w:bookmarkStart w:id="10" w:name="_GoBack"/>
      <w:bookmarkEnd w:id="10"/>
      <w:bookmarkStart w:id="0" w:name="_Toc90180911"/>
      <w:bookmarkStart w:id="1" w:name="_Toc182560070"/>
      <w:bookmarkStart w:id="2" w:name="_Toc105315045"/>
      <w:bookmarkStart w:id="3" w:name="_Toc172809947"/>
      <w:bookmarkStart w:id="4" w:name="_Toc116895449"/>
      <w:bookmarkStart w:id="5" w:name="_Toc172809818"/>
      <w:bookmarkStart w:id="6" w:name="_Toc89791634"/>
      <w:bookmarkStart w:id="7" w:name="_Toc116869942"/>
      <w:bookmarkStart w:id="8" w:name="_Toc89791736"/>
      <w:bookmarkStart w:id="9" w:name="_Toc172811881"/>
      <w:r>
        <w:rPr>
          <w:rFonts w:hint="eastAsia" w:ascii="黑体" w:eastAsia="黑体"/>
          <w:bCs/>
          <w:sz w:val="32"/>
          <w:szCs w:val="32"/>
        </w:rPr>
        <w:t>明细报价表</w:t>
      </w:r>
    </w:p>
    <w:p>
      <w:pPr>
        <w:spacing w:line="500" w:lineRule="exact"/>
        <w:jc w:val="center"/>
        <w:rPr>
          <w:rFonts w:ascii="仿宋_GB2312" w:eastAsia="仿宋_GB2312"/>
          <w:b/>
          <w:bCs/>
        </w:rPr>
      </w:pPr>
    </w:p>
    <w:tbl>
      <w:tblPr>
        <w:tblStyle w:val="9"/>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numPr>
          <w:ilvl w:val="0"/>
          <w:numId w:val="4"/>
        </w:numPr>
        <w:tabs>
          <w:tab w:val="left" w:pos="0"/>
          <w:tab w:val="clear" w:pos="312"/>
        </w:tabs>
        <w:spacing w:after="120" w:line="480" w:lineRule="auto"/>
        <w:ind w:left="420" w:leftChars="200"/>
        <w:jc w:val="left"/>
        <w:rPr>
          <w:rFonts w:hint="eastAsia"/>
          <w:b/>
          <w:sz w:val="32"/>
          <w:szCs w:val="32"/>
          <w:lang w:val="en-US" w:eastAsia="zh-CN"/>
        </w:rPr>
      </w:pPr>
      <w:r>
        <w:rPr>
          <w:rFonts w:hint="eastAsia"/>
          <w:b/>
          <w:sz w:val="32"/>
          <w:szCs w:val="32"/>
          <w:lang w:val="en-US" w:eastAsia="zh-CN"/>
        </w:rPr>
        <w:t>营业执照</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非三无证明材料：实缴证明、参保人员证明、固定经营场所证明</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企业所取得的资质证明（如质量管理、职业健康、环保等认证）</w:t>
      </w:r>
    </w:p>
    <w:p>
      <w:pPr>
        <w:numPr>
          <w:ilvl w:val="0"/>
          <w:numId w:val="4"/>
        </w:numPr>
        <w:tabs>
          <w:tab w:val="left" w:pos="0"/>
          <w:tab w:val="clear" w:pos="312"/>
        </w:tabs>
        <w:spacing w:after="120" w:line="480" w:lineRule="auto"/>
        <w:ind w:left="420" w:leftChars="200"/>
        <w:jc w:val="left"/>
        <w:rPr>
          <w:rFonts w:hint="default"/>
          <w:b/>
          <w:sz w:val="32"/>
          <w:szCs w:val="32"/>
          <w:lang w:val="en-US" w:eastAsia="zh-CN"/>
        </w:rPr>
      </w:pPr>
      <w:r>
        <w:rPr>
          <w:rFonts w:hint="eastAsia"/>
          <w:b/>
          <w:sz w:val="32"/>
          <w:szCs w:val="32"/>
          <w:lang w:val="en-US" w:eastAsia="zh-CN"/>
        </w:rPr>
        <w:t>报价单位认为适宜的与本项目相关的其他资格证明资料</w:t>
      </w: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abstractNum w:abstractNumId="1">
    <w:nsid w:val="B5AF2EB8"/>
    <w:multiLevelType w:val="singleLevel"/>
    <w:tmpl w:val="B5AF2EB8"/>
    <w:lvl w:ilvl="0" w:tentative="0">
      <w:start w:val="4"/>
      <w:numFmt w:val="chineseCounting"/>
      <w:suff w:val="space"/>
      <w:lvlText w:val="第%1部分"/>
      <w:lvlJc w:val="left"/>
      <w:rPr>
        <w:rFonts w:hint="eastAsia"/>
      </w:rPr>
    </w:lvl>
  </w:abstractNum>
  <w:abstractNum w:abstractNumId="2">
    <w:nsid w:val="2111671D"/>
    <w:multiLevelType w:val="singleLevel"/>
    <w:tmpl w:val="2111671D"/>
    <w:lvl w:ilvl="0" w:tentative="0">
      <w:start w:val="1"/>
      <w:numFmt w:val="decimal"/>
      <w:lvlText w:val="%1."/>
      <w:lvlJc w:val="left"/>
      <w:pPr>
        <w:tabs>
          <w:tab w:val="left" w:pos="312"/>
        </w:tabs>
      </w:pPr>
    </w:lvl>
  </w:abstractNum>
  <w:abstractNum w:abstractNumId="3">
    <w:nsid w:val="3811A29C"/>
    <w:multiLevelType w:val="singleLevel"/>
    <w:tmpl w:val="3811A29C"/>
    <w:lvl w:ilvl="0" w:tentative="0">
      <w:start w:val="4"/>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54B4C61"/>
    <w:rsid w:val="187C3D68"/>
    <w:rsid w:val="18B5706C"/>
    <w:rsid w:val="196D782F"/>
    <w:rsid w:val="1A9154F1"/>
    <w:rsid w:val="1E817283"/>
    <w:rsid w:val="22D47F3E"/>
    <w:rsid w:val="24387A41"/>
    <w:rsid w:val="25AF73F6"/>
    <w:rsid w:val="25D73CA2"/>
    <w:rsid w:val="26B95440"/>
    <w:rsid w:val="2CC72992"/>
    <w:rsid w:val="2D2F71A3"/>
    <w:rsid w:val="307D5C1A"/>
    <w:rsid w:val="32816422"/>
    <w:rsid w:val="330111E0"/>
    <w:rsid w:val="3329019A"/>
    <w:rsid w:val="359E463B"/>
    <w:rsid w:val="3AA74880"/>
    <w:rsid w:val="424B6A6F"/>
    <w:rsid w:val="453256B7"/>
    <w:rsid w:val="47B97780"/>
    <w:rsid w:val="4E9D2665"/>
    <w:rsid w:val="4FA2618E"/>
    <w:rsid w:val="54013662"/>
    <w:rsid w:val="556631F9"/>
    <w:rsid w:val="5F706F48"/>
    <w:rsid w:val="5FC16069"/>
    <w:rsid w:val="60986B8A"/>
    <w:rsid w:val="62A2108B"/>
    <w:rsid w:val="66E06E05"/>
    <w:rsid w:val="69BC7B22"/>
    <w:rsid w:val="6AB71D84"/>
    <w:rsid w:val="6ACB523A"/>
    <w:rsid w:val="6C392D20"/>
    <w:rsid w:val="74390D62"/>
    <w:rsid w:val="76020A5D"/>
    <w:rsid w:val="7BD90463"/>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0</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2025-03-14T08:25:20Z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