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5</w:t>
      </w:r>
      <w:r>
        <w:rPr>
          <w:rFonts w:hint="eastAsia" w:ascii="宋体" w:hAnsi="宋体"/>
          <w:b/>
          <w:sz w:val="36"/>
          <w:szCs w:val="36"/>
          <w:u w:val="single"/>
        </w:rPr>
        <w:t>年度</w:t>
      </w:r>
      <w:r>
        <w:rPr>
          <w:rFonts w:hint="eastAsia" w:ascii="宋体" w:hAnsi="宋体"/>
          <w:b/>
          <w:sz w:val="36"/>
          <w:szCs w:val="36"/>
          <w:u w:val="single"/>
          <w:lang w:val="en-US" w:eastAsia="zh-CN"/>
        </w:rPr>
        <w:t>危险废物处置询价</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jc w:val="center"/>
        <w:rPr>
          <w:rFonts w:hint="default" w:ascii="楷体_GB2312" w:hAnsi="华文楷体" w:eastAsia="楷体_GB2312"/>
          <w:sz w:val="44"/>
          <w:szCs w:val="44"/>
          <w:lang w:val="en-US"/>
        </w:rPr>
      </w:pPr>
      <w:r>
        <w:rPr>
          <w:rFonts w:hint="eastAsia" w:ascii="宋体" w:hAnsi="宋体" w:eastAsia="宋体" w:cs="宋体"/>
          <w:b/>
          <w:bCs/>
          <w:i w:val="0"/>
          <w:iCs w:val="0"/>
          <w:color w:val="000000"/>
          <w:kern w:val="0"/>
          <w:sz w:val="28"/>
          <w:szCs w:val="28"/>
          <w:u w:val="none"/>
          <w:lang w:val="en-US" w:eastAsia="zh-CN" w:bidi="ar"/>
        </w:rPr>
        <w:t>DJYGM-XB-20250</w:t>
      </w:r>
      <w:r>
        <w:rPr>
          <w:rFonts w:hint="eastAsia" w:ascii="宋体" w:hAnsi="宋体" w:cs="宋体"/>
          <w:b/>
          <w:bCs/>
          <w:i w:val="0"/>
          <w:iCs w:val="0"/>
          <w:color w:val="000000"/>
          <w:kern w:val="0"/>
          <w:sz w:val="28"/>
          <w:szCs w:val="28"/>
          <w:u w:val="none"/>
          <w:lang w:val="en-US" w:eastAsia="zh-CN" w:bidi="ar"/>
        </w:rPr>
        <w:t>6</w:t>
      </w: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eastAsia="宋体"/>
          <w:sz w:val="28"/>
          <w:szCs w:val="28"/>
          <w:lang w:eastAsia="zh-CN"/>
        </w:rPr>
      </w:pPr>
      <w:r>
        <w:rPr>
          <w:rFonts w:hint="eastAsia" w:hAnsi="宋体"/>
          <w:sz w:val="28"/>
          <w:szCs w:val="28"/>
          <w:lang w:eastAsia="zh-CN"/>
        </w:rPr>
        <w:t>都江堰光明光电材料有限责任公司</w:t>
      </w:r>
    </w:p>
    <w:p>
      <w:pPr>
        <w:pStyle w:val="7"/>
        <w:spacing w:line="500" w:lineRule="exact"/>
        <w:ind w:firstLine="720"/>
        <w:jc w:val="center"/>
        <w:rPr>
          <w:rFonts w:hAnsi="宋体"/>
          <w:b/>
          <w:sz w:val="28"/>
          <w:szCs w:val="28"/>
        </w:rPr>
      </w:pPr>
      <w:r>
        <w:rPr>
          <w:rFonts w:hint="eastAsia" w:hAnsi="宋体"/>
          <w:sz w:val="28"/>
          <w:szCs w:val="28"/>
          <w:lang w:val="en-US" w:eastAsia="zh-CN"/>
        </w:rPr>
        <w:t>2025</w:t>
      </w:r>
      <w:r>
        <w:rPr>
          <w:rFonts w:hint="eastAsia" w:hAnsi="宋体"/>
          <w:sz w:val="28"/>
          <w:szCs w:val="28"/>
        </w:rPr>
        <w:t>年</w:t>
      </w:r>
      <w:r>
        <w:rPr>
          <w:rFonts w:hint="eastAsia" w:hAnsi="宋体"/>
          <w:sz w:val="28"/>
          <w:szCs w:val="28"/>
          <w:lang w:val="en-US" w:eastAsia="zh-CN"/>
        </w:rPr>
        <w:t>03</w:t>
      </w:r>
      <w:r>
        <w:rPr>
          <w:rFonts w:hint="eastAsia" w:hAnsi="宋体"/>
          <w:sz w:val="28"/>
          <w:szCs w:val="28"/>
        </w:rPr>
        <w:t>月</w:t>
      </w:r>
    </w:p>
    <w:p>
      <w:pPr>
        <w:rPr>
          <w:sz w:val="28"/>
          <w:szCs w:val="28"/>
        </w:rPr>
      </w:pPr>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5</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的公司</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hint="eastAsia" w:eastAsia="宋体" w:asciiTheme="minorEastAsia" w:hAnsiTheme="minorEastAsia"/>
          <w:bCs/>
          <w:sz w:val="28"/>
          <w:szCs w:val="28"/>
          <w:lang w:eastAsia="zh-CN"/>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5</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sz w:val="28"/>
          <w:szCs w:val="28"/>
          <w:lang w:val="en-US" w:eastAsia="zh-CN"/>
        </w:rPr>
        <w:t>询价</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项目价格有效期：自签订正式合同之日起1年内有效</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val="en-US" w:eastAsia="zh-CN"/>
        </w:rPr>
        <w:t>和相关资质</w:t>
      </w:r>
      <w:r>
        <w:rPr>
          <w:rFonts w:hint="eastAsia" w:asciiTheme="minorEastAsia" w:hAnsiTheme="minorEastAsia" w:eastAsiaTheme="minorEastAsia"/>
          <w:bCs/>
          <w:sz w:val="28"/>
          <w:szCs w:val="28"/>
          <w:lang w:eastAsia="zh-CN"/>
        </w:rPr>
        <w:t>；</w:t>
      </w:r>
    </w:p>
    <w:p>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pStyle w:val="2"/>
        <w:ind w:firstLine="560" w:firstLineChars="200"/>
        <w:rPr>
          <w:rFonts w:hint="eastAsia" w:cs="Times New Roman" w:asciiTheme="minorEastAsia" w:hAnsiTheme="minorEastAsia" w:eastAsiaTheme="minorEastAsia"/>
          <w:bCs/>
          <w:kern w:val="2"/>
          <w:sz w:val="28"/>
          <w:szCs w:val="28"/>
          <w:lang w:val="en-US" w:eastAsia="zh-CN" w:bidi="ar-SA"/>
        </w:rPr>
      </w:pPr>
      <w:r>
        <w:rPr>
          <w:rFonts w:hint="eastAsia" w:cs="Times New Roman" w:asciiTheme="minorEastAsia" w:hAnsiTheme="minorEastAsia" w:eastAsiaTheme="minorEastAsia"/>
          <w:bCs/>
          <w:kern w:val="2"/>
          <w:sz w:val="28"/>
          <w:szCs w:val="28"/>
          <w:lang w:val="en-US" w:eastAsia="zh-CN" w:bidi="ar-SA"/>
        </w:rPr>
        <w:t>（四）供应商范围为成都周边以内。</w:t>
      </w:r>
    </w:p>
    <w:p>
      <w:pPr>
        <w:pStyle w:val="2"/>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03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04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03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03</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10</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7</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03</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10</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7</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四川省成都市都江堰市光泰路10号都江堰光明光电材料有限责任公司。</w:t>
      </w:r>
    </w:p>
    <w:p>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eastAsia="zh-CN"/>
          <w14:textFill>
            <w14:solidFill>
              <w14:schemeClr w14:val="tx1"/>
            </w14:solidFill>
          </w14:textFill>
        </w:rPr>
        <w:t>邓</w:t>
      </w:r>
      <w:r>
        <w:rPr>
          <w:rFonts w:hint="eastAsia" w:ascii="宋体" w:hAnsi="宋体"/>
          <w:bCs/>
          <w:color w:val="000000" w:themeColor="text1"/>
          <w:sz w:val="28"/>
          <w:szCs w:val="28"/>
          <w:lang w:val="en-US" w:eastAsia="zh-CN"/>
          <w14:textFill>
            <w14:solidFill>
              <w14:schemeClr w14:val="tx1"/>
            </w14:solidFill>
          </w14:textFill>
        </w:rPr>
        <w:t>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13183886588</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周女士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13666117647</w:t>
      </w:r>
    </w:p>
    <w:p>
      <w:pPr>
        <w:spacing w:line="540" w:lineRule="exact"/>
        <w:ind w:firstLine="560" w:firstLineChars="200"/>
        <w:rPr>
          <w:rFonts w:hint="default" w:ascii="宋体" w:hAnsi="宋体"/>
          <w:bCs/>
          <w:sz w:val="28"/>
          <w:szCs w:val="28"/>
          <w:lang w:val="en-US"/>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eastAsia="zh-CN"/>
          <w14:textFill>
            <w14:solidFill>
              <w14:schemeClr w14:val="tx1"/>
            </w14:solidFill>
          </w14:textFill>
        </w:rPr>
        <w:t>余</w:t>
      </w:r>
      <w:r>
        <w:rPr>
          <w:rFonts w:hint="eastAsia" w:ascii="宋体" w:hAnsi="宋体"/>
          <w:bCs/>
          <w:color w:val="000000" w:themeColor="text1"/>
          <w:sz w:val="28"/>
          <w:szCs w:val="28"/>
          <w:lang w:val="en-US" w:eastAsia="zh-CN"/>
          <w14:textFill>
            <w14:solidFill>
              <w14:schemeClr w14:val="tx1"/>
            </w14:solidFill>
          </w14:textFill>
        </w:rPr>
        <w:t>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13568842997</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4760" w:firstLineChars="1700"/>
        <w:rPr>
          <w:rFonts w:hint="eastAsia" w:asciiTheme="minorEastAsia" w:hAnsiTheme="minorEastAsia" w:eastAsiaTheme="minorEastAsia"/>
          <w:bCs/>
          <w:sz w:val="28"/>
          <w:szCs w:val="28"/>
        </w:rPr>
      </w:pPr>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Theme="minorEastAsia" w:hAnsiTheme="minorEastAsia" w:eastAsiaTheme="minorEastAsia"/>
          <w:bCs/>
          <w:sz w:val="28"/>
          <w:szCs w:val="28"/>
        </w:rPr>
        <w:t xml:space="preserve">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5</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03</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04日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w:t>
            </w:r>
            <w:r>
              <w:rPr>
                <w:rFonts w:hint="eastAsia" w:ascii="宋体" w:hAnsi="宋体" w:cs="仿宋_GB2312"/>
                <w:kern w:val="0"/>
                <w:sz w:val="28"/>
                <w:szCs w:val="28"/>
                <w:lang w:val="en-US" w:eastAsia="zh-CN"/>
              </w:rPr>
              <w:t>公司</w:t>
            </w:r>
            <w:r>
              <w:rPr>
                <w:rFonts w:hint="eastAsia" w:ascii="宋体" w:hAnsi="宋体" w:cs="仿宋_GB2312"/>
                <w:kern w:val="0"/>
                <w:sz w:val="28"/>
                <w:szCs w:val="28"/>
              </w:rPr>
              <w:t>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FF0000"/>
                <w:kern w:val="2"/>
                <w:sz w:val="28"/>
                <w:szCs w:val="28"/>
                <w:u w:val="single"/>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w:t>
      </w:r>
      <w:r>
        <w:rPr>
          <w:rFonts w:hint="eastAsia" w:ascii="宋体" w:hAnsi="宋体"/>
          <w:sz w:val="28"/>
          <w:szCs w:val="28"/>
          <w:lang w:val="en-US" w:eastAsia="zh-CN"/>
        </w:rPr>
        <w:t>公司</w:t>
      </w:r>
      <w:r>
        <w:rPr>
          <w:rFonts w:hint="eastAsia" w:ascii="宋体" w:hAnsi="宋体"/>
          <w:sz w:val="28"/>
          <w:szCs w:val="28"/>
        </w:rPr>
        <w:t>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bookmarkStart w:id="0" w:name="_Hlk33695163"/>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spacing w:line="540" w:lineRule="exact"/>
        <w:ind w:firstLine="560" w:firstLineChars="200"/>
        <w:rPr>
          <w:rFonts w:ascii="宋体" w:hAnsi="宋体"/>
          <w:sz w:val="28"/>
          <w:szCs w:val="28"/>
        </w:rPr>
      </w:pPr>
      <w:r>
        <w:rPr>
          <w:rFonts w:hint="eastAsia" w:ascii="宋体" w:hAnsi="宋体"/>
          <w:sz w:val="28"/>
          <w:szCs w:val="28"/>
          <w:lang w:val="en-US" w:eastAsia="zh-CN"/>
        </w:rPr>
        <w:t>一、</w:t>
      </w:r>
      <w:r>
        <w:rPr>
          <w:rFonts w:hint="eastAsia" w:ascii="宋体" w:hAnsi="宋体"/>
          <w:sz w:val="28"/>
          <w:szCs w:val="28"/>
        </w:rPr>
        <w:t>项目内容如下：</w:t>
      </w:r>
    </w:p>
    <w:p>
      <w:pPr>
        <w:numPr>
          <w:ilvl w:val="0"/>
          <w:numId w:val="0"/>
        </w:numPr>
        <w:spacing w:line="540" w:lineRule="exact"/>
        <w:rPr>
          <w:rFonts w:hint="eastAsia" w:asciiTheme="minorEastAsia" w:hAnsiTheme="minorEastAsia" w:eastAsiaTheme="minorEastAsia"/>
          <w:sz w:val="28"/>
          <w:szCs w:val="28"/>
        </w:rPr>
      </w:pPr>
    </w:p>
    <w:tbl>
      <w:tblPr>
        <w:tblStyle w:val="15"/>
        <w:tblW w:w="8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2188"/>
        <w:gridCol w:w="2000"/>
        <w:gridCol w:w="1296"/>
        <w:gridCol w:w="2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危险废物名称</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预计年产废量（吨）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w:t>
            </w:r>
            <w:r>
              <w:rPr>
                <w:rFonts w:hint="eastAsia" w:ascii="宋体" w:hAnsi="宋体" w:eastAsia="宋体" w:cs="宋体"/>
                <w:sz w:val="28"/>
                <w:szCs w:val="28"/>
              </w:rPr>
              <w:t>-</w:t>
            </w:r>
            <w:r>
              <w:rPr>
                <w:rFonts w:hint="eastAsia" w:ascii="宋体" w:hAnsi="宋体" w:eastAsia="宋体" w:cs="宋体"/>
                <w:sz w:val="28"/>
                <w:szCs w:val="28"/>
                <w:lang w:val="en-US" w:eastAsia="zh-CN"/>
              </w:rPr>
              <w:t>006</w:t>
            </w:r>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废包装容器</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HW36</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316-030-36</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保温材料（石棉）</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HW08</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900-210-08</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含油滤渣</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21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HW49</w:t>
            </w:r>
          </w:p>
        </w:tc>
        <w:tc>
          <w:tcPr>
            <w:tcW w:w="200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900-041-49</w:t>
            </w:r>
          </w:p>
        </w:tc>
        <w:tc>
          <w:tcPr>
            <w:tcW w:w="1296"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废油漆桶</w:t>
            </w:r>
          </w:p>
        </w:tc>
        <w:tc>
          <w:tcPr>
            <w:tcW w:w="2140"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p>
        </w:tc>
      </w:tr>
    </w:tbl>
    <w:p>
      <w:pPr>
        <w:bidi w:val="0"/>
        <w:rPr>
          <w:rFonts w:hint="eastAsia" w:ascii="Arial" w:hAnsi="宋体" w:eastAsia="宋体" w:cs="Arial"/>
          <w:b/>
          <w:szCs w:val="28"/>
          <w:lang w:eastAsia="zh-CN"/>
        </w:rPr>
      </w:pPr>
      <w:r>
        <w:rPr>
          <w:rFonts w:hint="eastAsia"/>
          <w:sz w:val="28"/>
          <w:szCs w:val="28"/>
          <w:lang w:val="en-US" w:eastAsia="zh-CN"/>
        </w:rPr>
        <w:t>注：处置数量为预估数，实际处置数量以转移联单为准</w:t>
      </w:r>
      <w:r>
        <w:rPr>
          <w:rFonts w:hint="eastAsia"/>
          <w:sz w:val="28"/>
          <w:szCs w:val="28"/>
          <w:lang w:eastAsia="zh-CN"/>
        </w:rPr>
        <w:t>。</w:t>
      </w:r>
    </w:p>
    <w:p>
      <w:pPr>
        <w:spacing w:line="540" w:lineRule="exact"/>
        <w:ind w:firstLine="1760" w:firstLineChars="400"/>
        <w:jc w:val="both"/>
        <w:rPr>
          <w:rFonts w:hint="eastAsia" w:ascii="宋体" w:hAnsi="宋体"/>
          <w:sz w:val="44"/>
          <w:szCs w:val="44"/>
          <w:lang w:val="en-US" w:eastAsia="zh-CN"/>
        </w:rPr>
      </w:pPr>
    </w:p>
    <w:p>
      <w:pPr>
        <w:spacing w:line="540" w:lineRule="exact"/>
        <w:ind w:firstLine="1320" w:firstLineChars="3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52"/>
          <w:szCs w:val="52"/>
        </w:rPr>
      </w:pPr>
      <w:r>
        <w:rPr>
          <w:rFonts w:hint="eastAsia" w:ascii="宋体" w:hAnsi="宋体" w:eastAsia="宋体" w:cs="宋体"/>
          <w:b/>
          <w:bCs/>
          <w:color w:val="000000"/>
          <w:kern w:val="0"/>
          <w:sz w:val="52"/>
          <w:szCs w:val="52"/>
        </w:rPr>
        <w:t>______年度</w:t>
      </w:r>
      <w:r>
        <w:rPr>
          <w:rFonts w:hint="eastAsia" w:ascii="宋体" w:hAnsi="宋体" w:eastAsia="宋体" w:cs="宋体"/>
          <w:b/>
          <w:bCs/>
          <w:color w:val="000000"/>
          <w:kern w:val="0"/>
          <w:sz w:val="52"/>
          <w:szCs w:val="52"/>
          <w:lang w:val="en-US" w:eastAsia="zh-CN"/>
        </w:rPr>
        <w:t>危废委托处置</w:t>
      </w:r>
      <w:r>
        <w:rPr>
          <w:rFonts w:hint="eastAsia" w:ascii="宋体" w:hAnsi="宋体" w:eastAsia="宋体" w:cs="宋体"/>
          <w:b/>
          <w:bCs/>
          <w:color w:val="000000"/>
          <w:kern w:val="0"/>
          <w:sz w:val="52"/>
          <w:szCs w:val="52"/>
        </w:rPr>
        <w:t>合同</w:t>
      </w:r>
    </w:p>
    <w:p>
      <w:pPr>
        <w:spacing w:line="380" w:lineRule="exact"/>
        <w:ind w:firstLine="560" w:firstLineChars="200"/>
        <w:rPr>
          <w:rFonts w:hint="eastAsia" w:ascii="宋体" w:hAnsi="宋体" w:eastAsia="宋体" w:cs="宋体"/>
          <w:sz w:val="28"/>
          <w:szCs w:val="28"/>
        </w:rPr>
      </w:pPr>
    </w:p>
    <w:p>
      <w:pPr>
        <w:spacing w:line="3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甲方：</w:t>
      </w:r>
      <w:r>
        <w:rPr>
          <w:rFonts w:hint="eastAsia" w:ascii="宋体" w:hAnsi="宋体" w:cs="宋体"/>
          <w:sz w:val="28"/>
          <w:szCs w:val="28"/>
          <w:lang w:val="en-US" w:eastAsia="zh-CN"/>
        </w:rPr>
        <w:t>都江堰光明光电材料有限责任公司</w:t>
      </w:r>
      <w:r>
        <w:rPr>
          <w:rFonts w:hint="eastAsia" w:ascii="宋体" w:hAnsi="宋体" w:eastAsia="宋体" w:cs="宋体"/>
          <w:sz w:val="28"/>
          <w:szCs w:val="28"/>
        </w:rPr>
        <w:t xml:space="preserve">      </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w:t>
      </w:r>
      <w:r>
        <w:rPr>
          <w:rFonts w:hint="eastAsia" w:ascii="宋体" w:hAnsi="宋体" w:eastAsia="宋体" w:cs="宋体"/>
          <w:sz w:val="28"/>
          <w:szCs w:val="28"/>
          <w:lang w:val="en-US" w:eastAsia="zh-CN"/>
        </w:rPr>
        <w:t>四川省成都市都江堰市光泰路10号</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乙方：                                 </w:t>
      </w:r>
    </w:p>
    <w:p>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 xml:space="preserve">： </w:t>
      </w:r>
    </w:p>
    <w:p>
      <w:pPr>
        <w:spacing w:line="52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为加强工贸企业的工业危废处置管理，防止工业危废物污染环境。根据《中华人民共和国固体废物污染环境防治法》等相关法律、法规、规范之要求，本着自愿、公平、诚实信用的原则，经供需双方友好协商，甲方将其生产经营活动中产生危险废弃物事宜交由乙方处置。乙方接受后，将严格遵照国家的有关标准，进行对废弃物进行安全、无害化处理。经充分协商，一致订立如下合同：</w:t>
      </w:r>
    </w:p>
    <w:p>
      <w:pPr>
        <w:spacing w:line="160" w:lineRule="exact"/>
        <w:ind w:firstLine="560" w:firstLineChars="200"/>
        <w:rPr>
          <w:rFonts w:hint="eastAsia" w:ascii="宋体" w:hAnsi="宋体" w:eastAsia="宋体" w:cs="宋体"/>
          <w:sz w:val="28"/>
          <w:szCs w:val="28"/>
        </w:rPr>
      </w:pPr>
    </w:p>
    <w:p>
      <w:pPr>
        <w:numPr>
          <w:ilvl w:val="0"/>
          <w:numId w:val="2"/>
        </w:numPr>
        <w:spacing w:line="480" w:lineRule="exact"/>
        <w:ind w:left="840" w:leftChars="0" w:firstLineChars="0"/>
        <w:rPr>
          <w:rFonts w:hint="eastAsia" w:ascii="宋体" w:hAnsi="宋体" w:eastAsia="宋体" w:cs="宋体"/>
          <w:sz w:val="28"/>
          <w:szCs w:val="28"/>
        </w:rPr>
      </w:pPr>
      <w:r>
        <w:rPr>
          <w:rFonts w:hint="eastAsia" w:ascii="宋体" w:hAnsi="宋体" w:eastAsia="宋体" w:cs="宋体"/>
          <w:sz w:val="28"/>
          <w:szCs w:val="28"/>
        </w:rPr>
        <w:t>甲方委托乙方处置的危废情况如下：（含</w:t>
      </w:r>
      <w:r>
        <w:rPr>
          <w:rFonts w:hint="eastAsia" w:ascii="宋体" w:hAnsi="宋体" w:eastAsia="宋体" w:cs="宋体"/>
          <w:sz w:val="28"/>
          <w:szCs w:val="28"/>
          <w:u w:val="single"/>
        </w:rPr>
        <w:t xml:space="preserve">      </w:t>
      </w:r>
      <w:r>
        <w:rPr>
          <w:rFonts w:hint="eastAsia" w:ascii="宋体" w:hAnsi="宋体" w:eastAsia="宋体" w:cs="宋体"/>
          <w:sz w:val="28"/>
          <w:szCs w:val="28"/>
        </w:rPr>
        <w:t>%税率）</w:t>
      </w: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346"/>
        <w:gridCol w:w="3"/>
        <w:gridCol w:w="1493"/>
        <w:gridCol w:w="1488"/>
        <w:gridCol w:w="1558"/>
        <w:gridCol w:w="1251"/>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34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496"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134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496"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134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w:t>
            </w:r>
            <w:r>
              <w:rPr>
                <w:rFonts w:hint="eastAsia" w:ascii="宋体" w:hAnsi="宋体" w:eastAsia="宋体" w:cs="宋体"/>
                <w:sz w:val="28"/>
                <w:szCs w:val="28"/>
              </w:rPr>
              <w:t>-</w:t>
            </w:r>
            <w:r>
              <w:rPr>
                <w:rFonts w:hint="eastAsia" w:ascii="宋体" w:hAnsi="宋体" w:eastAsia="宋体" w:cs="宋体"/>
                <w:sz w:val="28"/>
                <w:szCs w:val="28"/>
                <w:lang w:val="en-US" w:eastAsia="zh-CN"/>
              </w:rPr>
              <w:t>006</w:t>
            </w:r>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496"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346"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496"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lang w:eastAsia="zh-CN"/>
              </w:rPr>
              <w:t>废包装容器</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HW36</w:t>
            </w:r>
          </w:p>
        </w:tc>
        <w:tc>
          <w:tcPr>
            <w:tcW w:w="1346"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316-030-36</w:t>
            </w:r>
          </w:p>
        </w:tc>
        <w:tc>
          <w:tcPr>
            <w:tcW w:w="1496" w:type="dxa"/>
            <w:gridSpan w:val="2"/>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rPr>
              <w:t>保温材料（石棉）</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HW08</w:t>
            </w:r>
          </w:p>
        </w:tc>
        <w:tc>
          <w:tcPr>
            <w:tcW w:w="1346"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900-210-08</w:t>
            </w:r>
          </w:p>
        </w:tc>
        <w:tc>
          <w:tcPr>
            <w:tcW w:w="1496" w:type="dxa"/>
            <w:gridSpan w:val="2"/>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eastAsia="zh-CN"/>
              </w:rPr>
              <w:t>含油滤渣</w:t>
            </w:r>
          </w:p>
        </w:tc>
        <w:tc>
          <w:tcPr>
            <w:tcW w:w="1488"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1</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HW49</w:t>
            </w:r>
          </w:p>
        </w:tc>
        <w:tc>
          <w:tcPr>
            <w:tcW w:w="1349" w:type="dxa"/>
            <w:gridSpan w:val="2"/>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900-041-49</w:t>
            </w:r>
          </w:p>
        </w:tc>
        <w:tc>
          <w:tcPr>
            <w:tcW w:w="149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废油漆桶</w:t>
            </w:r>
          </w:p>
        </w:tc>
        <w:tc>
          <w:tcPr>
            <w:tcW w:w="1488"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both"/>
              <w:textAlignment w:val="baseline"/>
              <w:rPr>
                <w:rFonts w:hint="default" w:ascii="宋体" w:hAnsi="宋体" w:eastAsia="宋体" w:cs="宋体"/>
                <w:spacing w:val="10"/>
                <w:kern w:val="2"/>
                <w:sz w:val="28"/>
                <w:szCs w:val="28"/>
                <w:lang w:val="en-US" w:eastAsia="zh-CN" w:bidi="ar-SA"/>
              </w:rPr>
            </w:pPr>
            <w:r>
              <w:rPr>
                <w:rFonts w:hint="eastAsia" w:ascii="宋体" w:hAnsi="宋体" w:eastAsia="宋体" w:cs="宋体"/>
                <w:spacing w:val="10"/>
                <w:kern w:val="2"/>
                <w:sz w:val="28"/>
                <w:szCs w:val="28"/>
                <w:lang w:val="en-US" w:eastAsia="zh-CN" w:bidi="ar-SA"/>
              </w:rPr>
              <w:t>1</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pacing w:val="10"/>
                <w:kern w:val="2"/>
                <w:sz w:val="28"/>
                <w:szCs w:val="28"/>
                <w:lang w:val="en-US" w:eastAsia="zh-CN" w:bidi="ar-SA"/>
              </w:rPr>
            </w:pPr>
            <w:r>
              <w:rPr>
                <w:rFonts w:hint="eastAsia" w:ascii="宋体" w:hAnsi="宋体" w:eastAsia="宋体" w:cs="宋体"/>
                <w:spacing w:val="10"/>
                <w:kern w:val="2"/>
                <w:sz w:val="28"/>
                <w:szCs w:val="28"/>
                <w:lang w:val="en-US" w:eastAsia="zh-CN" w:bidi="ar-SA"/>
              </w:rPr>
              <w:t>7</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合计</w:t>
            </w:r>
          </w:p>
        </w:tc>
        <w:tc>
          <w:tcPr>
            <w:tcW w:w="8098" w:type="dxa"/>
            <w:gridSpan w:val="7"/>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3000" w:firstLineChars="1000"/>
              <w:jc w:val="both"/>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 xml:space="preserve">大写：           </w:t>
            </w:r>
            <w:r>
              <w:rPr>
                <w:rFonts w:hint="eastAsia" w:ascii="宋体" w:hAnsi="宋体" w:eastAsia="宋体" w:cs="宋体"/>
                <w:sz w:val="28"/>
                <w:szCs w:val="28"/>
              </w:rPr>
              <w:t xml:space="preserve"> </w:t>
            </w:r>
            <w:r>
              <w:rPr>
                <w:rFonts w:hint="eastAsia" w:ascii="宋体" w:hAnsi="宋体" w:eastAsia="宋体" w:cs="宋体"/>
                <w:color w:val="FF0000"/>
                <w:sz w:val="28"/>
                <w:szCs w:val="28"/>
              </w:rPr>
              <w:t xml:space="preserve"> </w:t>
            </w:r>
            <w:r>
              <w:rPr>
                <w:rFonts w:hint="eastAsia" w:ascii="宋体" w:hAnsi="宋体" w:eastAsia="宋体" w:cs="宋体"/>
                <w:color w:val="auto"/>
                <w:sz w:val="28"/>
                <w:szCs w:val="28"/>
                <w:lang w:val="en-US" w:eastAsia="zh-CN"/>
              </w:rPr>
              <w:t>含</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%的增值税专用发票</w:t>
            </w:r>
            <w:r>
              <w:rPr>
                <w:rFonts w:hint="eastAsia" w:ascii="宋体" w:hAnsi="宋体" w:eastAsia="宋体" w:cs="宋体"/>
                <w:color w:val="auto"/>
                <w:sz w:val="28"/>
                <w:szCs w:val="28"/>
                <w:lang w:val="en-US" w:eastAsia="zh-CN"/>
              </w:rPr>
              <w:t>价</w:t>
            </w:r>
          </w:p>
        </w:tc>
      </w:tr>
    </w:tbl>
    <w:p>
      <w:pPr>
        <w:numPr>
          <w:ilvl w:val="0"/>
          <w:numId w:val="0"/>
        </w:numPr>
        <w:spacing w:line="480" w:lineRule="exact"/>
        <w:ind w:left="428" w:leftChars="0"/>
        <w:rPr>
          <w:rFonts w:hint="eastAsia" w:ascii="宋体" w:hAnsi="宋体" w:eastAsia="宋体" w:cs="宋体"/>
          <w:sz w:val="28"/>
          <w:szCs w:val="28"/>
        </w:rPr>
      </w:pPr>
    </w:p>
    <w:p>
      <w:pPr>
        <w:bidi w:val="0"/>
        <w:rPr>
          <w:rFonts w:hint="eastAsia" w:ascii="宋体" w:hAnsi="宋体" w:eastAsia="宋体" w:cs="宋体"/>
          <w:sz w:val="28"/>
          <w:szCs w:val="28"/>
          <w:lang w:eastAsia="zh-CN"/>
        </w:rPr>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第二条  </w:t>
      </w:r>
      <w:r>
        <w:rPr>
          <w:rFonts w:hint="eastAsia" w:ascii="宋体" w:hAnsi="宋体" w:eastAsia="宋体" w:cs="宋体"/>
          <w:sz w:val="28"/>
          <w:szCs w:val="28"/>
        </w:rPr>
        <w:t>装卸与运输：乙方提供危险废物的包装物或包装容器</w:t>
      </w:r>
      <w:r>
        <w:rPr>
          <w:rFonts w:hint="eastAsia" w:ascii="宋体" w:hAnsi="宋体" w:cs="宋体"/>
          <w:sz w:val="28"/>
          <w:szCs w:val="28"/>
          <w:lang w:eastAsia="zh-CN"/>
        </w:rPr>
        <w:t>，由乙方进行危险废物的装卸，运输费用由乙方承担</w:t>
      </w:r>
      <w:r>
        <w:rPr>
          <w:rFonts w:hint="eastAsia" w:ascii="宋体" w:hAnsi="宋体" w:eastAsia="宋体" w:cs="宋体"/>
          <w:sz w:val="28"/>
          <w:szCs w:val="28"/>
          <w:lang w:eastAsia="zh-CN"/>
        </w:rPr>
        <w:t>。</w:t>
      </w:r>
    </w:p>
    <w:p>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第三条  </w:t>
      </w:r>
      <w:r>
        <w:rPr>
          <w:rFonts w:hint="eastAsia" w:ascii="宋体" w:hAnsi="宋体" w:eastAsia="宋体" w:cs="宋体"/>
          <w:sz w:val="28"/>
          <w:szCs w:val="28"/>
        </w:rPr>
        <w:t>响应： 根据甲方指示进行转运，转运响应时间不得大于48小时。</w:t>
      </w:r>
    </w:p>
    <w:p>
      <w:pPr>
        <w:bidi w:val="0"/>
        <w:rPr>
          <w:rFonts w:hint="eastAsia" w:ascii="宋体" w:hAnsi="宋体" w:eastAsia="宋体" w:cs="宋体"/>
          <w:sz w:val="28"/>
          <w:szCs w:val="28"/>
        </w:rPr>
      </w:pPr>
      <w:r>
        <w:rPr>
          <w:rFonts w:hint="eastAsia" w:ascii="宋体" w:hAnsi="宋体" w:eastAsia="宋体" w:cs="宋体"/>
          <w:sz w:val="28"/>
          <w:szCs w:val="28"/>
        </w:rPr>
        <w:t>第四条  结算方式：双方根据转移联单对帐无误后，乙方开具发票，甲方收到发票后转帐。发票开具要求：乙方须开具符合相关法规的税率为   %的增值税专用发票，由于乙方开具发票不符合相关法规要求，给甲方造成的涉税损失由乙方全额承担。</w:t>
      </w:r>
    </w:p>
    <w:p>
      <w:pPr>
        <w:bidi w:val="0"/>
        <w:rPr>
          <w:rFonts w:hint="default" w:ascii="宋体" w:hAnsi="宋体" w:eastAsia="宋体" w:cs="宋体"/>
          <w:sz w:val="28"/>
          <w:szCs w:val="28"/>
          <w:lang w:val="en-US" w:eastAsia="zh-CN"/>
        </w:rPr>
      </w:pPr>
      <w:r>
        <w:rPr>
          <w:rFonts w:hint="eastAsia" w:ascii="宋体" w:hAnsi="宋体" w:eastAsia="宋体" w:cs="宋体"/>
          <w:sz w:val="28"/>
          <w:szCs w:val="28"/>
        </w:rPr>
        <w:t>第五条  违约责任： 签约双方应自觉地履行本合同条约，模范遵守《 中华人民共和国固体废物污染环境防治法 》和《 中华人民共和国民法典 》的法律法规</w:t>
      </w:r>
      <w:r>
        <w:rPr>
          <w:rFonts w:hint="eastAsia" w:ascii="宋体" w:hAnsi="宋体" w:eastAsia="宋体" w:cs="宋体"/>
          <w:sz w:val="28"/>
          <w:szCs w:val="28"/>
          <w:lang w:eastAsia="zh-CN"/>
        </w:rPr>
        <w:t>，</w:t>
      </w:r>
      <w:r>
        <w:rPr>
          <w:rFonts w:hint="eastAsia" w:ascii="宋体" w:hAnsi="宋体" w:eastAsia="宋体" w:cs="宋体"/>
          <w:color w:val="auto"/>
          <w:sz w:val="28"/>
          <w:szCs w:val="28"/>
          <w:lang w:val="en-US" w:eastAsia="zh-CN"/>
        </w:rPr>
        <w:t>违约方应当承担一切责任。并且守约方有权单方解除本合同，还有权向违约方主张合同总额20%的违约金。由此给守约方造成损失高于上述违约金的违约方负责赔偿。</w:t>
      </w:r>
      <w:r>
        <w:rPr>
          <w:rFonts w:hint="eastAsia" w:ascii="宋体" w:hAnsi="宋体" w:eastAsia="宋体" w:cs="宋体"/>
          <w:color w:val="FF0000"/>
          <w:sz w:val="28"/>
          <w:szCs w:val="28"/>
          <w:lang w:val="en-US" w:eastAsia="zh-CN"/>
        </w:rPr>
        <w:t xml:space="preserve">  </w:t>
      </w:r>
    </w:p>
    <w:p>
      <w:pPr>
        <w:bidi w:val="0"/>
        <w:rPr>
          <w:rFonts w:hint="eastAsia" w:ascii="宋体" w:hAnsi="宋体" w:eastAsia="宋体" w:cs="宋体"/>
          <w:color w:val="auto"/>
          <w:sz w:val="28"/>
          <w:szCs w:val="28"/>
        </w:rPr>
      </w:pPr>
      <w:r>
        <w:rPr>
          <w:rFonts w:hint="eastAsia" w:ascii="宋体" w:hAnsi="宋体" w:eastAsia="宋体" w:cs="宋体"/>
          <w:sz w:val="28"/>
          <w:szCs w:val="28"/>
        </w:rPr>
        <w:t>第六条  环保责任： 乙方在甲方的厂区将危废物装车离开后，产生的相关法律责任及环境保护责任，均由乙方</w:t>
      </w:r>
      <w:r>
        <w:rPr>
          <w:rFonts w:hint="eastAsia" w:ascii="宋体" w:hAnsi="宋体" w:eastAsia="宋体" w:cs="宋体"/>
          <w:color w:val="auto"/>
          <w:sz w:val="28"/>
          <w:szCs w:val="28"/>
          <w:lang w:val="en-US" w:eastAsia="zh-CN"/>
        </w:rPr>
        <w:t>承担一切责任</w:t>
      </w:r>
      <w:r>
        <w:rPr>
          <w:rFonts w:hint="eastAsia" w:ascii="宋体" w:hAnsi="宋体" w:eastAsia="宋体" w:cs="宋体"/>
          <w:color w:val="auto"/>
          <w:sz w:val="28"/>
          <w:szCs w:val="28"/>
        </w:rPr>
        <w:t>。</w:t>
      </w:r>
    </w:p>
    <w:p>
      <w:pPr>
        <w:bidi w:val="0"/>
        <w:rPr>
          <w:rFonts w:hint="eastAsia" w:ascii="宋体" w:hAnsi="宋体" w:eastAsia="宋体" w:cs="宋体"/>
          <w:color w:val="auto"/>
          <w:sz w:val="28"/>
          <w:szCs w:val="28"/>
        </w:rPr>
      </w:pPr>
    </w:p>
    <w:p>
      <w:pPr>
        <w:numPr>
          <w:ilvl w:val="0"/>
          <w:numId w:val="3"/>
        </w:numPr>
        <w:bidi w:val="0"/>
        <w:rPr>
          <w:rFonts w:hint="eastAsia" w:ascii="宋体" w:hAnsi="宋体" w:eastAsia="宋体" w:cs="宋体"/>
          <w:color w:val="auto"/>
          <w:sz w:val="28"/>
          <w:szCs w:val="28"/>
        </w:rPr>
      </w:pPr>
      <w:r>
        <w:rPr>
          <w:rFonts w:hint="eastAsia" w:ascii="宋体" w:hAnsi="宋体" w:eastAsia="宋体" w:cs="宋体"/>
          <w:color w:val="auto"/>
          <w:sz w:val="28"/>
          <w:szCs w:val="28"/>
        </w:rPr>
        <w:t xml:space="preserve"> 其他约定： </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双方在自觉履行合同期限内，甲方不得私自将由乙方处置的危废物，转交给任何第三方或者其他无资质单位去处置，由此而引发的相关法律责任和环保责任与乙方无关。</w:t>
      </w:r>
    </w:p>
    <w:p>
      <w:pPr>
        <w:bidi w:val="0"/>
        <w:rPr>
          <w:rFonts w:hint="default" w:eastAsia="宋体"/>
          <w:color w:val="auto"/>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本项目不得转让分包，如有发生，无条件清理退场，所造成的一切损失由乙方负责。</w:t>
      </w:r>
    </w:p>
    <w:p>
      <w:pPr>
        <w:bidi w:val="0"/>
        <w:rPr>
          <w:rFonts w:hint="eastAsia" w:ascii="宋体" w:hAnsi="宋体" w:eastAsia="宋体" w:cs="宋体"/>
          <w:sz w:val="28"/>
          <w:szCs w:val="28"/>
        </w:rPr>
      </w:pPr>
    </w:p>
    <w:p>
      <w:pPr>
        <w:bidi w:val="0"/>
        <w:rPr>
          <w:rFonts w:hint="eastAsia" w:ascii="宋体" w:hAnsi="宋体" w:eastAsia="宋体" w:cs="宋体"/>
          <w:sz w:val="28"/>
          <w:szCs w:val="28"/>
        </w:rPr>
      </w:pPr>
      <w:r>
        <w:rPr>
          <w:rFonts w:hint="eastAsia" w:ascii="宋体" w:hAnsi="宋体" w:eastAsia="宋体" w:cs="宋体"/>
          <w:sz w:val="28"/>
          <w:szCs w:val="28"/>
        </w:rPr>
        <w:t>第八条  解决合同纠纷方式： 甲、乙双方应通过友好协商的方式解决在执行本合同中所发生的或与本合同有关的一切争议。如果协商仍得不到解决，任何一方可向四川省成都市</w:t>
      </w:r>
      <w:r>
        <w:rPr>
          <w:rFonts w:hint="eastAsia" w:ascii="宋体" w:hAnsi="宋体" w:cs="宋体"/>
          <w:sz w:val="28"/>
          <w:szCs w:val="28"/>
          <w:lang w:val="en-US" w:eastAsia="zh-CN"/>
        </w:rPr>
        <w:t>都江堰市</w:t>
      </w:r>
      <w:r>
        <w:rPr>
          <w:rFonts w:hint="eastAsia" w:ascii="宋体" w:hAnsi="宋体" w:eastAsia="宋体" w:cs="宋体"/>
          <w:sz w:val="28"/>
          <w:szCs w:val="28"/>
        </w:rPr>
        <w:t>人民法院管辖。</w:t>
      </w:r>
    </w:p>
    <w:p>
      <w:pPr>
        <w:bidi w:val="0"/>
        <w:rPr>
          <w:rFonts w:hint="eastAsia" w:ascii="宋体" w:hAnsi="宋体" w:eastAsia="宋体" w:cs="宋体"/>
          <w:sz w:val="28"/>
          <w:szCs w:val="28"/>
        </w:rPr>
      </w:pPr>
    </w:p>
    <w:p>
      <w:pPr>
        <w:numPr>
          <w:ilvl w:val="0"/>
          <w:numId w:val="3"/>
        </w:numPr>
        <w:bidi w:val="0"/>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rPr>
        <w:t xml:space="preserve"> 合同有效期：</w:t>
      </w:r>
      <w:r>
        <w:rPr>
          <w:rFonts w:hint="eastAsia" w:ascii="宋体" w:hAnsi="宋体" w:eastAsia="宋体" w:cs="宋体"/>
          <w:sz w:val="28"/>
          <w:szCs w:val="28"/>
          <w:lang w:val="en-US" w:eastAsia="zh-CN"/>
        </w:rPr>
        <w:t xml:space="preserve"> </w:t>
      </w:r>
    </w:p>
    <w:p>
      <w:pPr>
        <w:numPr>
          <w:ilvl w:val="0"/>
          <w:numId w:val="0"/>
        </w:numPr>
        <w:bidi w:val="0"/>
        <w:ind w:leftChars="0"/>
        <w:rPr>
          <w:rFonts w:hint="eastAsia" w:ascii="宋体" w:hAnsi="宋体" w:eastAsia="宋体" w:cs="宋体"/>
          <w:sz w:val="28"/>
          <w:szCs w:val="28"/>
        </w:rPr>
      </w:pPr>
      <w:r>
        <w:rPr>
          <w:rFonts w:hint="eastAsia" w:ascii="宋体" w:hAnsi="宋体" w:eastAsia="宋体" w:cs="宋体"/>
          <w:sz w:val="28"/>
          <w:szCs w:val="28"/>
        </w:rPr>
        <w:t>本合同的有效期从   年   月   日起，至  年   月   日止。</w:t>
      </w:r>
    </w:p>
    <w:p>
      <w:pPr>
        <w:bidi w:val="0"/>
        <w:rPr>
          <w:rFonts w:hint="eastAsia" w:ascii="宋体" w:hAnsi="宋体" w:eastAsia="宋体" w:cs="宋体"/>
          <w:sz w:val="28"/>
          <w:szCs w:val="28"/>
        </w:rPr>
      </w:pPr>
    </w:p>
    <w:p>
      <w:pPr>
        <w:bidi w:val="0"/>
        <w:rPr>
          <w:rFonts w:hint="eastAsia" w:ascii="宋体" w:hAnsi="宋体" w:eastAsia="宋体" w:cs="宋体"/>
          <w:sz w:val="28"/>
          <w:szCs w:val="28"/>
        </w:rPr>
      </w:pPr>
      <w:r>
        <w:rPr>
          <w:rFonts w:hint="eastAsia" w:ascii="宋体" w:hAnsi="宋体" w:eastAsia="宋体" w:cs="宋体"/>
          <w:sz w:val="28"/>
          <w:szCs w:val="28"/>
        </w:rPr>
        <w:t>第十条  其他约定事项：</w:t>
      </w:r>
    </w:p>
    <w:p>
      <w:pPr>
        <w:bidi w:val="0"/>
        <w:rPr>
          <w:rFonts w:hint="eastAsia" w:ascii="宋体" w:hAnsi="宋体" w:eastAsia="宋体" w:cs="宋体"/>
          <w:sz w:val="28"/>
          <w:szCs w:val="28"/>
        </w:rPr>
      </w:pPr>
      <w:r>
        <w:rPr>
          <w:rFonts w:hint="eastAsia" w:ascii="宋体" w:hAnsi="宋体" w:eastAsia="宋体" w:cs="宋体"/>
          <w:sz w:val="28"/>
          <w:szCs w:val="28"/>
        </w:rPr>
        <w:t>1、合同一经签订生效不得修改，若要修改或增加协议内容，须加盖乙方认可公章，否则无效。由此产生的法律责任或环保责任等事宜，均由甲方承担，且甲方不得单方面终止合同。</w:t>
      </w:r>
    </w:p>
    <w:p>
      <w:pPr>
        <w:bidi w:val="0"/>
        <w:rPr>
          <w:rFonts w:hint="eastAsia" w:ascii="宋体" w:hAnsi="宋体" w:eastAsia="宋体" w:cs="宋体"/>
          <w:sz w:val="28"/>
          <w:szCs w:val="28"/>
        </w:rPr>
      </w:pPr>
      <w:r>
        <w:rPr>
          <w:rFonts w:hint="eastAsia" w:ascii="宋体" w:hAnsi="宋体" w:eastAsia="宋体" w:cs="宋体"/>
          <w:sz w:val="28"/>
          <w:szCs w:val="28"/>
        </w:rPr>
        <w:t>2、 合同未尽事宜，可由双方责任人友好协商，共同商定解决办法。</w:t>
      </w:r>
    </w:p>
    <w:p>
      <w:pPr>
        <w:bidi w:val="0"/>
        <w:rPr>
          <w:rFonts w:hint="eastAsia" w:ascii="宋体" w:hAnsi="宋体" w:eastAsia="宋体" w:cs="宋体"/>
          <w:sz w:val="28"/>
          <w:szCs w:val="28"/>
        </w:rPr>
      </w:pPr>
      <w:r>
        <w:rPr>
          <w:rFonts w:hint="eastAsia" w:ascii="宋体" w:hAnsi="宋体" w:eastAsia="宋体" w:cs="宋体"/>
          <w:sz w:val="28"/>
          <w:szCs w:val="28"/>
        </w:rPr>
        <w:t>3、本合同一经双方责任人签字、盖上公章后，即日生效。</w:t>
      </w:r>
    </w:p>
    <w:p>
      <w:pPr>
        <w:bidi w:val="0"/>
        <w:rPr>
          <w:rFonts w:hint="eastAsia" w:ascii="宋体" w:hAnsi="宋体" w:eastAsia="宋体" w:cs="宋体"/>
          <w:sz w:val="28"/>
          <w:szCs w:val="28"/>
        </w:rPr>
      </w:pPr>
      <w:r>
        <w:rPr>
          <w:rFonts w:hint="eastAsia" w:ascii="宋体" w:hAnsi="宋体" w:eastAsia="宋体" w:cs="宋体"/>
          <w:sz w:val="28"/>
          <w:szCs w:val="28"/>
        </w:rPr>
        <w:t>4、本合同一式四份。甲方执贰份，乙方执贰份。</w:t>
      </w:r>
    </w:p>
    <w:p>
      <w:pPr>
        <w:spacing w:line="340" w:lineRule="exact"/>
        <w:rPr>
          <w:rFonts w:hint="eastAsia" w:ascii="宋体" w:hAnsi="宋体" w:eastAsia="宋体" w:cs="宋体"/>
          <w:b/>
          <w:sz w:val="28"/>
          <w:szCs w:val="28"/>
        </w:rPr>
      </w:pPr>
      <w:r>
        <w:rPr>
          <w:rFonts w:hint="eastAsia" w:ascii="宋体" w:hAnsi="宋体" w:eastAsia="宋体" w:cs="宋体"/>
          <w:b/>
          <w:sz w:val="28"/>
          <w:szCs w:val="28"/>
        </w:rPr>
        <w:t xml:space="preserve">         </w:t>
      </w:r>
    </w:p>
    <w:p>
      <w:pPr>
        <w:spacing w:line="360" w:lineRule="auto"/>
        <w:rPr>
          <w:rFonts w:hint="eastAsia" w:ascii="宋体" w:hAnsi="宋体" w:eastAsia="宋体" w:cs="宋体"/>
          <w:sz w:val="28"/>
          <w:szCs w:val="28"/>
          <w:lang w:val="en-US" w:eastAsia="zh-CN"/>
        </w:rPr>
      </w:pPr>
      <w:r>
        <w:rPr>
          <w:rFonts w:hint="eastAsia" w:ascii="宋体" w:hAnsi="宋体" w:eastAsia="宋体" w:cs="宋体"/>
          <w:bCs/>
          <w:color w:val="000000"/>
          <w:sz w:val="28"/>
          <w:szCs w:val="28"/>
        </w:rPr>
        <w:t>甲 方：（ 盖章 ）                     乙方：（盖章 ）</w:t>
      </w:r>
    </w:p>
    <w:p>
      <w:pPr>
        <w:spacing w:line="460" w:lineRule="exact"/>
        <w:jc w:val="left"/>
        <w:rPr>
          <w:rFonts w:hint="eastAsia" w:ascii="宋体" w:hAnsi="宋体" w:cs="宋体"/>
          <w:sz w:val="28"/>
          <w:szCs w:val="28"/>
          <w:lang w:val="en-US" w:eastAsia="zh-CN"/>
        </w:rPr>
      </w:pPr>
      <w:r>
        <w:rPr>
          <w:rFonts w:hint="eastAsia" w:ascii="宋体" w:hAnsi="宋体" w:cs="宋体"/>
          <w:sz w:val="28"/>
          <w:szCs w:val="28"/>
          <w:lang w:val="en-US" w:eastAsia="zh-CN"/>
        </w:rPr>
        <w:t>都江堰光明光电材料有限责任公司</w:t>
      </w:r>
    </w:p>
    <w:p>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rPr>
        <w:t xml:space="preserve">委托代理人：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rPr>
        <w:t>委托代理人：</w:t>
      </w:r>
    </w:p>
    <w:p>
      <w:pPr>
        <w:spacing w:line="460" w:lineRule="exact"/>
        <w:jc w:val="left"/>
        <w:rPr>
          <w:rFonts w:hint="default"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联系人：                             联系人：</w:t>
      </w:r>
    </w:p>
    <w:p>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lang w:val="en-US" w:eastAsia="zh-CN"/>
        </w:rPr>
        <w:t>联系电话：                           联系电话：</w:t>
      </w:r>
      <w:r>
        <w:rPr>
          <w:rFonts w:hint="eastAsia" w:ascii="宋体" w:hAnsi="宋体" w:eastAsia="宋体" w:cs="宋体"/>
          <w:bCs/>
          <w:color w:val="000000"/>
          <w:sz w:val="28"/>
          <w:szCs w:val="28"/>
        </w:rPr>
        <w:t xml:space="preserve">           　　                     </w:t>
      </w:r>
    </w:p>
    <w:p>
      <w:pPr>
        <w:bidi w:val="0"/>
        <w:rPr>
          <w:rFonts w:hint="eastAsia" w:ascii="宋体" w:hAnsi="宋体" w:eastAsia="宋体" w:cs="宋体"/>
          <w:sz w:val="28"/>
          <w:szCs w:val="28"/>
          <w:lang w:val="en-US" w:eastAsia="zh-CN"/>
        </w:rPr>
      </w:pPr>
      <w:r>
        <w:rPr>
          <w:rFonts w:hint="eastAsia" w:ascii="宋体" w:hAnsi="宋体" w:eastAsia="宋体" w:cs="宋体"/>
          <w:bCs/>
          <w:color w:val="000000"/>
          <w:sz w:val="28"/>
          <w:szCs w:val="28"/>
        </w:rPr>
        <w:t>开户银行：</w:t>
      </w:r>
      <w:r>
        <w:rPr>
          <w:rFonts w:hint="eastAsia" w:ascii="宋体" w:hAnsi="宋体" w:cs="宋体"/>
          <w:sz w:val="28"/>
          <w:szCs w:val="28"/>
          <w:lang w:val="en-US" w:eastAsia="zh-CN"/>
        </w:rPr>
        <w:t>中国银行都江堰中山北路支行</w:t>
      </w:r>
      <w:r>
        <w:rPr>
          <w:rFonts w:hint="eastAsia" w:ascii="宋体" w:hAnsi="宋体" w:eastAsia="宋体" w:cs="宋体"/>
          <w:sz w:val="28"/>
          <w:szCs w:val="28"/>
          <w:lang w:val="en-US" w:eastAsia="zh-CN"/>
        </w:rPr>
        <w:t xml:space="preserve"> 开户银行：</w:t>
      </w:r>
    </w:p>
    <w:p>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银行账号：104651082623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银行账号：</w:t>
      </w:r>
    </w:p>
    <w:p>
      <w:pPr>
        <w:bidi w:val="0"/>
        <w:rPr>
          <w:rFonts w:hint="eastAsia" w:ascii="宋体" w:hAnsi="宋体" w:eastAsia="宋体" w:cs="宋体"/>
          <w:bCs/>
          <w:color w:val="000000"/>
          <w:sz w:val="28"/>
          <w:szCs w:val="28"/>
        </w:rPr>
      </w:pPr>
      <w:r>
        <w:rPr>
          <w:rFonts w:hint="eastAsia" w:ascii="宋体" w:hAnsi="宋体" w:eastAsia="宋体" w:cs="宋体"/>
          <w:sz w:val="28"/>
          <w:szCs w:val="28"/>
          <w:lang w:val="en-US" w:eastAsia="zh-CN"/>
        </w:rPr>
        <w:t xml:space="preserve">税    号：915101817253529198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bCs/>
          <w:color w:val="000000"/>
          <w:sz w:val="28"/>
          <w:szCs w:val="28"/>
        </w:rPr>
        <w:t>税    号：</w:t>
      </w:r>
    </w:p>
    <w:p>
      <w:pPr>
        <w:spacing w:line="460" w:lineRule="exact"/>
        <w:jc w:val="left"/>
        <w:rPr>
          <w:rFonts w:hint="eastAsia" w:ascii="宋体" w:hAnsi="宋体" w:eastAsia="宋体" w:cs="宋体"/>
          <w:sz w:val="24"/>
          <w:szCs w:val="24"/>
        </w:rPr>
      </w:pPr>
      <w:r>
        <w:rPr>
          <w:rFonts w:hint="eastAsia" w:ascii="宋体" w:hAnsi="宋体" w:eastAsia="宋体" w:cs="宋体"/>
          <w:bCs/>
          <w:color w:val="000000"/>
          <w:sz w:val="28"/>
          <w:szCs w:val="28"/>
        </w:rPr>
        <w:t>签订时间：</w:t>
      </w:r>
      <w:r>
        <w:rPr>
          <w:rFonts w:hint="eastAsia" w:ascii="宋体" w:hAnsi="宋体" w:eastAsia="宋体" w:cs="宋体"/>
          <w:sz w:val="28"/>
          <w:szCs w:val="28"/>
        </w:rPr>
        <w:t xml:space="preserve">                           签订时间：</w:t>
      </w:r>
    </w:p>
    <w:p>
      <w:pPr>
        <w:rPr>
          <w:rFonts w:hint="eastAsia" w:ascii="黑体" w:hAnsi="宋体" w:eastAsia="黑体"/>
          <w:color w:val="000000"/>
          <w:sz w:val="36"/>
          <w:szCs w:val="36"/>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ind w:firstLine="2640" w:firstLineChars="600"/>
        <w:jc w:val="both"/>
        <w:rPr>
          <w:rFonts w:hint="eastAsia" w:ascii="黑体" w:hAnsi="黑体" w:eastAsia="黑体"/>
          <w:sz w:val="44"/>
          <w:szCs w:val="44"/>
        </w:rPr>
      </w:pPr>
    </w:p>
    <w:p>
      <w:pPr>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val="en-US" w:eastAsia="zh-CN"/>
        </w:rPr>
        <w:t>2</w:t>
      </w:r>
      <w:r>
        <w:rPr>
          <w:rFonts w:hint="eastAsia" w:asciiTheme="minorEastAsia" w:hAnsiTheme="minorEastAsia" w:eastAsiaTheme="minorEastAsia"/>
          <w:sz w:val="28"/>
          <w:szCs w:val="28"/>
          <w:u w:val="single"/>
        </w:rPr>
        <w:t>02</w:t>
      </w:r>
      <w:r>
        <w:rPr>
          <w:rFonts w:hint="eastAsia" w:asciiTheme="minorEastAsia" w:hAnsiTheme="minorEastAsia" w:eastAsiaTheme="minorEastAsia"/>
          <w:sz w:val="28"/>
          <w:szCs w:val="28"/>
          <w:u w:val="single"/>
          <w:lang w:val="en-US" w:eastAsia="zh-CN"/>
        </w:rPr>
        <w:t>5</w:t>
      </w:r>
      <w:r>
        <w:rPr>
          <w:rFonts w:hint="eastAsia" w:asciiTheme="minorEastAsia" w:hAnsiTheme="minorEastAsia" w:eastAsiaTheme="minorEastAsia"/>
          <w:sz w:val="28"/>
          <w:szCs w:val="28"/>
          <w:u w:val="single"/>
        </w:rPr>
        <w:t>年度</w:t>
      </w:r>
      <w:r>
        <w:rPr>
          <w:rFonts w:hint="eastAsia" w:asciiTheme="minorEastAsia" w:hAnsiTheme="minorEastAsia" w:eastAsiaTheme="minorEastAsia"/>
          <w:sz w:val="28"/>
          <w:szCs w:val="28"/>
          <w:u w:val="single"/>
          <w:lang w:val="en-US" w:eastAsia="zh-CN"/>
        </w:rPr>
        <w:t xml:space="preserve">危险废物处置询价        </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hint="eastAsia" w:asciiTheme="minorEastAsia" w:hAnsiTheme="minorEastAsia" w:eastAsiaTheme="minorEastAsia"/>
          <w:sz w:val="28"/>
          <w:szCs w:val="28"/>
          <w:lang w:val="en-US" w:eastAsia="zh-CN"/>
        </w:rPr>
        <w:t xml:space="preserve">甲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都江堰光明光电材料有限责任公司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乙   方</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w:t>
      </w:r>
      <w:bookmarkStart w:id="2" w:name="_GoBack"/>
      <w:bookmarkEnd w:id="2"/>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都江堰光明光电材料有限责任公司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都江堰光明光电材料有限责任公司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都江堰光明光电材料有限责任公司</w:t>
      </w:r>
    </w:p>
    <w:p>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hint="eastAsia" w:ascii="宋体" w:hAnsi="宋体"/>
          <w:bCs/>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pPr>
        <w:pStyle w:val="2"/>
        <w:rPr>
          <w:rFonts w:hint="eastAsia"/>
        </w:rPr>
      </w:pP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301"/>
        <w:gridCol w:w="3"/>
        <w:gridCol w:w="1538"/>
        <w:gridCol w:w="1488"/>
        <w:gridCol w:w="1558"/>
        <w:gridCol w:w="1251"/>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30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541"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1301"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541"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1301"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900</w:t>
            </w:r>
            <w:r>
              <w:rPr>
                <w:rFonts w:hint="eastAsia" w:ascii="宋体" w:hAnsi="宋体" w:eastAsia="宋体" w:cs="宋体"/>
                <w:sz w:val="28"/>
                <w:szCs w:val="28"/>
              </w:rPr>
              <w:t>-</w:t>
            </w:r>
            <w:r>
              <w:rPr>
                <w:rFonts w:hint="eastAsia" w:ascii="宋体" w:hAnsi="宋体" w:eastAsia="宋体" w:cs="宋体"/>
                <w:sz w:val="28"/>
                <w:szCs w:val="28"/>
                <w:lang w:val="en-US" w:eastAsia="zh-CN"/>
              </w:rPr>
              <w:t>006</w:t>
            </w:r>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541"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301"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541"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lang w:eastAsia="zh-CN"/>
              </w:rPr>
              <w:t>废包装容器</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HW36</w:t>
            </w:r>
          </w:p>
        </w:tc>
        <w:tc>
          <w:tcPr>
            <w:tcW w:w="1301"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316-030-36</w:t>
            </w:r>
          </w:p>
        </w:tc>
        <w:tc>
          <w:tcPr>
            <w:tcW w:w="1541" w:type="dxa"/>
            <w:gridSpan w:val="2"/>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rPr>
              <w:t>保温材料（石棉）</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12</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HW08</w:t>
            </w:r>
          </w:p>
        </w:tc>
        <w:tc>
          <w:tcPr>
            <w:tcW w:w="1301"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900-210-08</w:t>
            </w:r>
          </w:p>
        </w:tc>
        <w:tc>
          <w:tcPr>
            <w:tcW w:w="1541" w:type="dxa"/>
            <w:gridSpan w:val="2"/>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eastAsia="zh-CN"/>
              </w:rPr>
              <w:t>含油滤渣</w:t>
            </w:r>
          </w:p>
        </w:tc>
        <w:tc>
          <w:tcPr>
            <w:tcW w:w="1488"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1</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424"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913"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HW49</w:t>
            </w:r>
          </w:p>
        </w:tc>
        <w:tc>
          <w:tcPr>
            <w:tcW w:w="1304" w:type="dxa"/>
            <w:gridSpan w:val="2"/>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900-041-49</w:t>
            </w:r>
          </w:p>
        </w:tc>
        <w:tc>
          <w:tcPr>
            <w:tcW w:w="153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废油漆桶</w:t>
            </w:r>
          </w:p>
        </w:tc>
        <w:tc>
          <w:tcPr>
            <w:tcW w:w="1488" w:type="dxa"/>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both"/>
              <w:textAlignment w:val="baseline"/>
              <w:rPr>
                <w:rFonts w:hint="default" w:ascii="宋体" w:hAnsi="宋体" w:eastAsia="宋体" w:cs="宋体"/>
                <w:sz w:val="28"/>
                <w:szCs w:val="28"/>
                <w:lang w:val="en-US" w:eastAsia="zh-CN"/>
              </w:rPr>
            </w:pPr>
            <w:r>
              <w:rPr>
                <w:rFonts w:hint="eastAsia" w:ascii="宋体" w:hAnsi="宋体" w:eastAsia="宋体" w:cs="宋体"/>
                <w:spacing w:val="10"/>
                <w:kern w:val="2"/>
                <w:sz w:val="28"/>
                <w:szCs w:val="28"/>
                <w:lang w:val="en-US" w:eastAsia="zh-CN" w:bidi="ar-SA"/>
              </w:rPr>
              <w:t>1</w:t>
            </w:r>
          </w:p>
        </w:tc>
        <w:tc>
          <w:tcPr>
            <w:tcW w:w="1558"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jc w:val="both"/>
              <w:textAlignment w:val="baseline"/>
              <w:rPr>
                <w:rFonts w:hint="default" w:ascii="宋体" w:hAnsi="宋体" w:eastAsia="宋体" w:cs="宋体"/>
                <w:sz w:val="28"/>
                <w:szCs w:val="28"/>
                <w:lang w:val="en-US" w:eastAsia="zh-CN"/>
              </w:rPr>
            </w:pPr>
          </w:p>
        </w:tc>
        <w:tc>
          <w:tcPr>
            <w:tcW w:w="1251"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jc w:val="both"/>
              <w:textAlignment w:val="baseline"/>
              <w:rPr>
                <w:rFonts w:hint="default" w:ascii="宋体" w:hAnsi="宋体" w:eastAsia="宋体" w:cs="宋体"/>
                <w:sz w:val="28"/>
                <w:szCs w:val="28"/>
                <w:lang w:val="en-US" w:eastAsia="zh-CN"/>
              </w:rPr>
            </w:pPr>
          </w:p>
        </w:tc>
        <w:tc>
          <w:tcPr>
            <w:tcW w:w="959" w:type="dxa"/>
            <w:vAlign w:val="center"/>
          </w:tcPr>
          <w:p>
            <w:pPr>
              <w:pStyle w:val="41"/>
              <w:keepNext w:val="0"/>
              <w:keepLines w:val="0"/>
              <w:suppressLineNumbers w:val="0"/>
              <w:shd w:val="clear" w:color="auto" w:fill="auto"/>
              <w:adjustRightInd w:val="0"/>
              <w:spacing w:before="0" w:beforeAutospacing="0" w:after="0" w:afterAutospacing="0" w:line="360" w:lineRule="exact"/>
              <w:ind w:left="0" w:right="0"/>
              <w:jc w:val="both"/>
              <w:textAlignment w:val="baseline"/>
              <w:rPr>
                <w:rFonts w:hint="default"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pacing w:val="10"/>
                <w:kern w:val="2"/>
                <w:sz w:val="28"/>
                <w:szCs w:val="28"/>
                <w:lang w:val="en-US" w:eastAsia="zh-CN" w:bidi="ar-SA"/>
              </w:rPr>
            </w:pPr>
            <w:r>
              <w:rPr>
                <w:rFonts w:hint="eastAsia" w:ascii="宋体" w:hAnsi="宋体" w:eastAsia="宋体" w:cs="宋体"/>
                <w:spacing w:val="10"/>
                <w:kern w:val="2"/>
                <w:sz w:val="28"/>
                <w:szCs w:val="28"/>
                <w:lang w:val="en-US" w:eastAsia="zh-CN" w:bidi="ar-SA"/>
              </w:rPr>
              <w:t>7</w:t>
            </w:r>
          </w:p>
        </w:tc>
        <w:tc>
          <w:tcPr>
            <w:tcW w:w="913" w:type="dxa"/>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合计</w:t>
            </w:r>
          </w:p>
        </w:tc>
        <w:tc>
          <w:tcPr>
            <w:tcW w:w="8098" w:type="dxa"/>
            <w:gridSpan w:val="7"/>
            <w:shd w:val="clear" w:color="auto" w:fill="auto"/>
            <w:vAlign w:val="center"/>
          </w:tcPr>
          <w:p>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3000" w:firstLineChars="1000"/>
              <w:jc w:val="both"/>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大写：</w:t>
            </w:r>
          </w:p>
        </w:tc>
      </w:tr>
    </w:tbl>
    <w:p>
      <w:pPr>
        <w:numPr>
          <w:ilvl w:val="0"/>
          <w:numId w:val="0"/>
        </w:numPr>
        <w:spacing w:line="480" w:lineRule="exact"/>
        <w:ind w:left="428" w:leftChars="0"/>
        <w:rPr>
          <w:rFonts w:hint="eastAsia" w:ascii="宋体" w:hAnsi="宋体" w:eastAsia="宋体" w:cs="宋体"/>
          <w:sz w:val="28"/>
          <w:szCs w:val="28"/>
        </w:rPr>
      </w:pPr>
    </w:p>
    <w:p>
      <w:pPr>
        <w:pStyle w:val="2"/>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15日内</w:t>
      </w:r>
      <w:r>
        <w:rPr>
          <w:rFonts w:hint="eastAsia" w:ascii="宋体" w:hAnsi="宋体"/>
          <w:sz w:val="28"/>
          <w:szCs w:val="28"/>
        </w:rPr>
        <w:t>结清</w:t>
      </w:r>
      <w:r>
        <w:rPr>
          <w:rFonts w:hint="eastAsia" w:ascii="宋体" w:hAnsi="宋体"/>
          <w:sz w:val="28"/>
          <w:szCs w:val="28"/>
          <w:lang w:val="en-US" w:eastAsia="zh-CN"/>
        </w:rPr>
        <w:t>费用</w:t>
      </w:r>
      <w:r>
        <w:rPr>
          <w:rFonts w:hint="eastAsia" w:ascii="宋体" w:hAnsi="宋体"/>
          <w:sz w:val="28"/>
          <w:szCs w:val="28"/>
        </w:rPr>
        <w:t>。</w:t>
      </w:r>
    </w:p>
    <w:p>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pPr>
        <w:spacing w:line="540" w:lineRule="exact"/>
        <w:ind w:firstLine="274" w:firstLineChars="98"/>
        <w:rPr>
          <w:rFonts w:hint="eastAsia" w:asciiTheme="minorEastAsia" w:hAnsiTheme="minorEastAsia" w:eastAsiaTheme="minorEastAsia"/>
          <w:sz w:val="28"/>
          <w:szCs w:val="28"/>
          <w:lang w:val="zh-CN"/>
        </w:r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20509000000000000"/>
    <w:charset w:val="88"/>
    <w:family w:val="modern"/>
    <w:pitch w:val="default"/>
    <w:sig w:usb0="00000000" w:usb1="00000000" w:usb2="00000016" w:usb3="00000000" w:csb0="0010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23094A"/>
    <w:multiLevelType w:val="multilevel"/>
    <w:tmpl w:val="2B23094A"/>
    <w:lvl w:ilvl="0" w:tentative="0">
      <w:start w:val="1"/>
      <w:numFmt w:val="japaneseCounting"/>
      <w:lvlText w:val="第%1条"/>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9D10A9E"/>
    <w:multiLevelType w:val="singleLevel"/>
    <w:tmpl w:val="39D10A9E"/>
    <w:lvl w:ilvl="0" w:tentative="0">
      <w:start w:val="7"/>
      <w:numFmt w:val="chineseCounting"/>
      <w:suff w:val="space"/>
      <w:lvlText w:val="第%1条"/>
      <w:lvlJc w:val="left"/>
      <w:rPr>
        <w:rFonts w:hint="eastAsia"/>
      </w:rPr>
    </w:lvl>
  </w:abstractNum>
  <w:abstractNum w:abstractNumId="2">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zc0YWExNjQxYzk5N2Q0OTA1YzllMjIyODBhMjk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D7B12"/>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52BEA"/>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35D62ED"/>
    <w:rsid w:val="05250232"/>
    <w:rsid w:val="063C5A14"/>
    <w:rsid w:val="077B78D4"/>
    <w:rsid w:val="07987184"/>
    <w:rsid w:val="07CA2E31"/>
    <w:rsid w:val="07E21FBD"/>
    <w:rsid w:val="08D71D8F"/>
    <w:rsid w:val="08FE521C"/>
    <w:rsid w:val="091E4B91"/>
    <w:rsid w:val="092B70BB"/>
    <w:rsid w:val="09563EF1"/>
    <w:rsid w:val="096F29A7"/>
    <w:rsid w:val="0A001C9D"/>
    <w:rsid w:val="0A046274"/>
    <w:rsid w:val="0A1D1865"/>
    <w:rsid w:val="0A557246"/>
    <w:rsid w:val="0C5105F8"/>
    <w:rsid w:val="0C634BD8"/>
    <w:rsid w:val="0C9F5F62"/>
    <w:rsid w:val="0CC55A09"/>
    <w:rsid w:val="0CD45209"/>
    <w:rsid w:val="0D3B3F1D"/>
    <w:rsid w:val="0E377879"/>
    <w:rsid w:val="0E6927F1"/>
    <w:rsid w:val="0E9C4D62"/>
    <w:rsid w:val="0EAF1387"/>
    <w:rsid w:val="0F3E42FB"/>
    <w:rsid w:val="110123EC"/>
    <w:rsid w:val="110A07EC"/>
    <w:rsid w:val="111E393A"/>
    <w:rsid w:val="11323F04"/>
    <w:rsid w:val="11592BC4"/>
    <w:rsid w:val="115C1106"/>
    <w:rsid w:val="124D485B"/>
    <w:rsid w:val="12D30873"/>
    <w:rsid w:val="13F137BB"/>
    <w:rsid w:val="14065285"/>
    <w:rsid w:val="14723D60"/>
    <w:rsid w:val="150177FB"/>
    <w:rsid w:val="15145780"/>
    <w:rsid w:val="152B4878"/>
    <w:rsid w:val="1539366D"/>
    <w:rsid w:val="158242C4"/>
    <w:rsid w:val="15923183"/>
    <w:rsid w:val="170209AC"/>
    <w:rsid w:val="176026E9"/>
    <w:rsid w:val="17AC24D6"/>
    <w:rsid w:val="17D0041E"/>
    <w:rsid w:val="185D717A"/>
    <w:rsid w:val="189C1D14"/>
    <w:rsid w:val="19C277FB"/>
    <w:rsid w:val="19E26593"/>
    <w:rsid w:val="1A4B1392"/>
    <w:rsid w:val="1A5443FE"/>
    <w:rsid w:val="1AA0419C"/>
    <w:rsid w:val="1AC31C4A"/>
    <w:rsid w:val="1ACB068F"/>
    <w:rsid w:val="1BA66BB0"/>
    <w:rsid w:val="1BB01485"/>
    <w:rsid w:val="1BC21D75"/>
    <w:rsid w:val="1BDE6581"/>
    <w:rsid w:val="1C9F4F32"/>
    <w:rsid w:val="1CB501CE"/>
    <w:rsid w:val="1D0E3EBE"/>
    <w:rsid w:val="1D7A3DCD"/>
    <w:rsid w:val="1DC079EB"/>
    <w:rsid w:val="1EB10461"/>
    <w:rsid w:val="1F79249D"/>
    <w:rsid w:val="1F7E6B12"/>
    <w:rsid w:val="20555135"/>
    <w:rsid w:val="20982747"/>
    <w:rsid w:val="212958D0"/>
    <w:rsid w:val="21402A14"/>
    <w:rsid w:val="227D5433"/>
    <w:rsid w:val="22B7545D"/>
    <w:rsid w:val="22BC513A"/>
    <w:rsid w:val="22E70030"/>
    <w:rsid w:val="23FF15A7"/>
    <w:rsid w:val="24227AC4"/>
    <w:rsid w:val="24727DCD"/>
    <w:rsid w:val="24A165CB"/>
    <w:rsid w:val="24D6147A"/>
    <w:rsid w:val="251229B4"/>
    <w:rsid w:val="2552591F"/>
    <w:rsid w:val="26121FF2"/>
    <w:rsid w:val="2661284D"/>
    <w:rsid w:val="27B91ECD"/>
    <w:rsid w:val="288203D0"/>
    <w:rsid w:val="288E1742"/>
    <w:rsid w:val="2904734B"/>
    <w:rsid w:val="29564161"/>
    <w:rsid w:val="29F32ED7"/>
    <w:rsid w:val="2A156F80"/>
    <w:rsid w:val="2A4434D0"/>
    <w:rsid w:val="2ABE4E1D"/>
    <w:rsid w:val="2C1A2780"/>
    <w:rsid w:val="2C6923FD"/>
    <w:rsid w:val="2C774837"/>
    <w:rsid w:val="2D072546"/>
    <w:rsid w:val="2D2F7E73"/>
    <w:rsid w:val="2E5A25BB"/>
    <w:rsid w:val="2E79424B"/>
    <w:rsid w:val="2E7D4C62"/>
    <w:rsid w:val="2F6503BE"/>
    <w:rsid w:val="2FE364EA"/>
    <w:rsid w:val="31723C4D"/>
    <w:rsid w:val="31C1166C"/>
    <w:rsid w:val="321626E0"/>
    <w:rsid w:val="328059D0"/>
    <w:rsid w:val="32946B1A"/>
    <w:rsid w:val="32C1403B"/>
    <w:rsid w:val="33275F63"/>
    <w:rsid w:val="33E211B1"/>
    <w:rsid w:val="358332CD"/>
    <w:rsid w:val="359456BA"/>
    <w:rsid w:val="367F230F"/>
    <w:rsid w:val="37300E43"/>
    <w:rsid w:val="3769786B"/>
    <w:rsid w:val="37D64B9C"/>
    <w:rsid w:val="381E37F9"/>
    <w:rsid w:val="39E10FBF"/>
    <w:rsid w:val="39F50F16"/>
    <w:rsid w:val="3B385610"/>
    <w:rsid w:val="3B7D6C16"/>
    <w:rsid w:val="3C7624CD"/>
    <w:rsid w:val="3C763EB8"/>
    <w:rsid w:val="3C830F6D"/>
    <w:rsid w:val="3E6B0B20"/>
    <w:rsid w:val="3E817E31"/>
    <w:rsid w:val="3EFB7761"/>
    <w:rsid w:val="3F4F38AB"/>
    <w:rsid w:val="3F506E39"/>
    <w:rsid w:val="3F582E6A"/>
    <w:rsid w:val="400A3632"/>
    <w:rsid w:val="40A37703"/>
    <w:rsid w:val="415A03BF"/>
    <w:rsid w:val="415A0FC6"/>
    <w:rsid w:val="415A73C9"/>
    <w:rsid w:val="41743CC1"/>
    <w:rsid w:val="41CA1767"/>
    <w:rsid w:val="43B6398B"/>
    <w:rsid w:val="43EA2D29"/>
    <w:rsid w:val="44115403"/>
    <w:rsid w:val="44621FFA"/>
    <w:rsid w:val="461B162C"/>
    <w:rsid w:val="4790599B"/>
    <w:rsid w:val="47C16692"/>
    <w:rsid w:val="48842CFB"/>
    <w:rsid w:val="488B5B56"/>
    <w:rsid w:val="4904684F"/>
    <w:rsid w:val="494C7FCB"/>
    <w:rsid w:val="49D33CD8"/>
    <w:rsid w:val="4C03387D"/>
    <w:rsid w:val="4C325550"/>
    <w:rsid w:val="4C5B2AFF"/>
    <w:rsid w:val="4D1960B7"/>
    <w:rsid w:val="4DAE2CED"/>
    <w:rsid w:val="4E0D02DA"/>
    <w:rsid w:val="4E676A14"/>
    <w:rsid w:val="4EA975DE"/>
    <w:rsid w:val="4F246130"/>
    <w:rsid w:val="4F837218"/>
    <w:rsid w:val="4FF17C99"/>
    <w:rsid w:val="50CA7C23"/>
    <w:rsid w:val="50E654BF"/>
    <w:rsid w:val="52010237"/>
    <w:rsid w:val="52795ABF"/>
    <w:rsid w:val="52D36688"/>
    <w:rsid w:val="53353674"/>
    <w:rsid w:val="538C361F"/>
    <w:rsid w:val="53BB5D38"/>
    <w:rsid w:val="548145ED"/>
    <w:rsid w:val="552C52CA"/>
    <w:rsid w:val="55AA50C4"/>
    <w:rsid w:val="55B4135F"/>
    <w:rsid w:val="55E85D30"/>
    <w:rsid w:val="560B1CAC"/>
    <w:rsid w:val="563D5D39"/>
    <w:rsid w:val="56797875"/>
    <w:rsid w:val="571F46BA"/>
    <w:rsid w:val="582F4FA6"/>
    <w:rsid w:val="583F36B8"/>
    <w:rsid w:val="58EE7C08"/>
    <w:rsid w:val="593B6529"/>
    <w:rsid w:val="59525DE4"/>
    <w:rsid w:val="596A747F"/>
    <w:rsid w:val="5A861940"/>
    <w:rsid w:val="5BA84B60"/>
    <w:rsid w:val="5BA939FE"/>
    <w:rsid w:val="5C1B42CB"/>
    <w:rsid w:val="5D892572"/>
    <w:rsid w:val="5E8E0B7D"/>
    <w:rsid w:val="5FFB256E"/>
    <w:rsid w:val="600D37D4"/>
    <w:rsid w:val="608523A4"/>
    <w:rsid w:val="60FF2AA9"/>
    <w:rsid w:val="61291215"/>
    <w:rsid w:val="61AA5F76"/>
    <w:rsid w:val="629E3F6A"/>
    <w:rsid w:val="62D129BE"/>
    <w:rsid w:val="62F0573E"/>
    <w:rsid w:val="63073D05"/>
    <w:rsid w:val="63623A3E"/>
    <w:rsid w:val="637D216D"/>
    <w:rsid w:val="644F535A"/>
    <w:rsid w:val="64744EC0"/>
    <w:rsid w:val="649966D5"/>
    <w:rsid w:val="65375DB8"/>
    <w:rsid w:val="655410DA"/>
    <w:rsid w:val="65947435"/>
    <w:rsid w:val="65B7650F"/>
    <w:rsid w:val="661573C0"/>
    <w:rsid w:val="66A24322"/>
    <w:rsid w:val="69276C94"/>
    <w:rsid w:val="6AA03291"/>
    <w:rsid w:val="6AC412B9"/>
    <w:rsid w:val="6AF17C50"/>
    <w:rsid w:val="6C311855"/>
    <w:rsid w:val="6C9A70FA"/>
    <w:rsid w:val="6C9C1952"/>
    <w:rsid w:val="6CAC0E82"/>
    <w:rsid w:val="6CDE261A"/>
    <w:rsid w:val="6CF33C64"/>
    <w:rsid w:val="6E2D66B8"/>
    <w:rsid w:val="6F0A08FB"/>
    <w:rsid w:val="6F490CF7"/>
    <w:rsid w:val="6FAD7DFA"/>
    <w:rsid w:val="6FCE4D61"/>
    <w:rsid w:val="6FE24491"/>
    <w:rsid w:val="705931BC"/>
    <w:rsid w:val="705F270B"/>
    <w:rsid w:val="70B60DD1"/>
    <w:rsid w:val="70F215B8"/>
    <w:rsid w:val="72392BD7"/>
    <w:rsid w:val="732E4FC5"/>
    <w:rsid w:val="73A13128"/>
    <w:rsid w:val="74014590"/>
    <w:rsid w:val="74701B57"/>
    <w:rsid w:val="750139B7"/>
    <w:rsid w:val="75BD7F3E"/>
    <w:rsid w:val="75D532E5"/>
    <w:rsid w:val="769237AF"/>
    <w:rsid w:val="76D1781A"/>
    <w:rsid w:val="76DB438D"/>
    <w:rsid w:val="76E0183B"/>
    <w:rsid w:val="77162EED"/>
    <w:rsid w:val="77ED68D1"/>
    <w:rsid w:val="7827151F"/>
    <w:rsid w:val="782A67A1"/>
    <w:rsid w:val="79805769"/>
    <w:rsid w:val="7B565408"/>
    <w:rsid w:val="7BE81EEB"/>
    <w:rsid w:val="7C156BF6"/>
    <w:rsid w:val="7C8B2820"/>
    <w:rsid w:val="7CF16265"/>
    <w:rsid w:val="7DD2120E"/>
    <w:rsid w:val="7DE62533"/>
    <w:rsid w:val="7DFA17E2"/>
    <w:rsid w:val="7E5B78A0"/>
    <w:rsid w:val="7EDB6BBE"/>
    <w:rsid w:val="7F1A654A"/>
    <w:rsid w:val="7F844204"/>
    <w:rsid w:val="7F9D66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 w:type="paragraph" w:customStyle="1" w:styleId="41">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4880</Words>
  <Characters>5359</Characters>
  <Lines>64</Lines>
  <Paragraphs>18</Paragraphs>
  <TotalTime>28</TotalTime>
  <ScaleCrop>false</ScaleCrop>
  <LinksUpToDate>false</LinksUpToDate>
  <CharactersWithSpaces>6138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余华</cp:lastModifiedBy>
  <cp:lastPrinted>2023-02-01T05:27:00Z</cp:lastPrinted>
  <dcterms:modified xsi:type="dcterms:W3CDTF">2025-03-11T03:06:04Z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70F0FF13A7E341B294D8E817A8D7EC68_13</vt:lpwstr>
  </property>
  <property fmtid="{D5CDD505-2E9C-101B-9397-08002B2CF9AE}" pid="4" name="KSOTemplateDocerSaveRecord">
    <vt:lpwstr>eyJoZGlkIjoiNzYxYmRkYTIxNjMzOWNmMGRiMWM1YmYzMTAyMGQ2MmEiLCJ1c2VySWQiOiI1NDM3MjMyMTIifQ==</vt:lpwstr>
  </property>
</Properties>
</file>