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 w:firstLine="1066"/>
        <w:jc w:val="both"/>
      </w:pPr>
      <w:r>
        <w:rPr>
          <w:rFonts w:ascii="仿宋_GB2312" w:eastAsia="仿宋_GB2312" w:cs="仿宋_GB2312"/>
          <w:b/>
          <w:bCs/>
          <w:color w:val="000000"/>
          <w:sz w:val="36"/>
          <w:szCs w:val="36"/>
        </w:rPr>
        <w:t>202</w:t>
      </w:r>
      <w:r>
        <w:rPr>
          <w:rFonts w:hint="default" w:ascii="仿宋_GB2312" w:eastAsia="仿宋_GB2312" w:cs="仿宋_GB2312"/>
          <w:b/>
          <w:bCs/>
          <w:color w:val="000000"/>
          <w:sz w:val="36"/>
          <w:szCs w:val="36"/>
        </w:rPr>
        <w:t>5年废编织袋处置年度比价邀请书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我公司是生产光学玻璃的企业，每年化工原材料（不含危化品）包装产生的废编织袋约有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6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吨左右需要处置，特面向社会诚招合作伙伴，凡有意向购买的公司或个体工商户，欢迎来我公司看货并报价。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凡参加本次年度比价的公司或个体工商户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 (需持有再生资源回收营业执照）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，报价最高者获得2025年度购买权，并与我公司签订2025年度废编织袋收购合同。为保证合同的有效执行，在签订合同时，需向我公司缴纳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五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仟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元保证金，合同生效完成后，5个工作日内退还保证金。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获得购买权的公司或个体工商户，签署《一般固体废物运输、利用、处置承诺书》，遵守我公司管理规定。由于废编织袋数量产生的不确定性，公司将提前3天通知合作伙伴，原则上合作公司或个体工商户应及时前来处理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凡有意愿的公司或个体工商户，请将该邀请书打印下来、填上价格并加盖公章(骑缝章）密封后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(附：再生资源回收类营业执照复印件）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，于202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5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年2月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14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日16:00前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(邮寄）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交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成都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奥格光学玻璃有限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公司 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财务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 xml:space="preserve">部 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徐先生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收（地址、电话：成都市龙泉驿区成龙大道三段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530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号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13540427496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）。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62"/>
        <w:jc w:val="both"/>
      </w:pPr>
      <w:r>
        <w:rPr>
          <w:rFonts w:hint="default" w:ascii="仿宋_GB2312" w:eastAsia="仿宋_GB2312" w:cs="仿宋_GB2312"/>
          <w:b/>
          <w:bCs/>
          <w:color w:val="0070C0"/>
          <w:sz w:val="28"/>
          <w:szCs w:val="28"/>
        </w:rPr>
        <w:t>本公告在成都光明官网（http://www.cdgmgd.com）发布。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联系人：王先生  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18628386339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收购地址：成都光明光电公司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C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区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 收购金额：          元/吨（装车、运输由买方自行负责）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收购单位或个体工商户：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联系人和电话：              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420"/>
        <w:jc w:val="both"/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                             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成都</w:t>
      </w:r>
      <w:r>
        <w:rPr>
          <w:rFonts w:hint="eastAsia" w:asci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奥格光学玻璃有限</w:t>
      </w:r>
      <w:r>
        <w:rPr>
          <w:rFonts w:hint="default" w:ascii="仿宋_GB2312" w:eastAsia="仿宋_GB2312" w:cs="仿宋_GB2312"/>
          <w:b/>
          <w:bCs/>
          <w:color w:val="000000"/>
          <w:sz w:val="28"/>
          <w:szCs w:val="28"/>
        </w:rPr>
        <w:t>公司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 xml:space="preserve">    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2380"/>
        <w:jc w:val="both"/>
        <w:rPr>
          <w:rFonts w:hint="eastAsia" w:eastAsia="仿宋_GB2312"/>
          <w:lang w:eastAsia="zh-CN"/>
        </w:rPr>
      </w:pPr>
      <w:r>
        <w:rPr>
          <w:rFonts w:hint="default" w:ascii="仿宋_GB2312" w:eastAsia="仿宋_GB2312" w:cs="仿宋_GB2312"/>
          <w:color w:val="000000"/>
          <w:sz w:val="28"/>
          <w:szCs w:val="28"/>
        </w:rPr>
        <w:t>                        202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5</w:t>
      </w:r>
      <w:r>
        <w:rPr>
          <w:rFonts w:hint="default" w:ascii="仿宋_GB2312" w:eastAsia="仿宋_GB2312" w:cs="仿宋_GB2312"/>
          <w:color w:val="000000"/>
          <w:sz w:val="28"/>
          <w:szCs w:val="28"/>
        </w:rPr>
        <w:t>-2-</w:t>
      </w:r>
      <w:r>
        <w:rPr>
          <w:rFonts w:hint="eastAsia" w:ascii="仿宋_GB2312" w:eastAsia="仿宋_GB2312" w:cs="仿宋_GB2312"/>
          <w:color w:val="000000"/>
          <w:sz w:val="28"/>
          <w:szCs w:val="28"/>
          <w:lang w:val="en-US" w:eastAsia="zh-CN"/>
        </w:rPr>
        <w:t>6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C112D73"/>
    <w:rsid w:val="348A6249"/>
    <w:rsid w:val="382C7B34"/>
    <w:rsid w:val="52BB3BC8"/>
    <w:rsid w:val="58D4514B"/>
    <w:rsid w:val="6E0F34DD"/>
    <w:rsid w:val="7199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2025-02-06T02:33:05Z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B851F44361DE4D2ABA33147415151BA2</vt:lpwstr>
  </property>
</Properties>
</file>