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20%氨溶液采购</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lang w:val="en-US" w:eastAsia="zh-CN"/>
        </w:rPr>
        <w:t>报价文件</w:t>
      </w:r>
      <w:r>
        <w:rPr>
          <w:rFonts w:ascii="宋体" w:hAnsi="宋体"/>
          <w:sz w:val="28"/>
        </w:rPr>
        <w:t xml:space="preserve">  </w:t>
      </w:r>
      <w:r>
        <w:rPr>
          <w:rFonts w:hint="eastAsia" w:asci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w:t>
      </w:r>
      <w:r>
        <w:rPr>
          <w:rFonts w:hint="eastAsia" w:ascii="仿宋_GB2312" w:eastAsia="仿宋_GB2312"/>
          <w:sz w:val="24"/>
          <w:u w:val="single"/>
          <w:lang w:val="en-US" w:eastAsia="zh-CN"/>
        </w:rPr>
        <w:t>20%浓度氨溶液</w:t>
      </w:r>
      <w:r>
        <w:rPr>
          <w:rFonts w:hint="eastAsia" w:ascii="仿宋_GB2312" w:eastAsia="仿宋_GB2312"/>
          <w:sz w:val="24"/>
        </w:rPr>
        <w:t>采购项目组织询价，欢迎合格供应商前来报价。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u w:val="single"/>
          <w:lang w:val="en-US" w:eastAsia="zh-CN"/>
        </w:rPr>
        <w:t>20%浓度氨溶液</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b/>
          <w:sz w:val="24"/>
          <w:u w:val="none"/>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脱硝设备需使用</w:t>
      </w:r>
      <w:r>
        <w:rPr>
          <w:rFonts w:hint="eastAsia" w:ascii="仿宋_GB2312" w:eastAsia="仿宋_GB2312"/>
          <w:sz w:val="24"/>
          <w:u w:val="none"/>
          <w:lang w:val="en-US" w:eastAsia="zh-CN"/>
        </w:rPr>
        <w:t>20%浓度氨溶液，每月使用量约15吨。</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（二）具有与该项目对应的营业范围和相关资质；</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（三）危险化学品经营许可证；</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（四）道路危险货物运输许可证；</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（五）非“三无”供应商。（即具有实缴资本、参保人员、生产经营场所的供应商）；</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11</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4</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11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4</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540" w:lineRule="exact"/>
        <w:ind w:firstLine="720" w:firstLineChars="300"/>
        <w:rPr>
          <w:rFonts w:hint="default" w:ascii="仿宋_GB2312" w:hAnsi="Times New Roman" w:eastAsia="仿宋_GB2312" w:cs="Times New Roman"/>
          <w:bCs/>
          <w:iCs/>
          <w:sz w:val="24"/>
          <w:u w:val="none"/>
          <w:lang w:val="en-US"/>
        </w:rPr>
      </w:pPr>
      <w:r>
        <w:rPr>
          <w:rFonts w:hint="eastAsia" w:ascii="仿宋_GB2312" w:eastAsia="仿宋_GB2312"/>
          <w:bCs/>
          <w:iCs/>
          <w:sz w:val="24"/>
          <w:u w:val="none"/>
          <w:lang w:val="en-US" w:eastAsia="zh-CN"/>
        </w:rPr>
        <w:t>技术咨询</w:t>
      </w:r>
      <w:r>
        <w:rPr>
          <w:rFonts w:hint="eastAsia" w:ascii="仿宋_GB2312" w:eastAsia="仿宋_GB2312"/>
          <w:bCs/>
          <w:iCs/>
          <w:sz w:val="24"/>
          <w:u w:val="none"/>
        </w:rPr>
        <w:t>人：</w:t>
      </w:r>
      <w:r>
        <w:rPr>
          <w:rFonts w:ascii="仿宋_GB2312" w:eastAsia="仿宋_GB2312"/>
          <w:bCs/>
          <w:iCs/>
          <w:sz w:val="24"/>
          <w:u w:val="none"/>
        </w:rPr>
        <w:t xml:space="preserve"> </w:t>
      </w:r>
      <w:r>
        <w:rPr>
          <w:rFonts w:hint="eastAsia" w:ascii="仿宋_GB2312" w:eastAsia="仿宋_GB2312"/>
          <w:bCs/>
          <w:iCs/>
          <w:sz w:val="24"/>
          <w:u w:val="none"/>
          <w:lang w:val="en-US" w:eastAsia="zh-CN"/>
        </w:rPr>
        <w:t>周女士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hAnsi="Times New Roman" w:eastAsia="仿宋_GB2312" w:cs="Times New Roman"/>
          <w:bCs/>
          <w:iCs/>
          <w:sz w:val="24"/>
          <w:u w:val="none"/>
          <w:lang w:val="en-US" w:eastAsia="zh-CN"/>
        </w:rPr>
        <w:t>13666117647</w:t>
      </w:r>
    </w:p>
    <w:p>
      <w:pPr>
        <w:spacing w:line="540" w:lineRule="exact"/>
        <w:ind w:firstLine="720" w:firstLineChars="300"/>
        <w:rPr>
          <w:rFonts w:hint="default" w:ascii="仿宋_GB2312" w:hAnsi="Times New Roman" w:eastAsia="仿宋_GB2312" w:cs="Times New Roman"/>
          <w:bCs/>
          <w:iCs/>
          <w:sz w:val="24"/>
          <w:u w:val="none"/>
          <w:lang w:val="en-US" w:eastAsia="zh-CN"/>
        </w:rPr>
      </w:pPr>
      <w:r>
        <w:rPr>
          <w:rFonts w:hint="eastAsia" w:ascii="仿宋_GB2312" w:eastAsia="仿宋_GB2312"/>
          <w:bCs/>
          <w:iCs/>
          <w:sz w:val="24"/>
          <w:u w:val="none"/>
          <w:lang w:val="en-US" w:eastAsia="zh-CN"/>
        </w:rPr>
        <w:t>技术咨询人： 王先生       联系电话：</w:t>
      </w:r>
      <w:r>
        <w:rPr>
          <w:rFonts w:hint="eastAsia" w:ascii="仿宋_GB2312" w:hAnsi="Times New Roman" w:eastAsia="仿宋_GB2312" w:cs="Times New Roman"/>
          <w:bCs/>
          <w:iCs/>
          <w:sz w:val="24"/>
          <w:u w:val="none"/>
          <w:lang w:val="en-US" w:eastAsia="zh-CN"/>
        </w:rPr>
        <w:t>13980845693</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余女士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王先生</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13980845693</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20%</w:t>
            </w:r>
            <w:r>
              <w:rPr>
                <w:rFonts w:hint="eastAsia" w:ascii="仿宋_GB2312" w:eastAsia="仿宋_GB2312"/>
                <w:sz w:val="24"/>
                <w:u w:val="single"/>
                <w:lang w:val="en-US" w:eastAsia="zh-CN"/>
              </w:rPr>
              <w:t>浓度氨溶液</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cs="Times New Roman"/>
                <w:szCs w:val="21"/>
              </w:rPr>
            </w:pPr>
            <w:r>
              <w:rPr>
                <w:rFonts w:hint="eastAsia" w:ascii="楷体_GB2312" w:hAnsi="宋体" w:eastAsia="楷体_GB2312" w:cs="Times New Roman"/>
                <w:szCs w:val="21"/>
              </w:rPr>
              <w:t>资质条件：</w:t>
            </w:r>
          </w:p>
          <w:p>
            <w:pPr>
              <w:autoSpaceDE w:val="0"/>
              <w:autoSpaceDN w:val="0"/>
              <w:adjustRightInd w:val="0"/>
              <w:spacing w:line="460" w:lineRule="exact"/>
              <w:rPr>
                <w:rFonts w:hint="eastAsia" w:ascii="楷体_GB2312" w:hAnsi="宋体" w:eastAsia="楷体_GB2312" w:cs="Times New Roman"/>
                <w:szCs w:val="21"/>
                <w:lang w:val="en-US" w:eastAsia="zh-CN"/>
              </w:rPr>
            </w:pPr>
            <w:r>
              <w:rPr>
                <w:rFonts w:hint="eastAsia" w:ascii="楷体_GB2312" w:hAnsi="宋体" w:eastAsia="楷体_GB2312" w:cs="Times New Roman"/>
                <w:szCs w:val="21"/>
                <w:lang w:eastAsia="zh-CN"/>
              </w:rPr>
              <w:t>（</w:t>
            </w:r>
            <w:r>
              <w:rPr>
                <w:rFonts w:hint="eastAsia" w:ascii="楷体_GB2312" w:hAnsi="宋体" w:eastAsia="楷体_GB2312" w:cs="Times New Roman"/>
                <w:szCs w:val="21"/>
                <w:lang w:val="en-US" w:eastAsia="zh-CN"/>
              </w:rPr>
              <w:t>一）供应商须是具有独立承担民事责任的法人或其他经济组织。</w:t>
            </w:r>
          </w:p>
          <w:p>
            <w:pPr>
              <w:autoSpaceDE w:val="0"/>
              <w:autoSpaceDN w:val="0"/>
              <w:adjustRightInd w:val="0"/>
              <w:spacing w:line="460" w:lineRule="exact"/>
              <w:rPr>
                <w:rFonts w:hint="eastAsia" w:ascii="楷体_GB2312" w:hAnsi="宋体" w:eastAsia="楷体_GB2312" w:cs="Times New Roman"/>
                <w:szCs w:val="21"/>
                <w:lang w:val="en-US" w:eastAsia="zh-CN"/>
              </w:rPr>
            </w:pPr>
            <w:r>
              <w:rPr>
                <w:rFonts w:hint="eastAsia" w:ascii="楷体_GB2312" w:hAnsi="宋体" w:eastAsia="楷体_GB2312" w:cs="Times New Roman"/>
                <w:szCs w:val="21"/>
                <w:lang w:val="en-US" w:eastAsia="zh-CN"/>
              </w:rPr>
              <w:t>（二）具有与该项目对应的营业范围和相关资质；</w:t>
            </w:r>
          </w:p>
          <w:p>
            <w:pPr>
              <w:autoSpaceDE w:val="0"/>
              <w:autoSpaceDN w:val="0"/>
              <w:adjustRightInd w:val="0"/>
              <w:spacing w:line="460" w:lineRule="exact"/>
              <w:rPr>
                <w:rFonts w:hint="eastAsia" w:ascii="楷体_GB2312" w:hAnsi="宋体" w:eastAsia="楷体_GB2312" w:cs="Times New Roman"/>
                <w:szCs w:val="21"/>
                <w:lang w:val="en-US" w:eastAsia="zh-CN"/>
              </w:rPr>
            </w:pPr>
            <w:r>
              <w:rPr>
                <w:rFonts w:hint="eastAsia" w:ascii="楷体_GB2312" w:hAnsi="宋体" w:eastAsia="楷体_GB2312" w:cs="Times New Roman"/>
                <w:szCs w:val="21"/>
                <w:lang w:val="en-US" w:eastAsia="zh-CN"/>
              </w:rPr>
              <w:t>（三）危险化学品经营许可证；</w:t>
            </w:r>
          </w:p>
          <w:p>
            <w:pPr>
              <w:autoSpaceDE w:val="0"/>
              <w:autoSpaceDN w:val="0"/>
              <w:adjustRightInd w:val="0"/>
              <w:spacing w:line="460" w:lineRule="exact"/>
              <w:rPr>
                <w:rFonts w:hint="eastAsia" w:ascii="楷体_GB2312" w:hAnsi="宋体" w:eastAsia="楷体_GB2312" w:cs="Times New Roman"/>
                <w:szCs w:val="21"/>
                <w:lang w:val="en-US" w:eastAsia="zh-CN"/>
              </w:rPr>
            </w:pPr>
            <w:r>
              <w:rPr>
                <w:rFonts w:hint="eastAsia" w:ascii="楷体_GB2312" w:hAnsi="宋体" w:eastAsia="楷体_GB2312" w:cs="Times New Roman"/>
                <w:szCs w:val="21"/>
                <w:lang w:val="en-US" w:eastAsia="zh-CN"/>
              </w:rPr>
              <w:t>（四）道路危险货物运输许可证；</w:t>
            </w:r>
          </w:p>
          <w:p>
            <w:pPr>
              <w:autoSpaceDE w:val="0"/>
              <w:autoSpaceDN w:val="0"/>
              <w:adjustRightInd w:val="0"/>
              <w:spacing w:line="460" w:lineRule="exact"/>
              <w:rPr>
                <w:rFonts w:hint="eastAsia" w:ascii="楷体_GB2312" w:hAnsi="宋体" w:eastAsia="楷体_GB2312" w:cs="Times New Roman"/>
                <w:szCs w:val="21"/>
                <w:lang w:val="en-US" w:eastAsia="zh-CN"/>
              </w:rPr>
            </w:pPr>
            <w:r>
              <w:rPr>
                <w:rFonts w:hint="eastAsia" w:ascii="楷体_GB2312" w:hAnsi="宋体" w:eastAsia="楷体_GB2312" w:cs="Times New Roman"/>
                <w:szCs w:val="21"/>
                <w:lang w:val="en-US" w:eastAsia="zh-CN"/>
              </w:rPr>
              <w:t>（五）非“三无”供应商。（即具有实缴资本、参保人员、生产经营场所的供应商）；</w:t>
            </w:r>
          </w:p>
          <w:p>
            <w:pPr>
              <w:autoSpaceDE w:val="0"/>
              <w:autoSpaceDN w:val="0"/>
              <w:adjustRightInd w:val="0"/>
              <w:spacing w:line="460" w:lineRule="exact"/>
              <w:rPr>
                <w:rFonts w:hint="eastAsia" w:ascii="宋体" w:hAnsi="宋体" w:eastAsia="宋体"/>
                <w:color w:val="000000"/>
                <w:szCs w:val="21"/>
                <w:lang w:eastAsia="zh-CN"/>
              </w:rPr>
            </w:pPr>
            <w:r>
              <w:rPr>
                <w:rFonts w:hint="eastAsia" w:ascii="楷体_GB2312" w:hAnsi="宋体" w:eastAsia="楷体_GB2312" w:cs="Times New Roman"/>
                <w:szCs w:val="21"/>
              </w:rPr>
              <w:t>以上信息资料，报价单位</w:t>
            </w:r>
            <w:r>
              <w:rPr>
                <w:rFonts w:hint="eastAsia" w:ascii="楷体_GB2312" w:hAnsi="宋体" w:eastAsia="楷体_GB2312" w:cs="Times New Roman"/>
                <w:szCs w:val="21"/>
                <w:lang w:val="en-US" w:eastAsia="zh-CN"/>
              </w:rPr>
              <w:t>需</w:t>
            </w:r>
            <w:r>
              <w:rPr>
                <w:rFonts w:hint="eastAsia" w:ascii="楷体_GB2312" w:hAnsi="宋体" w:eastAsia="楷体_GB2312" w:cs="Times New Roman"/>
                <w:szCs w:val="21"/>
              </w:rPr>
              <w:t>盖鲜章。提供报价单位自行声明的，采购方保留核验声明真实性权利。</w:t>
            </w: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hAnsi="Times New Roman" w:eastAsia="楷体_GB2312" w:cs="仿宋_GB2312"/>
                <w:color w:val="000000"/>
                <w:kern w:val="0"/>
                <w:sz w:val="24"/>
                <w:szCs w:val="21"/>
                <w:u w:val="single"/>
                <w:lang w:val="en-US" w:eastAsia="zh-CN"/>
              </w:rPr>
              <w:t>20%浓度氨溶液采购</w:t>
            </w:r>
            <w:r>
              <w:rPr>
                <w:rFonts w:hint="eastAsia" w:ascii="楷体_GB2312" w:hAnsi="Times New Roman" w:eastAsia="楷体_GB2312" w:cs="仿宋_GB2312"/>
                <w:color w:val="000000"/>
                <w:kern w:val="0"/>
                <w:sz w:val="24"/>
                <w:szCs w:val="21"/>
                <w:lang w:val="en-US" w:eastAsia="zh-CN"/>
              </w:rPr>
              <w:t>询</w:t>
            </w:r>
            <w:r>
              <w:rPr>
                <w:rFonts w:hint="eastAsia" w:ascii="楷体_GB2312" w:eastAsia="楷体_GB2312" w:cs="仿宋_GB2312"/>
                <w:color w:val="000000"/>
                <w:kern w:val="0"/>
                <w:sz w:val="24"/>
                <w:szCs w:val="21"/>
              </w:rPr>
              <w:t>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按需方要求时间到货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最低评标价</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第一部分  承诺函（附件1）</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第二部分  法定代表人授权委托书（附件2）</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第三部分  报 价 函（附件3）</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第四部分  报价表（附件4）</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 xml:space="preserve">第五部分  </w:t>
      </w: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1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①</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企业营业执照复印件</w:t>
      </w:r>
    </w:p>
    <w:p>
      <w:pPr>
        <w:spacing w:line="480" w:lineRule="exact"/>
        <w:ind w:firstLine="1687"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2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②</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法人身份证复印件</w:t>
      </w:r>
    </w:p>
    <w:p>
      <w:pPr>
        <w:spacing w:line="480" w:lineRule="exact"/>
        <w:ind w:firstLine="1687"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3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③</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授权代表人身份证复印件</w:t>
      </w:r>
    </w:p>
    <w:p>
      <w:pPr>
        <w:spacing w:line="480" w:lineRule="exact"/>
        <w:ind w:firstLine="1687"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④开户资料</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val="en-US" w:eastAsia="zh-CN"/>
        </w:rPr>
        <w:t>第六部分  实缴资本、参保人员、固定经营场所证明</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第七部分  危险化学品经营许可证；</w:t>
      </w:r>
    </w:p>
    <w:p>
      <w:pPr>
        <w:spacing w:line="480" w:lineRule="exact"/>
        <w:ind w:firstLine="482"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第八部分  道路危险货物运输许可证；</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4</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（七）供应商未提供非“三无”证明或经我司复核供应商存在“无实缴资本”、“无参保人员”、“无生产经营场所”等“三无”情形之一的。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540" w:lineRule="exact"/>
        <w:ind w:firstLine="480" w:firstLineChars="200"/>
        <w:rPr>
          <w:rFonts w:hint="eastAsia" w:ascii="仿宋_GB2312" w:hAnsi="Times New Roman" w:eastAsia="仿宋_GB2312" w:cs="Times New Roman"/>
          <w:sz w:val="24"/>
        </w:rPr>
      </w:pPr>
      <w:r>
        <w:rPr>
          <w:rFonts w:hint="eastAsia" w:ascii="仿宋_GB2312" w:eastAsia="仿宋_GB2312"/>
          <w:sz w:val="24"/>
        </w:rPr>
        <w:t>本项目评审方法为</w:t>
      </w:r>
      <w:r>
        <w:rPr>
          <w:rFonts w:hint="eastAsia" w:ascii="仿宋_GB2312" w:hAnsi="Times New Roman" w:eastAsia="仿宋_GB2312" w:cs="Times New Roman"/>
          <w:sz w:val="24"/>
        </w:rPr>
        <w:t>：本项目采用最低价中标评标法评审。</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hAnsi="宋体"/>
          <w:sz w:val="24"/>
          <w:lang w:val="en-US" w:eastAsia="zh-CN"/>
        </w:rPr>
        <w:t>按采购方订单需求时间供货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default" w:eastAsia="宋体"/>
          <w:sz w:val="24"/>
          <w:lang w:val="en-US" w:eastAsia="zh-CN"/>
        </w:rPr>
      </w:pPr>
      <w:r>
        <w:rPr>
          <w:sz w:val="24"/>
        </w:rPr>
        <w:t>2</w:t>
      </w:r>
      <w:r>
        <w:rPr>
          <w:rFonts w:hint="eastAsia"/>
          <w:sz w:val="24"/>
        </w:rPr>
        <w:t>．付款方法和条件</w:t>
      </w:r>
      <w:r>
        <w:rPr>
          <w:rFonts w:hint="eastAsia"/>
          <w:sz w:val="24"/>
          <w:lang w:eastAsia="zh-CN"/>
        </w:rPr>
        <w:t>：</w:t>
      </w:r>
      <w:r>
        <w:rPr>
          <w:rFonts w:hint="eastAsia"/>
          <w:sz w:val="24"/>
          <w:lang w:val="en-US" w:eastAsia="zh-CN"/>
        </w:rPr>
        <w:t>以每月验收合格数量作为结算依据，收到供方开据的全额增值税专用发票后三个月内滚动支付。</w:t>
      </w:r>
    </w:p>
    <w:p>
      <w:pPr>
        <w:spacing w:line="5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 提供的资料：化学品安全技术说明书</w:t>
      </w:r>
    </w:p>
    <w:p>
      <w:pPr>
        <w:spacing w:line="500" w:lineRule="exact"/>
        <w:rPr>
          <w:rFonts w:hAnsi="宋体"/>
          <w:sz w:val="24"/>
        </w:rPr>
      </w:pPr>
      <w:r>
        <w:rPr>
          <w:rFonts w:hint="eastAsia" w:ascii="Times New Roman" w:hAnsi="Times New Roman" w:eastAsia="宋体" w:cs="Times New Roman"/>
          <w:sz w:val="24"/>
          <w:lang w:val="en-US" w:eastAsia="zh-CN"/>
        </w:rPr>
        <w:t>4. 验收：随车提供检测报告，</w:t>
      </w:r>
      <w:r>
        <w:rPr>
          <w:rFonts w:hint="eastAsia" w:hAnsi="宋体"/>
          <w:sz w:val="24"/>
        </w:rPr>
        <w:t>其余按有关国家标准和行业标准执行。</w:t>
      </w:r>
    </w:p>
    <w:p>
      <w:pPr>
        <w:adjustRightInd w:val="0"/>
        <w:spacing w:line="500" w:lineRule="exact"/>
        <w:textAlignment w:val="baseline"/>
        <w:rPr>
          <w:rFonts w:eastAsia="黑体"/>
          <w:bCs/>
          <w:sz w:val="24"/>
        </w:rPr>
      </w:pPr>
      <w:r>
        <w:rPr>
          <w:rFonts w:hint="eastAsia" w:eastAsia="黑体"/>
          <w:bCs/>
          <w:sz w:val="24"/>
          <w:lang w:val="en-US" w:eastAsia="zh-CN"/>
        </w:rPr>
        <w:t>5</w:t>
      </w:r>
      <w:r>
        <w:rPr>
          <w:rFonts w:eastAsia="黑体"/>
          <w:bCs/>
          <w:sz w:val="24"/>
        </w:rPr>
        <w:t xml:space="preserve">.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w:t>
      </w:r>
      <w:r>
        <w:rPr>
          <w:rFonts w:hint="eastAsia" w:hAnsi="宋体"/>
          <w:sz w:val="24"/>
          <w:lang w:val="en-US" w:eastAsia="zh-CN"/>
        </w:rPr>
        <w:t>都江堰</w:t>
      </w:r>
      <w:r>
        <w:rPr>
          <w:rFonts w:hint="eastAsia" w:hAnsi="宋体"/>
          <w:sz w:val="24"/>
          <w:lang w:val="zh-CN"/>
        </w:rPr>
        <w:t>人民</w:t>
      </w:r>
      <w:r>
        <w:rPr>
          <w:rFonts w:hint="eastAsia" w:hAnsi="宋体"/>
          <w:sz w:val="24"/>
        </w:rPr>
        <w:t>法院提起诉讼。</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w:t>
      </w:r>
      <w:r>
        <w:rPr>
          <w:rFonts w:hint="eastAsia" w:ascii="黑体" w:eastAsia="黑体"/>
          <w:b/>
          <w:bCs/>
          <w:sz w:val="32"/>
          <w:szCs w:val="32"/>
          <w:lang w:val="en-US" w:eastAsia="zh-CN"/>
        </w:rPr>
        <w:t>四</w:t>
      </w:r>
      <w:r>
        <w:rPr>
          <w:rFonts w:hint="eastAsia" w:ascii="黑体" w:eastAsia="黑体"/>
          <w:b/>
          <w:bCs/>
          <w:sz w:val="32"/>
          <w:szCs w:val="32"/>
        </w:rPr>
        <w:t>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都江堰光明光电材料有限责任公司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tabs>
          <w:tab w:val="left" w:pos="0"/>
        </w:tabs>
        <w:spacing w:after="120" w:line="480" w:lineRule="auto"/>
        <w:ind w:left="420" w:leftChars="200"/>
        <w:jc w:val="left"/>
        <w:rPr>
          <w:rFonts w:hint="default" w:eastAsia="宋体"/>
          <w:b/>
          <w:sz w:val="32"/>
          <w:szCs w:val="32"/>
          <w:lang w:val="en-US" w:eastAsia="zh-CN"/>
        </w:rPr>
      </w:pPr>
    </w:p>
    <w:p>
      <w:pPr>
        <w:pStyle w:val="2"/>
        <w:rPr>
          <w:rFonts w:hint="default" w:eastAsia="宋体"/>
          <w:b/>
          <w:sz w:val="32"/>
          <w:szCs w:val="32"/>
          <w:lang w:val="en-US" w:eastAsia="zh-CN"/>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都江堰光明光电材料有限责任公司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pStyle w:val="2"/>
        <w:rPr>
          <w:rFonts w:hint="default" w:eastAsia="宋体"/>
          <w:b/>
          <w:sz w:val="32"/>
          <w:szCs w:val="32"/>
          <w:lang w:val="en-US" w:eastAsia="zh-CN"/>
        </w:rPr>
        <w:sectPr>
          <w:footerReference r:id="rId3" w:type="default"/>
          <w:pgSz w:w="11906" w:h="16838"/>
          <w:pgMar w:top="1020" w:right="1080" w:bottom="1440" w:left="1080" w:header="851" w:footer="992" w:gutter="0"/>
          <w:cols w:space="425" w:num="1"/>
          <w:docGrid w:type="lines" w:linePitch="312" w:charSpace="0"/>
        </w:sect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都江堰光明光电材料有限责任公司</w:t>
      </w:r>
    </w:p>
    <w:p>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hint="eastAsia" w:ascii="宋体" w:hAnsi="宋体"/>
          <w:bCs/>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spacing w:line="540" w:lineRule="exact"/>
        <w:jc w:val="left"/>
        <w:rPr>
          <w:rFonts w:hint="eastAsia" w:ascii="宋体" w:hAnsi="宋体"/>
          <w:bCs/>
          <w:sz w:val="28"/>
          <w:szCs w:val="28"/>
        </w:rPr>
      </w:pPr>
    </w:p>
    <w:p>
      <w:pPr>
        <w:pStyle w:val="2"/>
        <w:rPr>
          <w:rFonts w:hint="default" w:eastAsia="宋体"/>
          <w:b/>
          <w:sz w:val="32"/>
          <w:szCs w:val="32"/>
          <w:lang w:val="en-US" w:eastAsia="zh-CN"/>
        </w:rPr>
        <w:sectPr>
          <w:pgSz w:w="11906" w:h="16838"/>
          <w:pgMar w:top="1020" w:right="1080" w:bottom="1440" w:left="1080" w:header="851" w:footer="992" w:gutter="0"/>
          <w:cols w:space="425" w:num="1"/>
          <w:docGrid w:type="lines" w:linePitch="312" w:charSpace="0"/>
        </w:sect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pPr>
        <w:pStyle w:val="2"/>
        <w:rPr>
          <w:rFonts w:hint="eastAsia"/>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89"/>
        <w:gridCol w:w="3233"/>
        <w:gridCol w:w="1177"/>
        <w:gridCol w:w="1896"/>
        <w:gridCol w:w="2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26" w:hRule="atLeast"/>
        </w:trPr>
        <w:tc>
          <w:tcPr>
            <w:tcW w:w="889" w:type="dxa"/>
            <w:vAlign w:val="center"/>
          </w:tcPr>
          <w:p>
            <w:pPr>
              <w:spacing w:line="360" w:lineRule="auto"/>
              <w:jc w:val="center"/>
              <w:rPr>
                <w:rFonts w:hint="default" w:ascii="宋体" w:hAnsi="宋体" w:eastAsia="宋体" w:cs="宋体;SimSun"/>
                <w:sz w:val="24"/>
                <w:lang w:val="en-US" w:eastAsia="zh-CN"/>
              </w:rPr>
            </w:pPr>
            <w:r>
              <w:rPr>
                <w:rFonts w:hint="eastAsia" w:ascii="宋体" w:hAnsi="宋体" w:eastAsia="宋体" w:cs="宋体;SimSun"/>
                <w:sz w:val="24"/>
                <w:lang w:val="en-US" w:eastAsia="zh-CN"/>
              </w:rPr>
              <w:t>序号</w:t>
            </w:r>
          </w:p>
        </w:tc>
        <w:tc>
          <w:tcPr>
            <w:tcW w:w="3233" w:type="dxa"/>
            <w:vAlign w:val="center"/>
          </w:tcPr>
          <w:p>
            <w:pPr>
              <w:spacing w:line="360" w:lineRule="auto"/>
              <w:jc w:val="center"/>
              <w:rPr>
                <w:rFonts w:hint="default" w:ascii="宋体" w:hAnsi="宋体" w:eastAsia="宋体" w:cs="宋体;SimSun"/>
                <w:sz w:val="24"/>
                <w:lang w:val="en-US" w:eastAsia="zh-CN"/>
              </w:rPr>
            </w:pPr>
            <w:r>
              <w:rPr>
                <w:rFonts w:hint="eastAsia" w:ascii="宋体" w:hAnsi="宋体" w:eastAsia="宋体" w:cs="宋体;SimSun"/>
                <w:sz w:val="24"/>
                <w:lang w:val="en-US" w:eastAsia="zh-CN"/>
              </w:rPr>
              <w:t>产品名称</w:t>
            </w:r>
          </w:p>
        </w:tc>
        <w:tc>
          <w:tcPr>
            <w:tcW w:w="1177" w:type="dxa"/>
            <w:vAlign w:val="center"/>
          </w:tcPr>
          <w:p>
            <w:pPr>
              <w:spacing w:line="360" w:lineRule="auto"/>
              <w:jc w:val="center"/>
              <w:rPr>
                <w:rFonts w:hint="default" w:ascii="宋体" w:hAnsi="宋体" w:eastAsia="宋体" w:cs="宋体;SimSun"/>
                <w:sz w:val="24"/>
                <w:lang w:val="en-US" w:eastAsia="zh-CN"/>
              </w:rPr>
            </w:pPr>
            <w:r>
              <w:rPr>
                <w:rFonts w:hint="eastAsia" w:ascii="宋体" w:hAnsi="宋体" w:eastAsia="宋体" w:cs="宋体;SimSun"/>
                <w:sz w:val="24"/>
                <w:lang w:val="en-US" w:eastAsia="zh-CN"/>
              </w:rPr>
              <w:t>单位</w:t>
            </w:r>
          </w:p>
        </w:tc>
        <w:tc>
          <w:tcPr>
            <w:tcW w:w="1896" w:type="dxa"/>
            <w:vAlign w:val="center"/>
          </w:tcPr>
          <w:p>
            <w:pPr>
              <w:spacing w:line="360" w:lineRule="auto"/>
              <w:jc w:val="center"/>
              <w:rPr>
                <w:rFonts w:hint="default" w:ascii="宋体" w:hAnsi="宋体" w:eastAsia="宋体" w:cs="宋体;SimSun"/>
                <w:sz w:val="24"/>
                <w:lang w:val="en-US" w:eastAsia="zh-CN"/>
              </w:rPr>
            </w:pPr>
            <w:r>
              <w:rPr>
                <w:rFonts w:hint="eastAsia" w:ascii="宋体" w:hAnsi="宋体" w:eastAsia="宋体" w:cs="宋体;SimSun"/>
                <w:sz w:val="24"/>
                <w:lang w:val="en-US" w:eastAsia="zh-CN"/>
              </w:rPr>
              <w:t>单价（元/吨）</w:t>
            </w:r>
          </w:p>
        </w:tc>
        <w:tc>
          <w:tcPr>
            <w:tcW w:w="2202" w:type="dxa"/>
            <w:vAlign w:val="center"/>
          </w:tcPr>
          <w:p>
            <w:pPr>
              <w:spacing w:line="360" w:lineRule="auto"/>
              <w:ind w:firstLine="480"/>
              <w:jc w:val="center"/>
              <w:rPr>
                <w:rFonts w:hint="default" w:ascii="宋体" w:hAnsi="宋体" w:eastAsia="宋体" w:cs="宋体;SimSun"/>
                <w:sz w:val="24"/>
                <w:lang w:val="en-US" w:eastAsia="zh-CN"/>
              </w:rPr>
            </w:pPr>
            <w:r>
              <w:rPr>
                <w:rFonts w:hint="eastAsia" w:ascii="宋体" w:hAnsi="宋体" w:eastAsia="宋体" w:cs="宋体;SimSun"/>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49" w:hRule="atLeast"/>
        </w:trPr>
        <w:tc>
          <w:tcPr>
            <w:tcW w:w="889" w:type="dxa"/>
          </w:tcPr>
          <w:p>
            <w:pPr>
              <w:numPr>
                <w:ilvl w:val="0"/>
                <w:numId w:val="0"/>
              </w:numPr>
              <w:spacing w:line="480" w:lineRule="exact"/>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w:t>
            </w:r>
          </w:p>
        </w:tc>
        <w:tc>
          <w:tcPr>
            <w:tcW w:w="3233" w:type="dxa"/>
          </w:tcPr>
          <w:p>
            <w:pPr>
              <w:numPr>
                <w:ilvl w:val="0"/>
                <w:numId w:val="0"/>
              </w:numPr>
              <w:spacing w:line="480" w:lineRule="exact"/>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20%浓度氨水溶液</w:t>
            </w:r>
          </w:p>
        </w:tc>
        <w:tc>
          <w:tcPr>
            <w:tcW w:w="1177" w:type="dxa"/>
          </w:tcPr>
          <w:p>
            <w:pPr>
              <w:numPr>
                <w:ilvl w:val="0"/>
                <w:numId w:val="0"/>
              </w:numPr>
              <w:spacing w:line="480" w:lineRule="exact"/>
              <w:jc w:val="center"/>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吨</w:t>
            </w:r>
          </w:p>
        </w:tc>
        <w:tc>
          <w:tcPr>
            <w:tcW w:w="1896" w:type="dxa"/>
          </w:tcPr>
          <w:p>
            <w:pPr>
              <w:numPr>
                <w:ilvl w:val="0"/>
                <w:numId w:val="0"/>
              </w:numPr>
              <w:spacing w:line="480" w:lineRule="exact"/>
              <w:rPr>
                <w:rFonts w:hint="eastAsia" w:ascii="宋体" w:hAnsi="宋体" w:eastAsia="宋体" w:cs="宋体"/>
                <w:sz w:val="28"/>
                <w:szCs w:val="28"/>
                <w:vertAlign w:val="baseline"/>
              </w:rPr>
            </w:pPr>
          </w:p>
        </w:tc>
        <w:tc>
          <w:tcPr>
            <w:tcW w:w="2202" w:type="dxa"/>
          </w:tcPr>
          <w:p>
            <w:pPr>
              <w:numPr>
                <w:ilvl w:val="0"/>
                <w:numId w:val="0"/>
              </w:numPr>
              <w:spacing w:line="480" w:lineRule="exact"/>
              <w:rPr>
                <w:rFonts w:hint="eastAsia" w:ascii="宋体" w:hAnsi="宋体" w:eastAsia="宋体" w:cs="宋体"/>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969" w:hRule="atLeast"/>
        </w:trPr>
        <w:tc>
          <w:tcPr>
            <w:tcW w:w="9397" w:type="dxa"/>
            <w:gridSpan w:val="5"/>
          </w:tcPr>
          <w:p>
            <w:pPr>
              <w:numPr>
                <w:ilvl w:val="0"/>
                <w:numId w:val="0"/>
              </w:numPr>
              <w:spacing w:line="480" w:lineRule="exact"/>
              <w:rPr>
                <w:rFonts w:hint="default" w:ascii="宋体" w:hAnsi="宋体" w:eastAsia="宋体" w:cs="宋体"/>
                <w:sz w:val="28"/>
                <w:szCs w:val="28"/>
                <w:u w:val="none"/>
                <w:vertAlign w:val="baseline"/>
                <w:lang w:val="en-US" w:eastAsia="zh-CN"/>
              </w:rPr>
            </w:pPr>
            <w:r>
              <w:rPr>
                <w:rFonts w:hint="eastAsia" w:ascii="宋体" w:hAnsi="宋体" w:eastAsia="宋体" w:cs="宋体"/>
                <w:sz w:val="28"/>
                <w:szCs w:val="28"/>
                <w:vertAlign w:val="baseline"/>
                <w:lang w:val="en-US" w:eastAsia="zh-CN"/>
              </w:rPr>
              <w:t>备注：以上价格含</w:t>
            </w:r>
            <w:r>
              <w:rPr>
                <w:rFonts w:hint="eastAsia" w:ascii="宋体" w:hAnsi="宋体" w:eastAsia="宋体" w:cs="宋体"/>
                <w:sz w:val="28"/>
                <w:szCs w:val="28"/>
                <w:u w:val="single"/>
                <w:vertAlign w:val="baseline"/>
                <w:lang w:val="en-US" w:eastAsia="zh-CN"/>
              </w:rPr>
              <w:t xml:space="preserve">   </w:t>
            </w:r>
            <w:r>
              <w:rPr>
                <w:rFonts w:hint="eastAsia" w:ascii="宋体" w:hAnsi="宋体" w:eastAsia="宋体" w:cs="宋体"/>
                <w:sz w:val="28"/>
                <w:szCs w:val="28"/>
                <w:u w:val="none"/>
                <w:vertAlign w:val="baseline"/>
                <w:lang w:val="en-US" w:eastAsia="zh-CN"/>
              </w:rPr>
              <w:t>%增值税率和运费。</w:t>
            </w:r>
          </w:p>
        </w:tc>
      </w:tr>
    </w:tbl>
    <w:p>
      <w:pPr>
        <w:pStyle w:val="2"/>
        <w:rPr>
          <w:rFonts w:hint="default" w:eastAsia="宋体"/>
          <w:lang w:val="en-US" w:eastAsia="zh-CN"/>
        </w:rPr>
      </w:pPr>
      <w:r>
        <w:rPr>
          <w:rFonts w:hint="eastAsia" w:ascii="宋体" w:hAnsi="宋体" w:eastAsia="宋体" w:cs="宋体"/>
          <w:sz w:val="28"/>
          <w:szCs w:val="28"/>
        </w:rPr>
        <w:t>注：</w:t>
      </w:r>
      <w:r>
        <w:rPr>
          <w:rFonts w:hint="eastAsia" w:ascii="宋体" w:hAnsi="宋体" w:eastAsia="宋体" w:cs="宋体"/>
          <w:sz w:val="28"/>
          <w:szCs w:val="28"/>
          <w:lang w:val="en-US" w:eastAsia="zh-CN"/>
        </w:rPr>
        <w:t>以实际收货数量进行结算。</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 xml:space="preserve">    %</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三个月内滚动</w:t>
      </w:r>
      <w:r>
        <w:rPr>
          <w:rFonts w:hint="eastAsia" w:ascii="宋体" w:hAnsi="宋体"/>
          <w:sz w:val="28"/>
          <w:szCs w:val="28"/>
        </w:rPr>
        <w:t>结</w:t>
      </w:r>
      <w:r>
        <w:rPr>
          <w:rFonts w:hint="eastAsia" w:ascii="宋体" w:hAnsi="宋体"/>
          <w:sz w:val="28"/>
          <w:szCs w:val="28"/>
          <w:lang w:val="en-US" w:eastAsia="zh-CN"/>
        </w:rPr>
        <w:t>算</w:t>
      </w:r>
      <w:r>
        <w:rPr>
          <w:rFonts w:hint="eastAsia" w:ascii="宋体" w:hAnsi="宋体"/>
          <w:sz w:val="28"/>
          <w:szCs w:val="28"/>
        </w:rPr>
        <w:t>。</w:t>
      </w:r>
    </w:p>
    <w:p>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pPr>
        <w:spacing w:line="540" w:lineRule="exact"/>
        <w:ind w:firstLine="274" w:firstLineChars="98"/>
        <w:rPr>
          <w:rFonts w:hint="eastAsia" w:asciiTheme="minorEastAsia" w:hAnsiTheme="minorEastAsia" w:eastAsiaTheme="minorEastAsia"/>
          <w:sz w:val="28"/>
          <w:szCs w:val="28"/>
        </w:rPr>
        <w:sectPr>
          <w:footerReference r:id="rId4" w:type="default"/>
          <w:pgSz w:w="11906" w:h="16838"/>
          <w:pgMar w:top="1440" w:right="1418" w:bottom="1440" w:left="1274" w:header="851" w:footer="992" w:gutter="0"/>
          <w:cols w:space="425" w:num="1"/>
          <w:docGrid w:type="linesAndChars" w:linePitch="312" w:charSpace="0"/>
        </w:sect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p>
      <w:pPr>
        <w:pStyle w:val="2"/>
        <w:jc w:val="center"/>
        <w:rPr>
          <w:rFonts w:hint="eastAsia"/>
          <w:b/>
          <w:bCs/>
          <w:sz w:val="36"/>
          <w:szCs w:val="44"/>
          <w:lang w:val="en-US" w:eastAsia="zh-CN"/>
        </w:rPr>
      </w:pPr>
      <w:r>
        <w:rPr>
          <w:rFonts w:hint="eastAsia"/>
          <w:b/>
          <w:bCs/>
          <w:sz w:val="36"/>
          <w:szCs w:val="44"/>
          <w:lang w:val="en-US" w:eastAsia="zh-CN"/>
        </w:rPr>
        <w:t>第五部分</w:t>
      </w:r>
    </w:p>
    <w:p>
      <w:pPr>
        <w:pStyle w:val="2"/>
        <w:numPr>
          <w:ilvl w:val="0"/>
          <w:numId w:val="1"/>
        </w:numPr>
        <w:jc w:val="both"/>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企业营业执照复印件</w:t>
      </w:r>
    </w:p>
    <w:p>
      <w:pPr>
        <w:pStyle w:val="2"/>
        <w:widowControl w:val="0"/>
        <w:numPr>
          <w:ilvl w:val="0"/>
          <w:numId w:val="1"/>
        </w:numPr>
        <w:spacing w:after="120"/>
        <w:ind w:left="0" w:leftChars="0" w:firstLine="0" w:firstLineChars="0"/>
        <w:jc w:val="both"/>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法人身份证复印件</w:t>
      </w:r>
    </w:p>
    <w:p>
      <w:pPr>
        <w:pStyle w:val="2"/>
        <w:widowControl w:val="0"/>
        <w:numPr>
          <w:ilvl w:val="0"/>
          <w:numId w:val="1"/>
        </w:numPr>
        <w:spacing w:after="120"/>
        <w:ind w:left="0" w:leftChars="0" w:firstLine="0" w:firstLineChars="0"/>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授权代表人身份证复印件</w:t>
      </w:r>
    </w:p>
    <w:p>
      <w:pPr>
        <w:pStyle w:val="2"/>
        <w:widowControl w:val="0"/>
        <w:numPr>
          <w:ilvl w:val="0"/>
          <w:numId w:val="1"/>
        </w:numPr>
        <w:spacing w:after="120"/>
        <w:ind w:left="0" w:leftChars="0" w:firstLine="0" w:firstLineChars="0"/>
        <w:jc w:val="both"/>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开户资料</w:t>
      </w:r>
    </w:p>
    <w:p>
      <w:pPr>
        <w:pStyle w:val="2"/>
        <w:jc w:val="center"/>
        <w:rPr>
          <w:rFonts w:hint="eastAsia" w:ascii="Times New Roman" w:hAnsi="Times New Roman" w:eastAsia="宋体" w:cs="Times New Roman"/>
          <w:b/>
          <w:bCs/>
          <w:sz w:val="36"/>
          <w:szCs w:val="44"/>
          <w:lang w:val="en-US" w:eastAsia="zh-CN"/>
        </w:rPr>
      </w:pPr>
      <w:r>
        <w:rPr>
          <w:rFonts w:hint="eastAsia" w:ascii="Times New Roman" w:hAnsi="Times New Roman" w:eastAsia="宋体" w:cs="Times New Roman"/>
          <w:b/>
          <w:bCs/>
          <w:sz w:val="36"/>
          <w:szCs w:val="44"/>
          <w:lang w:val="en-US" w:eastAsia="zh-CN"/>
        </w:rPr>
        <w:t>第六部分</w:t>
      </w:r>
    </w:p>
    <w:p>
      <w:pPr>
        <w:pStyle w:val="2"/>
        <w:widowControl w:val="0"/>
        <w:numPr>
          <w:ilvl w:val="0"/>
          <w:numId w:val="2"/>
        </w:numPr>
        <w:spacing w:after="120"/>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实缴资本、参保人员证明（如天眼查截图）</w:t>
      </w:r>
    </w:p>
    <w:p>
      <w:pPr>
        <w:pStyle w:val="2"/>
        <w:widowControl w:val="0"/>
        <w:numPr>
          <w:ilvl w:val="0"/>
          <w:numId w:val="2"/>
        </w:numPr>
        <w:spacing w:after="120"/>
        <w:ind w:left="0" w:leftChars="0" w:firstLine="0" w:firstLineChars="0"/>
        <w:jc w:val="both"/>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生产经营场所自有或租用证明</w:t>
      </w:r>
    </w:p>
    <w:p>
      <w:pPr>
        <w:pStyle w:val="2"/>
        <w:widowControl w:val="0"/>
        <w:numPr>
          <w:numId w:val="0"/>
        </w:numPr>
        <w:spacing w:after="120"/>
        <w:jc w:val="both"/>
        <w:rPr>
          <w:rFonts w:hint="default" w:ascii="宋体" w:hAnsi="宋体" w:eastAsia="宋体" w:cs="Times New Roman"/>
          <w:kern w:val="2"/>
          <w:sz w:val="28"/>
          <w:szCs w:val="28"/>
          <w:lang w:val="en-US" w:eastAsia="zh-CN" w:bidi="ar-SA"/>
        </w:rPr>
      </w:pPr>
    </w:p>
    <w:p>
      <w:pPr>
        <w:pStyle w:val="2"/>
        <w:jc w:val="center"/>
        <w:rPr>
          <w:rFonts w:hint="eastAsia" w:ascii="Times New Roman" w:hAnsi="Times New Roman" w:eastAsia="宋体" w:cs="Times New Roman"/>
          <w:b/>
          <w:bCs/>
          <w:sz w:val="36"/>
          <w:szCs w:val="44"/>
          <w:lang w:val="en-US" w:eastAsia="zh-CN"/>
        </w:rPr>
      </w:pPr>
      <w:r>
        <w:rPr>
          <w:rFonts w:hint="eastAsia" w:ascii="Times New Roman" w:hAnsi="Times New Roman" w:eastAsia="宋体" w:cs="Times New Roman"/>
          <w:b/>
          <w:bCs/>
          <w:sz w:val="36"/>
          <w:szCs w:val="44"/>
          <w:lang w:val="en-US" w:eastAsia="zh-CN"/>
        </w:rPr>
        <w:t>第七部分</w:t>
      </w:r>
    </w:p>
    <w:p>
      <w:pPr>
        <w:pStyle w:val="2"/>
        <w:widowControl w:val="0"/>
        <w:numPr>
          <w:numId w:val="0"/>
        </w:numPr>
        <w:spacing w:after="120"/>
        <w:jc w:val="both"/>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危险化学品经营许可证</w:t>
      </w:r>
    </w:p>
    <w:p>
      <w:pPr>
        <w:pStyle w:val="2"/>
        <w:widowControl w:val="0"/>
        <w:numPr>
          <w:numId w:val="0"/>
        </w:numPr>
        <w:spacing w:after="120"/>
        <w:jc w:val="both"/>
        <w:rPr>
          <w:rFonts w:hint="eastAsia" w:ascii="宋体" w:hAnsi="宋体" w:eastAsia="宋体" w:cs="Times New Roman"/>
          <w:kern w:val="2"/>
          <w:sz w:val="28"/>
          <w:szCs w:val="28"/>
          <w:lang w:val="en-US" w:eastAsia="zh-CN" w:bidi="ar-SA"/>
        </w:rPr>
      </w:pPr>
    </w:p>
    <w:p>
      <w:pPr>
        <w:pStyle w:val="2"/>
        <w:jc w:val="center"/>
        <w:rPr>
          <w:rFonts w:hint="eastAsia" w:ascii="Times New Roman" w:hAnsi="Times New Roman" w:eastAsia="宋体" w:cs="Times New Roman"/>
          <w:b/>
          <w:bCs/>
          <w:sz w:val="36"/>
          <w:szCs w:val="44"/>
          <w:lang w:val="en-US" w:eastAsia="zh-CN"/>
        </w:rPr>
      </w:pPr>
      <w:r>
        <w:rPr>
          <w:rFonts w:hint="eastAsia" w:ascii="Times New Roman" w:hAnsi="Times New Roman" w:eastAsia="宋体" w:cs="Times New Roman"/>
          <w:b/>
          <w:bCs/>
          <w:sz w:val="36"/>
          <w:szCs w:val="44"/>
          <w:lang w:val="en-US" w:eastAsia="zh-CN"/>
        </w:rPr>
        <w:t>第八部分</w:t>
      </w:r>
    </w:p>
    <w:p>
      <w:pPr>
        <w:pStyle w:val="2"/>
        <w:widowControl w:val="0"/>
        <w:numPr>
          <w:numId w:val="0"/>
        </w:numPr>
        <w:spacing w:after="120"/>
        <w:jc w:val="both"/>
        <w:rPr>
          <w:lang w:val="zh-CN"/>
        </w:rPr>
      </w:pPr>
      <w:r>
        <w:rPr>
          <w:rFonts w:hint="eastAsia" w:ascii="宋体" w:hAnsi="宋体" w:eastAsia="宋体" w:cs="Times New Roman"/>
          <w:kern w:val="2"/>
          <w:sz w:val="28"/>
          <w:szCs w:val="28"/>
          <w:lang w:val="en-US" w:eastAsia="zh-CN" w:bidi="ar-SA"/>
        </w:rPr>
        <w:t>道路危险货物运输许可证</w:t>
      </w:r>
      <w:bookmarkStart w:id="0" w:name="_GoBack"/>
      <w:bookmarkEnd w:id="0"/>
    </w:p>
    <w:p>
      <w:pPr>
        <w:pStyle w:val="2"/>
        <w:rPr>
          <w:rFonts w:hint="default" w:eastAsia="宋体"/>
          <w:b/>
          <w:sz w:val="32"/>
          <w:szCs w:val="32"/>
          <w:lang w:val="en-US" w:eastAsia="zh-CN"/>
        </w:rPr>
      </w:pPr>
    </w:p>
    <w:sectPr>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B6D324"/>
    <w:multiLevelType w:val="singleLevel"/>
    <w:tmpl w:val="B0B6D324"/>
    <w:lvl w:ilvl="0" w:tentative="0">
      <w:start w:val="1"/>
      <w:numFmt w:val="decimal"/>
      <w:lvlText w:val="%1."/>
      <w:lvlJc w:val="left"/>
      <w:pPr>
        <w:tabs>
          <w:tab w:val="left" w:pos="312"/>
        </w:tabs>
      </w:pPr>
    </w:lvl>
  </w:abstractNum>
  <w:abstractNum w:abstractNumId="1">
    <w:nsid w:val="011F9792"/>
    <w:multiLevelType w:val="singleLevel"/>
    <w:tmpl w:val="011F9792"/>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wYmIwYmQ0NDVjMDQyMTRiZDg3MmRhZmMzYWUzNzQifQ=="/>
  </w:docVars>
  <w:rsids>
    <w:rsidRoot w:val="00000000"/>
    <w:rsid w:val="03717D3D"/>
    <w:rsid w:val="041E6F43"/>
    <w:rsid w:val="0A60111F"/>
    <w:rsid w:val="0AF44C89"/>
    <w:rsid w:val="13AF5326"/>
    <w:rsid w:val="187C3D68"/>
    <w:rsid w:val="18B5706C"/>
    <w:rsid w:val="196D782F"/>
    <w:rsid w:val="1B8B14BF"/>
    <w:rsid w:val="1E817283"/>
    <w:rsid w:val="22D47F3E"/>
    <w:rsid w:val="24387A41"/>
    <w:rsid w:val="25AF73F6"/>
    <w:rsid w:val="26B95440"/>
    <w:rsid w:val="2CC72992"/>
    <w:rsid w:val="2D2F71A3"/>
    <w:rsid w:val="2D4C09A3"/>
    <w:rsid w:val="2FF54A3C"/>
    <w:rsid w:val="32816422"/>
    <w:rsid w:val="330111E0"/>
    <w:rsid w:val="3329019A"/>
    <w:rsid w:val="3AA74880"/>
    <w:rsid w:val="40A04368"/>
    <w:rsid w:val="424B6A6F"/>
    <w:rsid w:val="453256B7"/>
    <w:rsid w:val="47B97780"/>
    <w:rsid w:val="4E9D2665"/>
    <w:rsid w:val="4FA2618E"/>
    <w:rsid w:val="53420D97"/>
    <w:rsid w:val="54013662"/>
    <w:rsid w:val="5FC16069"/>
    <w:rsid w:val="60986B8A"/>
    <w:rsid w:val="62A2108B"/>
    <w:rsid w:val="66E06E05"/>
    <w:rsid w:val="6AB71D84"/>
    <w:rsid w:val="6ACB523A"/>
    <w:rsid w:val="6F5D4D03"/>
    <w:rsid w:val="71E77727"/>
    <w:rsid w:val="74390D62"/>
    <w:rsid w:val="74777121"/>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 w:type="paragraph" w:customStyle="1" w:styleId="15">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6534</Words>
  <Characters>6975</Characters>
  <Lines>0</Lines>
  <Paragraphs>0</Paragraphs>
  <TotalTime>33</TotalTime>
  <ScaleCrop>false</ScaleCrop>
  <LinksUpToDate>false</LinksUpToDate>
  <CharactersWithSpaces>7600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2024-10-29T04:16:17Z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