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14:paraId="3894420B">
      <w:pPr>
        <w:spacing w:line="800" w:lineRule="exact"/>
        <w:jc w:val="center"/>
        <w:rPr>
          <w:rFonts w:asciiTheme="majorEastAsia" w:hAnsiTheme="majorEastAsia" w:eastAsiaTheme="majorEastAsia"/>
          <w:b/>
          <w:bCs/>
          <w:spacing w:val="38"/>
          <w:sz w:val="72"/>
          <w:szCs w:val="72"/>
        </w:rPr>
      </w:pPr>
    </w:p>
    <w:p w14:paraId="057AE0D6">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14:paraId="0A8EBB2A">
      <w:pPr>
        <w:spacing w:line="500" w:lineRule="exact"/>
        <w:rPr>
          <w:rFonts w:asciiTheme="majorEastAsia" w:hAnsiTheme="majorEastAsia" w:eastAsiaTheme="majorEastAsia"/>
          <w:b/>
          <w:bCs/>
          <w:spacing w:val="38"/>
          <w:sz w:val="24"/>
        </w:rPr>
      </w:pPr>
    </w:p>
    <w:p w14:paraId="0D0ED950">
      <w:pPr>
        <w:autoSpaceDE w:val="0"/>
        <w:autoSpaceDN w:val="0"/>
        <w:adjustRightInd w:val="0"/>
        <w:spacing w:line="660" w:lineRule="exact"/>
        <w:ind w:firstLine="1260" w:firstLineChars="350"/>
        <w:rPr>
          <w:rFonts w:asciiTheme="majorEastAsia" w:hAnsiTheme="majorEastAsia" w:eastAsiaTheme="majorEastAsia"/>
          <w:sz w:val="36"/>
          <w:szCs w:val="36"/>
        </w:rPr>
      </w:pPr>
    </w:p>
    <w:p w14:paraId="0EB3CF1A">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双重预防工作机制报告编制服务项目</w:t>
      </w:r>
    </w:p>
    <w:p w14:paraId="6DB8EF5C">
      <w:pPr>
        <w:autoSpaceDE w:val="0"/>
        <w:autoSpaceDN w:val="0"/>
        <w:adjustRightInd w:val="0"/>
        <w:spacing w:line="500" w:lineRule="exact"/>
        <w:ind w:firstLine="3240" w:firstLineChars="900"/>
        <w:rPr>
          <w:rFonts w:asciiTheme="majorEastAsia" w:hAnsiTheme="majorEastAsia" w:eastAsiaTheme="majorEastAsia"/>
          <w:sz w:val="36"/>
          <w:szCs w:val="36"/>
        </w:rPr>
      </w:pPr>
    </w:p>
    <w:p w14:paraId="37ED6408">
      <w:pPr>
        <w:autoSpaceDE w:val="0"/>
        <w:autoSpaceDN w:val="0"/>
        <w:adjustRightInd w:val="0"/>
        <w:spacing w:line="660" w:lineRule="exact"/>
        <w:ind w:firstLine="2256" w:firstLineChars="600"/>
        <w:rPr>
          <w:rFonts w:eastAsia="仿宋" w:asciiTheme="majorEastAsia" w:hAnsiTheme="majorEastAsia"/>
          <w:sz w:val="36"/>
          <w:szCs w:val="36"/>
        </w:rPr>
      </w:pPr>
      <w:r>
        <w:rPr>
          <w:rFonts w:hint="eastAsia" w:ascii="仿宋" w:hAnsi="仿宋" w:eastAsia="仿宋"/>
          <w:b/>
          <w:bCs/>
          <w:spacing w:val="38"/>
          <w:sz w:val="30"/>
          <w:szCs w:val="30"/>
        </w:rPr>
        <w:t>项目编号：</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hint="eastAsia" w:ascii="仿宋" w:hAnsi="仿宋" w:eastAsia="仿宋"/>
          <w:b/>
          <w:bCs/>
          <w:spacing w:val="38"/>
          <w:sz w:val="30"/>
          <w:szCs w:val="30"/>
        </w:rPr>
        <w:t>41</w:t>
      </w:r>
    </w:p>
    <w:p w14:paraId="3C4D9A75">
      <w:pPr>
        <w:spacing w:line="500" w:lineRule="exact"/>
        <w:rPr>
          <w:rFonts w:asciiTheme="majorEastAsia" w:hAnsiTheme="majorEastAsia" w:eastAsiaTheme="majorEastAsia"/>
          <w:sz w:val="36"/>
          <w:szCs w:val="36"/>
        </w:rPr>
      </w:pPr>
    </w:p>
    <w:p w14:paraId="4EB7AAB1">
      <w:pPr>
        <w:spacing w:line="500" w:lineRule="exact"/>
        <w:rPr>
          <w:rFonts w:asciiTheme="majorEastAsia" w:hAnsiTheme="majorEastAsia" w:eastAsiaTheme="majorEastAsia"/>
          <w:sz w:val="36"/>
          <w:szCs w:val="36"/>
        </w:rPr>
      </w:pPr>
    </w:p>
    <w:p w14:paraId="55F11EEC">
      <w:pPr>
        <w:spacing w:line="500" w:lineRule="exact"/>
        <w:ind w:firstLine="2640" w:firstLineChars="600"/>
        <w:rPr>
          <w:rFonts w:asciiTheme="majorEastAsia" w:hAnsiTheme="majorEastAsia" w:eastAsiaTheme="majorEastAsia"/>
          <w:sz w:val="44"/>
          <w:szCs w:val="44"/>
        </w:rPr>
      </w:pPr>
    </w:p>
    <w:p w14:paraId="2BD41BFF">
      <w:pPr>
        <w:spacing w:line="500" w:lineRule="exact"/>
        <w:ind w:firstLine="2640" w:firstLineChars="600"/>
        <w:rPr>
          <w:rFonts w:asciiTheme="majorEastAsia" w:hAnsiTheme="majorEastAsia" w:eastAsiaTheme="majorEastAsia"/>
          <w:sz w:val="44"/>
          <w:szCs w:val="44"/>
        </w:rPr>
      </w:pPr>
    </w:p>
    <w:p w14:paraId="6DD0413C">
      <w:pPr>
        <w:pStyle w:val="9"/>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成都恒达光学有限公司</w:t>
      </w:r>
    </w:p>
    <w:p w14:paraId="7B43F7DB">
      <w:pPr>
        <w:pStyle w:val="9"/>
        <w:spacing w:line="500" w:lineRule="exact"/>
        <w:ind w:firstLine="560"/>
        <w:jc w:val="center"/>
        <w:rPr>
          <w:rFonts w:asciiTheme="majorEastAsia" w:hAnsiTheme="majorEastAsia" w:eastAsiaTheme="majorEastAsia"/>
          <w:b/>
          <w:sz w:val="28"/>
          <w:szCs w:val="28"/>
        </w:rPr>
      </w:pPr>
    </w:p>
    <w:p w14:paraId="285F025D">
      <w:pPr>
        <w:pStyle w:val="9"/>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二四年八月</w:t>
      </w:r>
    </w:p>
    <w:p w14:paraId="431A2D5F">
      <w:pPr>
        <w:rPr>
          <w:rFonts w:asciiTheme="majorEastAsia" w:hAnsiTheme="majorEastAsia" w:eastAsiaTheme="majorEastAsia"/>
        </w:rPr>
      </w:pPr>
    </w:p>
    <w:p w14:paraId="4EECFDB8">
      <w:pPr>
        <w:rPr>
          <w:rFonts w:asciiTheme="majorEastAsia" w:hAnsiTheme="majorEastAsia" w:eastAsiaTheme="majorEastAsia"/>
        </w:rPr>
      </w:pPr>
    </w:p>
    <w:p w14:paraId="1A75981F">
      <w:pPr>
        <w:rPr>
          <w:rFonts w:asciiTheme="majorEastAsia" w:hAnsiTheme="majorEastAsia" w:eastAsiaTheme="majorEastAsia"/>
        </w:rPr>
      </w:pPr>
    </w:p>
    <w:p w14:paraId="3F35E54A">
      <w:pPr>
        <w:rPr>
          <w:rFonts w:asciiTheme="majorEastAsia" w:hAnsiTheme="majorEastAsia" w:eastAsiaTheme="majorEastAsia"/>
        </w:rPr>
      </w:pPr>
    </w:p>
    <w:p w14:paraId="392EBCF3">
      <w:pPr>
        <w:rPr>
          <w:rFonts w:asciiTheme="majorEastAsia" w:hAnsiTheme="majorEastAsia" w:eastAsiaTheme="majorEastAsia"/>
        </w:rPr>
      </w:pPr>
    </w:p>
    <w:p w14:paraId="13A2EF84">
      <w:pPr>
        <w:rPr>
          <w:rFonts w:asciiTheme="majorEastAsia" w:hAnsiTheme="majorEastAsia" w:eastAsiaTheme="majorEastAsia"/>
        </w:rPr>
      </w:pPr>
    </w:p>
    <w:p w14:paraId="5374D186">
      <w:pPr>
        <w:rPr>
          <w:rFonts w:asciiTheme="majorEastAsia" w:hAnsiTheme="majorEastAsia" w:eastAsiaTheme="majorEastAsia"/>
        </w:rPr>
      </w:pPr>
    </w:p>
    <w:p w14:paraId="76379D35">
      <w:pPr>
        <w:spacing w:line="500" w:lineRule="exact"/>
        <w:jc w:val="center"/>
        <w:rPr>
          <w:rFonts w:asciiTheme="majorEastAsia" w:hAnsiTheme="majorEastAsia" w:eastAsiaTheme="majorEastAsia"/>
          <w:sz w:val="52"/>
        </w:rPr>
      </w:pPr>
    </w:p>
    <w:p w14:paraId="50BC6ED2">
      <w:pPr>
        <w:spacing w:line="500" w:lineRule="exact"/>
        <w:jc w:val="center"/>
        <w:rPr>
          <w:rFonts w:asciiTheme="majorEastAsia" w:hAnsiTheme="majorEastAsia" w:eastAsiaTheme="majorEastAsia"/>
          <w:sz w:val="52"/>
        </w:rPr>
      </w:pPr>
    </w:p>
    <w:p w14:paraId="5363FA09">
      <w:pPr>
        <w:spacing w:line="500" w:lineRule="exact"/>
        <w:jc w:val="center"/>
        <w:rPr>
          <w:rFonts w:asciiTheme="majorEastAsia" w:hAnsiTheme="majorEastAsia" w:eastAsiaTheme="majorEastAsia"/>
          <w:sz w:val="52"/>
        </w:rPr>
      </w:pPr>
    </w:p>
    <w:p w14:paraId="2210D4B1">
      <w:pPr>
        <w:spacing w:line="500" w:lineRule="exact"/>
        <w:jc w:val="center"/>
        <w:rPr>
          <w:rFonts w:asciiTheme="majorEastAsia" w:hAnsiTheme="majorEastAsia" w:eastAsiaTheme="majorEastAsia"/>
          <w:sz w:val="52"/>
        </w:rPr>
      </w:pPr>
    </w:p>
    <w:p w14:paraId="414E6F2B">
      <w:pPr>
        <w:spacing w:line="500" w:lineRule="exact"/>
        <w:jc w:val="center"/>
        <w:rPr>
          <w:rFonts w:asciiTheme="majorEastAsia" w:hAnsiTheme="majorEastAsia" w:eastAsiaTheme="majorEastAsia"/>
          <w:sz w:val="44"/>
          <w:szCs w:val="44"/>
        </w:rPr>
      </w:pPr>
    </w:p>
    <w:p w14:paraId="6DA5EA08">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14:paraId="1314B58E">
      <w:pPr>
        <w:spacing w:line="500" w:lineRule="exact"/>
        <w:jc w:val="center"/>
        <w:rPr>
          <w:rFonts w:asciiTheme="majorEastAsia" w:hAnsiTheme="majorEastAsia" w:eastAsiaTheme="majorEastAsia"/>
          <w:sz w:val="44"/>
        </w:rPr>
      </w:pPr>
    </w:p>
    <w:p w14:paraId="07BC75C3">
      <w:pPr>
        <w:spacing w:line="500" w:lineRule="exact"/>
        <w:jc w:val="center"/>
        <w:rPr>
          <w:rFonts w:asciiTheme="majorEastAsia" w:hAnsiTheme="majorEastAsia" w:eastAsiaTheme="majorEastAsia"/>
          <w:sz w:val="44"/>
        </w:rPr>
      </w:pPr>
    </w:p>
    <w:p w14:paraId="21A10DCE">
      <w:pPr>
        <w:spacing w:line="500" w:lineRule="exact"/>
        <w:jc w:val="center"/>
        <w:rPr>
          <w:rFonts w:asciiTheme="majorEastAsia" w:hAnsiTheme="majorEastAsia" w:eastAsiaTheme="majorEastAsia"/>
          <w:sz w:val="44"/>
        </w:rPr>
      </w:pPr>
    </w:p>
    <w:p w14:paraId="6EF03DD5">
      <w:pPr>
        <w:spacing w:line="500" w:lineRule="exact"/>
        <w:jc w:val="center"/>
        <w:rPr>
          <w:rFonts w:asciiTheme="majorEastAsia" w:hAnsiTheme="majorEastAsia" w:eastAsiaTheme="majorEastAsia"/>
          <w:sz w:val="44"/>
        </w:rPr>
      </w:pPr>
    </w:p>
    <w:p w14:paraId="5828A3A9">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5D45DF90">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6DE5FA2D">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  服务技术要求…………………</w:t>
      </w:r>
    </w:p>
    <w:p w14:paraId="72F539BF">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  商务部分…………………</w:t>
      </w:r>
    </w:p>
    <w:p w14:paraId="356BAE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第五部分  评分标准…………………………</w:t>
      </w:r>
    </w:p>
    <w:p w14:paraId="460936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第六部分</w:t>
      </w:r>
      <w:r>
        <w:rPr>
          <w:rFonts w:asciiTheme="majorEastAsia" w:hAnsiTheme="majorEastAsia" w:eastAsiaTheme="majorEastAsia"/>
          <w:sz w:val="28"/>
        </w:rPr>
        <w:t xml:space="preserve">  </w:t>
      </w:r>
      <w:r>
        <w:rPr>
          <w:rFonts w:hint="eastAsia" w:asciiTheme="majorEastAsia" w:hAnsiTheme="majorEastAsia" w:eastAsiaTheme="majorEastAsia"/>
          <w:sz w:val="28"/>
        </w:rPr>
        <w:t>报价文件组成…………………………</w:t>
      </w:r>
    </w:p>
    <w:p w14:paraId="5B688E80">
      <w:pPr>
        <w:rPr>
          <w:rFonts w:asciiTheme="majorEastAsia" w:hAnsiTheme="majorEastAsia" w:eastAsiaTheme="majorEastAsia"/>
          <w:sz w:val="20"/>
        </w:rPr>
      </w:pPr>
    </w:p>
    <w:p w14:paraId="4525326F">
      <w:pPr>
        <w:rPr>
          <w:rFonts w:asciiTheme="majorEastAsia" w:hAnsiTheme="majorEastAsia" w:eastAsiaTheme="majorEastAsia"/>
          <w:sz w:val="20"/>
        </w:rPr>
      </w:pPr>
    </w:p>
    <w:p w14:paraId="24DE7007">
      <w:pPr>
        <w:rPr>
          <w:rFonts w:asciiTheme="majorEastAsia" w:hAnsiTheme="majorEastAsia" w:eastAsiaTheme="majorEastAsia"/>
          <w:sz w:val="20"/>
        </w:rPr>
      </w:pPr>
    </w:p>
    <w:p w14:paraId="7D9F163B">
      <w:pPr>
        <w:rPr>
          <w:rFonts w:asciiTheme="majorEastAsia" w:hAnsiTheme="majorEastAsia" w:eastAsiaTheme="majorEastAsia"/>
          <w:sz w:val="20"/>
        </w:rPr>
      </w:pPr>
    </w:p>
    <w:p w14:paraId="0226B07C">
      <w:pPr>
        <w:rPr>
          <w:rFonts w:asciiTheme="majorEastAsia" w:hAnsiTheme="majorEastAsia" w:eastAsiaTheme="majorEastAsia"/>
          <w:sz w:val="20"/>
        </w:rPr>
      </w:pPr>
    </w:p>
    <w:p w14:paraId="142668C6">
      <w:pPr>
        <w:rPr>
          <w:rFonts w:asciiTheme="majorEastAsia" w:hAnsiTheme="majorEastAsia" w:eastAsiaTheme="majorEastAsia"/>
          <w:sz w:val="20"/>
        </w:rPr>
      </w:pPr>
    </w:p>
    <w:p w14:paraId="5BB8BD15">
      <w:pPr>
        <w:rPr>
          <w:rFonts w:asciiTheme="majorEastAsia" w:hAnsiTheme="majorEastAsia" w:eastAsiaTheme="majorEastAsia"/>
          <w:sz w:val="20"/>
        </w:rPr>
      </w:pPr>
    </w:p>
    <w:p w14:paraId="525F807E">
      <w:pPr>
        <w:rPr>
          <w:rFonts w:asciiTheme="majorEastAsia" w:hAnsiTheme="majorEastAsia" w:eastAsiaTheme="majorEastAsia"/>
          <w:sz w:val="20"/>
        </w:rPr>
      </w:pPr>
    </w:p>
    <w:p w14:paraId="5E2A4EF6">
      <w:pPr>
        <w:rPr>
          <w:rFonts w:asciiTheme="majorEastAsia" w:hAnsiTheme="majorEastAsia" w:eastAsiaTheme="majorEastAsia"/>
          <w:sz w:val="20"/>
        </w:rPr>
      </w:pPr>
    </w:p>
    <w:p w14:paraId="1F6EA9F5">
      <w:pPr>
        <w:rPr>
          <w:rFonts w:asciiTheme="majorEastAsia" w:hAnsiTheme="majorEastAsia" w:eastAsiaTheme="majorEastAsia"/>
          <w:sz w:val="20"/>
        </w:rPr>
      </w:pPr>
    </w:p>
    <w:p w14:paraId="0544B1C4">
      <w:pPr>
        <w:rPr>
          <w:rFonts w:asciiTheme="majorEastAsia" w:hAnsiTheme="majorEastAsia" w:eastAsiaTheme="majorEastAsia"/>
          <w:sz w:val="20"/>
        </w:rPr>
      </w:pPr>
    </w:p>
    <w:p w14:paraId="187D260B">
      <w:pPr>
        <w:rPr>
          <w:rFonts w:asciiTheme="majorEastAsia" w:hAnsiTheme="majorEastAsia" w:eastAsiaTheme="majorEastAsia"/>
          <w:sz w:val="20"/>
        </w:rPr>
      </w:pPr>
    </w:p>
    <w:p w14:paraId="2685AD22">
      <w:pPr>
        <w:rPr>
          <w:rFonts w:asciiTheme="majorEastAsia" w:hAnsiTheme="majorEastAsia" w:eastAsiaTheme="majorEastAsia"/>
          <w:sz w:val="20"/>
        </w:rPr>
      </w:pPr>
    </w:p>
    <w:p w14:paraId="54419E21">
      <w:pPr>
        <w:rPr>
          <w:rFonts w:asciiTheme="majorEastAsia" w:hAnsiTheme="majorEastAsia" w:eastAsiaTheme="majorEastAsia"/>
          <w:sz w:val="20"/>
        </w:rPr>
      </w:pPr>
    </w:p>
    <w:p w14:paraId="5385C240">
      <w:pPr>
        <w:rPr>
          <w:rFonts w:asciiTheme="majorEastAsia" w:hAnsiTheme="majorEastAsia" w:eastAsiaTheme="majorEastAsia"/>
          <w:sz w:val="20"/>
        </w:rPr>
      </w:pPr>
    </w:p>
    <w:p w14:paraId="7336BA71">
      <w:pPr>
        <w:rPr>
          <w:rFonts w:asciiTheme="majorEastAsia" w:hAnsiTheme="majorEastAsia" w:eastAsiaTheme="majorEastAsia"/>
          <w:sz w:val="20"/>
        </w:rPr>
      </w:pPr>
    </w:p>
    <w:p w14:paraId="14A1FEFA">
      <w:pPr>
        <w:rPr>
          <w:rFonts w:asciiTheme="majorEastAsia" w:hAnsiTheme="majorEastAsia" w:eastAsiaTheme="majorEastAsia"/>
          <w:sz w:val="20"/>
        </w:rPr>
      </w:pPr>
    </w:p>
    <w:p w14:paraId="2737FD5F">
      <w:pPr>
        <w:rPr>
          <w:rFonts w:asciiTheme="majorEastAsia" w:hAnsiTheme="majorEastAsia" w:eastAsiaTheme="majorEastAsia"/>
          <w:sz w:val="20"/>
        </w:rPr>
      </w:pPr>
    </w:p>
    <w:p w14:paraId="5A1AD25A">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14:paraId="3848BF0B">
      <w:pPr>
        <w:spacing w:line="540" w:lineRule="exact"/>
        <w:jc w:val="left"/>
        <w:rPr>
          <w:rFonts w:asciiTheme="majorEastAsia" w:hAnsiTheme="majorEastAsia" w:eastAsiaTheme="majorEastAsia" w:cstheme="majorEastAsia"/>
          <w:bCs/>
          <w:sz w:val="28"/>
          <w:szCs w:val="28"/>
        </w:rPr>
      </w:pPr>
      <w:r>
        <w:rPr>
          <w:rFonts w:hint="eastAsia" w:asciiTheme="majorEastAsia" w:hAnsiTheme="majorEastAsia" w:eastAsiaTheme="majorEastAsia"/>
          <w:bCs/>
          <w:sz w:val="28"/>
          <w:szCs w:val="28"/>
        </w:rPr>
        <w:t>各</w:t>
      </w:r>
      <w:r>
        <w:rPr>
          <w:rFonts w:hint="eastAsia" w:asciiTheme="majorEastAsia" w:hAnsiTheme="majorEastAsia" w:eastAsiaTheme="majorEastAsia" w:cstheme="majorEastAsia"/>
          <w:bCs/>
          <w:sz w:val="28"/>
          <w:szCs w:val="28"/>
        </w:rPr>
        <w:t>供应商：</w:t>
      </w:r>
    </w:p>
    <w:p w14:paraId="273497C2">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成都恒达光学有限公司就本公司</w:t>
      </w:r>
      <w:r>
        <w:rPr>
          <w:rFonts w:hint="eastAsia" w:asciiTheme="majorEastAsia" w:hAnsiTheme="majorEastAsia" w:eastAsiaTheme="majorEastAsia" w:cstheme="majorEastAsia"/>
          <w:sz w:val="28"/>
          <w:szCs w:val="28"/>
          <w:u w:val="single"/>
        </w:rPr>
        <w:t>双重预防工作机制报告编制服务项目</w:t>
      </w:r>
      <w:r>
        <w:rPr>
          <w:rFonts w:hint="eastAsia" w:asciiTheme="majorEastAsia" w:hAnsiTheme="majorEastAsia" w:eastAsiaTheme="majorEastAsia" w:cstheme="majorEastAsia"/>
          <w:sz w:val="28"/>
          <w:szCs w:val="28"/>
        </w:rPr>
        <w:t>进行询价采购，欢迎具备相应资质的单位前来报价。</w:t>
      </w:r>
      <w:r>
        <w:rPr>
          <w:rFonts w:hint="eastAsia" w:asciiTheme="majorEastAsia" w:hAnsiTheme="majorEastAsia" w:eastAsiaTheme="majorEastAsia" w:cstheme="majorEastAsia"/>
          <w:bCs/>
          <w:sz w:val="28"/>
          <w:szCs w:val="28"/>
        </w:rPr>
        <w:t>公司本着“公开、公平、公正”的原则和“互利共赢、共同发展”的理念，热忱欢迎有意愿与我公司合作的潜在供应商积极参与报价。</w:t>
      </w:r>
    </w:p>
    <w:p w14:paraId="7890172C">
      <w:pPr>
        <w:spacing w:line="540" w:lineRule="exact"/>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一、询价采购项目说明：</w:t>
      </w:r>
    </w:p>
    <w:p w14:paraId="5E8DC2CA">
      <w:pPr>
        <w:spacing w:line="540" w:lineRule="exact"/>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项目内容如下：</w:t>
      </w:r>
    </w:p>
    <w:tbl>
      <w:tblPr>
        <w:tblStyle w:val="1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9"/>
        <w:gridCol w:w="4305"/>
        <w:gridCol w:w="3686"/>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6E57FF03">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服务项目</w:t>
            </w:r>
          </w:p>
        </w:tc>
        <w:tc>
          <w:tcPr>
            <w:tcW w:w="4305" w:type="dxa"/>
          </w:tcPr>
          <w:p w14:paraId="5F86D37E">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服务内容</w:t>
            </w:r>
          </w:p>
        </w:tc>
        <w:tc>
          <w:tcPr>
            <w:tcW w:w="3686" w:type="dxa"/>
          </w:tcPr>
          <w:p w14:paraId="23095D60">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75F6AD09">
            <w:pPr>
              <w:spacing w:line="540" w:lineRule="exact"/>
              <w:jc w:val="center"/>
              <w:rPr>
                <w:rFonts w:asciiTheme="majorEastAsia" w:hAnsiTheme="majorEastAsia" w:eastAsiaTheme="majorEastAsia" w:cstheme="majorEastAsia"/>
                <w:sz w:val="24"/>
              </w:rPr>
            </w:pPr>
          </w:p>
          <w:p w14:paraId="241254AE">
            <w:pPr>
              <w:spacing w:line="54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sz w:val="24"/>
              </w:rPr>
              <w:t>双重预防工作机制报告编制服务项目</w:t>
            </w:r>
          </w:p>
        </w:tc>
        <w:tc>
          <w:tcPr>
            <w:tcW w:w="4305" w:type="dxa"/>
          </w:tcPr>
          <w:p w14:paraId="34485775">
            <w:pPr>
              <w:pStyle w:val="7"/>
              <w:spacing w:after="0"/>
              <w:ind w:firstLine="480" w:firstLineChars="200"/>
              <w:rPr>
                <w:rFonts w:asciiTheme="majorEastAsia" w:hAnsiTheme="majorEastAsia" w:eastAsiaTheme="majorEastAsia" w:cstheme="majorEastAsia"/>
                <w:kern w:val="2"/>
              </w:rPr>
            </w:pPr>
          </w:p>
          <w:p w14:paraId="223C5A65">
            <w:pPr>
              <w:pStyle w:val="7"/>
              <w:spacing w:after="0"/>
              <w:ind w:firstLine="480" w:firstLineChars="200"/>
              <w:rPr>
                <w:rFonts w:asciiTheme="majorEastAsia" w:hAnsiTheme="majorEastAsia" w:eastAsiaTheme="majorEastAsia" w:cstheme="majorEastAsia"/>
                <w:kern w:val="2"/>
              </w:rPr>
            </w:pPr>
          </w:p>
          <w:p w14:paraId="6355D776">
            <w:pPr>
              <w:pStyle w:val="7"/>
              <w:spacing w:after="0"/>
              <w:rPr>
                <w:rFonts w:asciiTheme="majorEastAsia" w:hAnsiTheme="majorEastAsia" w:eastAsiaTheme="majorEastAsia" w:cstheme="majorEastAsia"/>
                <w:kern w:val="2"/>
              </w:rPr>
            </w:pPr>
            <w:r>
              <w:rPr>
                <w:rFonts w:hint="eastAsia" w:asciiTheme="majorEastAsia" w:hAnsiTheme="majorEastAsia" w:eastAsiaTheme="majorEastAsia" w:cstheme="majorEastAsia"/>
                <w:kern w:val="2"/>
              </w:rPr>
              <w:t>编制“安全风险分级管控和隐患排</w:t>
            </w:r>
          </w:p>
          <w:p w14:paraId="523798FA">
            <w:pPr>
              <w:pStyle w:val="7"/>
              <w:spacing w:after="0"/>
              <w:ind w:firstLine="480" w:firstLineChars="200"/>
              <w:rPr>
                <w:rFonts w:asciiTheme="majorEastAsia" w:hAnsiTheme="majorEastAsia" w:eastAsiaTheme="majorEastAsia" w:cstheme="majorEastAsia"/>
                <w:kern w:val="2"/>
              </w:rPr>
            </w:pPr>
          </w:p>
          <w:p w14:paraId="37F4BB2F">
            <w:pPr>
              <w:pStyle w:val="7"/>
              <w:spacing w:after="0"/>
              <w:rPr>
                <w:rFonts w:eastAsia="微软雅黑" w:asciiTheme="majorEastAsia" w:hAnsiTheme="majorEastAsia" w:cstheme="majorEastAsia"/>
                <w:bCs/>
              </w:rPr>
            </w:pPr>
            <w:r>
              <w:rPr>
                <w:rFonts w:hint="eastAsia" w:asciiTheme="majorEastAsia" w:hAnsiTheme="majorEastAsia" w:eastAsiaTheme="majorEastAsia" w:cstheme="majorEastAsia"/>
                <w:kern w:val="2"/>
              </w:rPr>
              <w:t>查治理双重预防工作机制”报告</w:t>
            </w:r>
          </w:p>
        </w:tc>
        <w:tc>
          <w:tcPr>
            <w:tcW w:w="3686" w:type="dxa"/>
            <w:vAlign w:val="center"/>
          </w:tcPr>
          <w:p w14:paraId="48F92CB5">
            <w:pPr>
              <w:spacing w:line="540" w:lineRule="exact"/>
              <w:rPr>
                <w:rFonts w:asciiTheme="majorEastAsia" w:hAnsiTheme="majorEastAsia" w:eastAsiaTheme="majorEastAsia" w:cstheme="majorEastAsia"/>
                <w:bCs/>
                <w:sz w:val="24"/>
              </w:rPr>
            </w:pPr>
            <w:r>
              <w:rPr>
                <w:rFonts w:hint="eastAsia" w:asciiTheme="majorEastAsia" w:hAnsiTheme="majorEastAsia" w:eastAsiaTheme="majorEastAsia" w:cstheme="majorEastAsia"/>
                <w:sz w:val="24"/>
              </w:rPr>
              <w:t>参考第三部分服务技术要求</w:t>
            </w:r>
          </w:p>
        </w:tc>
      </w:tr>
    </w:tbl>
    <w:p w14:paraId="0D71EA28">
      <w:pPr>
        <w:autoSpaceDE w:val="0"/>
        <w:autoSpaceDN w:val="0"/>
        <w:adjustRightInd w:val="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备注：一切涉及服务的费用均包含在总费用内！</w:t>
      </w:r>
    </w:p>
    <w:p w14:paraId="3DDFCE9D">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本服务项目有效期自合同签订之日起一年内有效。</w:t>
      </w:r>
    </w:p>
    <w:p w14:paraId="484D8FCF">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项目编号：HDGX-</w:t>
      </w:r>
      <w:r>
        <w:rPr>
          <w:rFonts w:asciiTheme="majorEastAsia" w:hAnsiTheme="majorEastAsia" w:eastAsiaTheme="majorEastAsia"/>
          <w:bCs/>
          <w:sz w:val="28"/>
          <w:szCs w:val="28"/>
        </w:rPr>
        <w:t>2024</w:t>
      </w:r>
      <w:r>
        <w:rPr>
          <w:rFonts w:hint="eastAsia" w:asciiTheme="majorEastAsia" w:hAnsiTheme="majorEastAsia" w:eastAsiaTheme="majorEastAsia"/>
          <w:bCs/>
          <w:sz w:val="28"/>
          <w:szCs w:val="28"/>
        </w:rPr>
        <w:t>-41</w:t>
      </w:r>
    </w:p>
    <w:p w14:paraId="55895CF9">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二、供应商要求</w:t>
      </w:r>
    </w:p>
    <w:p w14:paraId="2604432B">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14:paraId="1A3EC4C0">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14:paraId="03332DB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资质</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14:paraId="146BBD7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14:paraId="265EA847">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询价采购项目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14:paraId="7435193A">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（五）考虑到服务的及时性，供应商办公地址应在大成都市范围内（12区5市3县）</w:t>
      </w:r>
    </w:p>
    <w:p w14:paraId="3BF1C96F">
      <w:pPr>
        <w:spacing w:line="540" w:lineRule="exact"/>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rPr>
        <w:t>2024年 8月</w:t>
      </w:r>
      <w:r>
        <w:rPr>
          <w:rFonts w:hint="eastAsia" w:asciiTheme="majorEastAsia" w:hAnsiTheme="majorEastAsia" w:eastAsiaTheme="majorEastAsia"/>
          <w:sz w:val="28"/>
          <w:szCs w:val="28"/>
          <w:lang w:val="en-US" w:eastAsia="zh-CN"/>
        </w:rPr>
        <w:t>27</w:t>
      </w:r>
      <w:r>
        <w:rPr>
          <w:rFonts w:hint="eastAsia" w:asciiTheme="majorEastAsia" w:hAnsiTheme="majorEastAsia" w:eastAsiaTheme="majorEastAsia"/>
          <w:sz w:val="28"/>
          <w:szCs w:val="28"/>
        </w:rPr>
        <w:t>日</w:t>
      </w:r>
      <w:r>
        <w:rPr>
          <w:rFonts w:asciiTheme="majorEastAsia" w:hAnsiTheme="majorEastAsia" w:eastAsiaTheme="majorEastAsia"/>
          <w:sz w:val="28"/>
          <w:szCs w:val="28"/>
        </w:rPr>
        <w:t>—</w:t>
      </w:r>
      <w:r>
        <w:rPr>
          <w:rFonts w:hint="eastAsia" w:asciiTheme="majorEastAsia" w:hAnsiTheme="majorEastAsia" w:eastAsiaTheme="majorEastAsia"/>
          <w:sz w:val="28"/>
          <w:szCs w:val="28"/>
        </w:rPr>
        <w:t xml:space="preserve"> 2024年</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日</w:t>
      </w:r>
    </w:p>
    <w:p w14:paraId="73CB686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四、报价资料及递交要求</w:t>
      </w:r>
    </w:p>
    <w:p w14:paraId="03B6CE60">
      <w:pPr>
        <w:spacing w:line="540" w:lineRule="exact"/>
        <w:rPr>
          <w:rFonts w:asciiTheme="majorEastAsia" w:hAnsiTheme="majorEastAsia" w:eastAsiaTheme="majorEastAsia"/>
          <w:sz w:val="28"/>
          <w:szCs w:val="28"/>
        </w:rPr>
      </w:pPr>
      <w:r>
        <w:rPr>
          <w:rFonts w:hint="eastAsia" w:asciiTheme="majorEastAsia" w:hAnsiTheme="majorEastAsia" w:eastAsiaTheme="majorEastAsia"/>
          <w:bCs/>
          <w:sz w:val="28"/>
          <w:szCs w:val="28"/>
        </w:rPr>
        <w:t>（一）递交截止时间：</w:t>
      </w:r>
      <w:r>
        <w:rPr>
          <w:rFonts w:hint="eastAsia" w:asciiTheme="majorEastAsia" w:hAnsiTheme="majorEastAsia" w:eastAsiaTheme="majorEastAsia"/>
          <w:sz w:val="28"/>
          <w:szCs w:val="28"/>
        </w:rPr>
        <w:t>2024年</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14:paraId="732FEE7C">
      <w:pPr>
        <w:spacing w:line="540" w:lineRule="exact"/>
        <w:rPr>
          <w:rFonts w:ascii="宋体" w:hAnsi="宋体" w:cs="宋体"/>
          <w:sz w:val="28"/>
          <w:szCs w:val="28"/>
        </w:rPr>
      </w:pPr>
      <w:r>
        <w:rPr>
          <w:rFonts w:hint="eastAsia" w:asciiTheme="majorEastAsia" w:hAnsiTheme="majorEastAsia" w:eastAsiaTheme="majorEastAsia"/>
          <w:bCs/>
          <w:sz w:val="28"/>
          <w:szCs w:val="28"/>
        </w:rPr>
        <w:t>（二）</w:t>
      </w:r>
      <w:r>
        <w:rPr>
          <w:rFonts w:hint="eastAsia" w:ascii="宋体" w:hAnsi="宋体" w:cs="宋体"/>
          <w:bCs/>
          <w:sz w:val="28"/>
          <w:szCs w:val="28"/>
        </w:rPr>
        <w:t>递交地点：</w:t>
      </w:r>
      <w:r>
        <w:rPr>
          <w:rFonts w:hint="eastAsia" w:ascii="宋体" w:hAnsi="宋体" w:cs="宋体"/>
          <w:spacing w:val="12"/>
          <w:sz w:val="28"/>
          <w:szCs w:val="28"/>
        </w:rPr>
        <w:t>都江堰市经济开发区光泰路12号（成都恒达光学有限公司）</w:t>
      </w:r>
    </w:p>
    <w:p w14:paraId="0A59A2A1">
      <w:pPr>
        <w:spacing w:line="360" w:lineRule="auto"/>
        <w:rPr>
          <w:rFonts w:ascii="宋体" w:hAnsi="宋体" w:cs="宋体"/>
          <w:spacing w:val="12"/>
          <w:sz w:val="28"/>
          <w:szCs w:val="28"/>
        </w:rPr>
      </w:pPr>
      <w:r>
        <w:rPr>
          <w:rFonts w:hint="eastAsia" w:ascii="宋体" w:hAnsi="宋体" w:cs="宋体"/>
          <w:spacing w:val="12"/>
          <w:sz w:val="28"/>
          <w:szCs w:val="28"/>
        </w:rPr>
        <w:t>（三）询价咨询人：黄益 13056680047</w:t>
      </w:r>
    </w:p>
    <w:p w14:paraId="31500DB4">
      <w:pPr>
        <w:spacing w:line="360" w:lineRule="auto"/>
        <w:rPr>
          <w:rFonts w:ascii="宋体" w:hAnsi="宋体" w:cs="宋体"/>
          <w:spacing w:val="12"/>
          <w:sz w:val="28"/>
          <w:szCs w:val="28"/>
        </w:rPr>
      </w:pPr>
      <w:r>
        <w:rPr>
          <w:rFonts w:hint="eastAsia" w:ascii="宋体" w:hAnsi="宋体" w:cs="宋体"/>
          <w:spacing w:val="12"/>
          <w:sz w:val="28"/>
          <w:szCs w:val="28"/>
        </w:rPr>
        <w:t>（四）询价采购监督人：刘瑾 13991095706</w:t>
      </w:r>
    </w:p>
    <w:p w14:paraId="1E6D9860">
      <w:pPr>
        <w:spacing w:line="360" w:lineRule="auto"/>
        <w:rPr>
          <w:rFonts w:ascii="宋体" w:hAnsi="宋体" w:cs="宋体"/>
          <w:spacing w:val="12"/>
          <w:sz w:val="28"/>
          <w:szCs w:val="28"/>
        </w:rPr>
      </w:pPr>
      <w:r>
        <w:rPr>
          <w:rFonts w:hint="eastAsia" w:ascii="宋体" w:hAnsi="宋体" w:cs="宋体"/>
          <w:spacing w:val="12"/>
          <w:sz w:val="28"/>
          <w:szCs w:val="28"/>
        </w:rPr>
        <w:t>（五）报价文件接收人：赵姿然13699482248</w:t>
      </w:r>
    </w:p>
    <w:p w14:paraId="51F18C22">
      <w:pPr>
        <w:spacing w:line="540" w:lineRule="exact"/>
        <w:rPr>
          <w:rFonts w:ascii="宋体" w:hAnsi="宋体" w:cs="宋体"/>
          <w:sz w:val="28"/>
          <w:szCs w:val="28"/>
        </w:rPr>
      </w:pPr>
      <w:r>
        <w:rPr>
          <w:rFonts w:hint="eastAsia" w:ascii="宋体" w:hAnsi="宋体" w:cs="宋体"/>
          <w:bCs/>
          <w:sz w:val="28"/>
          <w:szCs w:val="28"/>
        </w:rPr>
        <w:t>（六）</w:t>
      </w:r>
      <w:r>
        <w:rPr>
          <w:rFonts w:hint="eastAsia" w:ascii="宋体" w:hAnsi="宋体" w:cs="宋体"/>
          <w:sz w:val="28"/>
          <w:szCs w:val="28"/>
        </w:rPr>
        <w:t>所提供的各类资料须分别加盖本企业鲜章</w:t>
      </w:r>
    </w:p>
    <w:p w14:paraId="548DECB2">
      <w:pPr>
        <w:spacing w:line="540" w:lineRule="exact"/>
        <w:rPr>
          <w:rFonts w:asciiTheme="majorEastAsia" w:hAnsiTheme="majorEastAsia" w:eastAsiaTheme="majorEastAsia"/>
          <w:sz w:val="28"/>
          <w:szCs w:val="28"/>
        </w:rPr>
      </w:pPr>
      <w:r>
        <w:rPr>
          <w:rFonts w:hint="eastAsia" w:ascii="宋体" w:hAnsi="宋体" w:cs="宋体"/>
          <w:sz w:val="28"/>
          <w:szCs w:val="28"/>
        </w:rPr>
        <w:t>（七）全部报价文件资料需装订成册、密封，并</w:t>
      </w:r>
      <w:r>
        <w:rPr>
          <w:rFonts w:hint="eastAsia" w:asciiTheme="majorEastAsia" w:hAnsiTheme="majorEastAsia" w:eastAsiaTheme="majorEastAsia"/>
          <w:sz w:val="28"/>
          <w:szCs w:val="28"/>
        </w:rPr>
        <w:t>在密封处加盖本企业鲜章</w:t>
      </w:r>
    </w:p>
    <w:p w14:paraId="4FD5EF5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（八）误发、迟发、非纸质方式发送报价文件或报价文件无公章的，视为无效资料。</w:t>
      </w:r>
    </w:p>
    <w:p w14:paraId="354AA32E">
      <w:pPr>
        <w:spacing w:line="540" w:lineRule="exact"/>
        <w:ind w:firstLine="560" w:firstLineChars="200"/>
        <w:rPr>
          <w:rFonts w:asciiTheme="majorEastAsia" w:hAnsiTheme="majorEastAsia" w:eastAsiaTheme="majorEastAsia"/>
          <w:sz w:val="28"/>
          <w:szCs w:val="28"/>
        </w:rPr>
      </w:pPr>
    </w:p>
    <w:p w14:paraId="1AC60DD9">
      <w:pPr>
        <w:spacing w:line="540" w:lineRule="exact"/>
        <w:ind w:firstLine="560" w:firstLineChars="200"/>
        <w:rPr>
          <w:rFonts w:asciiTheme="majorEastAsia" w:hAnsiTheme="majorEastAsia" w:eastAsiaTheme="majorEastAsia"/>
          <w:sz w:val="28"/>
          <w:szCs w:val="28"/>
        </w:rPr>
      </w:pPr>
    </w:p>
    <w:p w14:paraId="7ED548AC">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3691D241">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成都恒达光学有限公司</w:t>
      </w:r>
    </w:p>
    <w:p w14:paraId="26ED123F">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二0二四年八月</w:t>
      </w:r>
      <w:r>
        <w:rPr>
          <w:rFonts w:hint="eastAsia" w:asciiTheme="majorEastAsia" w:hAnsiTheme="majorEastAsia" w:eastAsiaTheme="majorEastAsia"/>
          <w:sz w:val="28"/>
          <w:szCs w:val="28"/>
          <w:lang w:val="en-US" w:eastAsia="zh-CN"/>
        </w:rPr>
        <w:t>二十七</w:t>
      </w:r>
      <w:bookmarkStart w:id="11" w:name="_GoBack"/>
      <w:bookmarkEnd w:id="11"/>
      <w:r>
        <w:rPr>
          <w:rFonts w:hint="eastAsia" w:asciiTheme="majorEastAsia" w:hAnsiTheme="majorEastAsia" w:eastAsiaTheme="majorEastAsia"/>
          <w:sz w:val="28"/>
          <w:szCs w:val="28"/>
        </w:rPr>
        <w:t>日</w:t>
      </w:r>
    </w:p>
    <w:p w14:paraId="07B04AD3">
      <w:pPr>
        <w:spacing w:line="540" w:lineRule="exact"/>
        <w:ind w:firstLine="560" w:firstLineChars="200"/>
        <w:rPr>
          <w:rFonts w:asciiTheme="majorEastAsia" w:hAnsiTheme="majorEastAsia" w:eastAsiaTheme="majorEastAsia"/>
          <w:bCs/>
          <w:sz w:val="28"/>
          <w:szCs w:val="28"/>
        </w:rPr>
      </w:pPr>
    </w:p>
    <w:p w14:paraId="628DF36F">
      <w:pPr>
        <w:pStyle w:val="7"/>
        <w:rPr>
          <w:rFonts w:asciiTheme="majorEastAsia" w:hAnsiTheme="majorEastAsia" w:eastAsiaTheme="majorEastAsia"/>
          <w:bCs/>
          <w:sz w:val="28"/>
          <w:szCs w:val="28"/>
        </w:rPr>
      </w:pPr>
    </w:p>
    <w:p w14:paraId="141F653A">
      <w:pPr>
        <w:pStyle w:val="7"/>
      </w:pPr>
    </w:p>
    <w:p w14:paraId="00BDB539">
      <w:pPr>
        <w:pStyle w:val="7"/>
      </w:pPr>
    </w:p>
    <w:p w14:paraId="7A82BC1E">
      <w:pPr>
        <w:pStyle w:val="7"/>
      </w:pPr>
    </w:p>
    <w:p w14:paraId="03468E21">
      <w:pPr>
        <w:pStyle w:val="7"/>
      </w:pPr>
    </w:p>
    <w:p w14:paraId="171DA62E">
      <w:pPr>
        <w:pStyle w:val="7"/>
      </w:pPr>
    </w:p>
    <w:p w14:paraId="4F4A9F1B">
      <w:pPr>
        <w:pStyle w:val="7"/>
      </w:pPr>
    </w:p>
    <w:p w14:paraId="239FC09E">
      <w:pPr>
        <w:spacing w:line="540" w:lineRule="exact"/>
        <w:rPr>
          <w:rFonts w:asciiTheme="majorEastAsia" w:hAnsiTheme="majorEastAsia" w:eastAsiaTheme="majorEastAsia"/>
          <w:sz w:val="44"/>
          <w:szCs w:val="44"/>
        </w:rPr>
      </w:pPr>
    </w:p>
    <w:p w14:paraId="11A26015">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14:paraId="3F7673F2">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14:paraId="54633C19">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14:paraId="77B2F847">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14:paraId="1EE2A79C">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采用综合评标法确定最终供应商。</w:t>
            </w:r>
            <w:r>
              <w:rPr>
                <w:rFonts w:cs="仿宋_GB2312" w:asciiTheme="majorEastAsia" w:hAnsiTheme="majorEastAsia" w:eastAsiaTheme="majorEastAsia"/>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14:paraId="15A55F8B">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14:paraId="5EB9B295">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4、报价人需提供属地相关部门的有效资质。</w:t>
            </w:r>
          </w:p>
          <w:p w14:paraId="23C51DE8">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6、相关服务承诺。</w:t>
            </w:r>
          </w:p>
        </w:tc>
      </w:tr>
    </w:tbl>
    <w:p w14:paraId="7B29AFC4">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14:paraId="571795D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二、各供应商填报的单价均以人民币元为计价单位。</w:t>
      </w:r>
    </w:p>
    <w:p w14:paraId="2B32F16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14:paraId="107685EE">
      <w:pPr>
        <w:spacing w:line="540" w:lineRule="exact"/>
        <w:rPr>
          <w:rFonts w:asciiTheme="majorEastAsia" w:hAnsiTheme="majorEastAsia" w:eastAsiaTheme="majorEastAsia"/>
          <w:sz w:val="28"/>
          <w:szCs w:val="28"/>
        </w:rPr>
      </w:pPr>
      <w:r>
        <w:rPr>
          <w:rFonts w:hint="eastAsia" w:asciiTheme="majorEastAsia" w:hAnsiTheme="majorEastAsia" w:eastAsiaTheme="majorEastAsia"/>
          <w:b/>
          <w:bCs/>
          <w:sz w:val="28"/>
          <w:szCs w:val="28"/>
        </w:rPr>
        <w:t>四、下列情况将被视为无效报价文件：</w:t>
      </w:r>
    </w:p>
    <w:p w14:paraId="74D5ACF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14:paraId="7F2935E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14:paraId="7BCB5F0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14:paraId="750F2C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14:paraId="3720BB2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14:paraId="19AF4B2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14:paraId="2B0F67EF">
      <w:pPr>
        <w:spacing w:line="540" w:lineRule="exact"/>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14:paraId="03D68F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五、评审工作按照成都恒达光学有限公司</w:t>
      </w:r>
      <w:bookmarkStart w:id="0" w:name="_Hlk33695163"/>
      <w:r>
        <w:rPr>
          <w:rFonts w:hint="eastAsia" w:asciiTheme="majorEastAsia" w:hAnsiTheme="majorEastAsia" w:eastAsiaTheme="majorEastAsia"/>
          <w:sz w:val="28"/>
          <w:szCs w:val="28"/>
        </w:rPr>
        <w:t>采购评审</w:t>
      </w:r>
      <w:bookmarkEnd w:id="0"/>
      <w:r>
        <w:rPr>
          <w:rFonts w:hint="eastAsia" w:asciiTheme="majorEastAsia" w:hAnsiTheme="majorEastAsia" w:eastAsiaTheme="majorEastAsia"/>
          <w:sz w:val="28"/>
          <w:szCs w:val="28"/>
        </w:rPr>
        <w:t>管理相关规定执行。</w:t>
      </w:r>
    </w:p>
    <w:p w14:paraId="1C9A7C7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供应商拒不进行澄清、说明、补正的，或者不能在规定时间内作出书面澄清、说明、补正的，报价文件将被视为无效报价文件。</w:t>
      </w:r>
    </w:p>
    <w:p w14:paraId="09A03F4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七、出现下列情形之一的，评审小组有权否决供应商的报价或取消采购活动：</w:t>
      </w:r>
    </w:p>
    <w:p w14:paraId="09E3DD4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14:paraId="25F1D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14:paraId="4430EDD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14:paraId="370645A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（四）经评审认为所有报价文件都不符合询价文件要求的。</w:t>
      </w:r>
    </w:p>
    <w:p w14:paraId="5DE88D7F">
      <w:pPr>
        <w:spacing w:line="540" w:lineRule="exact"/>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14:paraId="155D760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（一）评审前对所有报价文件进行初审，确定其是否有效。</w:t>
      </w:r>
    </w:p>
    <w:p w14:paraId="39922BE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14:paraId="6AC9D0C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（三）评审标准：综合评分法</w:t>
      </w:r>
    </w:p>
    <w:p w14:paraId="0F24C5A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（四）在确定评审结果后，采购方将以《供应商确认通知单》通知参与此次采购的成交供应商。</w:t>
      </w:r>
    </w:p>
    <w:p w14:paraId="51E6E0F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14:paraId="7C0793F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）采购方所发出的《供应商确认通知单》10个工作日内与采购方签订正式采购合同；</w:t>
      </w:r>
    </w:p>
    <w:p w14:paraId="14AC377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（二）《供应商确认通知单》对采购方和供应商均具有法律约束力；</w:t>
      </w:r>
    </w:p>
    <w:p w14:paraId="3AB93CD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（三）《供应商确认通知单》发出后，采购方改变成交结果的，或者供应商放弃成交项目的，应当依法承担法律责任。</w:t>
      </w:r>
    </w:p>
    <w:p w14:paraId="621513B5">
      <w:pPr>
        <w:spacing w:line="540" w:lineRule="exact"/>
        <w:rPr>
          <w:rFonts w:asciiTheme="majorEastAsia" w:hAnsiTheme="majorEastAsia" w:eastAsiaTheme="majorEastAsia"/>
          <w:b/>
          <w:bCs/>
          <w:sz w:val="32"/>
          <w:szCs w:val="32"/>
        </w:rPr>
      </w:pPr>
    </w:p>
    <w:p w14:paraId="3E65C63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第三部  服务技术要求</w:t>
      </w:r>
    </w:p>
    <w:p w14:paraId="66328ED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一、技术要求：</w:t>
      </w:r>
    </w:p>
    <w:p w14:paraId="0ADC737B">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rPr>
        <w:t>1、按照</w:t>
      </w:r>
      <w:r>
        <w:rPr>
          <w:rFonts w:hint="eastAsia" w:asciiTheme="majorEastAsia" w:hAnsiTheme="majorEastAsia" w:eastAsiaTheme="majorEastAsia"/>
          <w:sz w:val="28"/>
          <w:szCs w:val="28"/>
          <w:highlight w:val="none"/>
        </w:rPr>
        <w:t>《危险化学品目录(2022版)》、《危险货物产品目录》、《危险化学品重大危险源辨识》对厂区涉及到的危化品和使用物质及产品进行进行重大危险源的计算、辨识和分析；</w:t>
      </w:r>
    </w:p>
    <w:p w14:paraId="56D96E50">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根据《机械、冶金行业较大危险因素辨识与防范指导手册》(安监总管四(2016)31号)、《企业职工伤亡事故分类》、《生产过程危险和有害因素分类与代码》对项目存在的危险、有害因素、涉及到的事故类型进行辨识与分析；</w:t>
      </w:r>
    </w:p>
    <w:p w14:paraId="2D5D6BED">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3、根据《四川省生产安全事故应急预案管理实施细则》【川安监(2018)43 号】对项目生产过程存在的预测危险源、危险目标可能发生事故的类别、危害程度进行辨识与分析；</w:t>
      </w:r>
    </w:p>
    <w:p w14:paraId="1DD5451C">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4、</w:t>
      </w:r>
      <w:r>
        <w:rPr>
          <w:rFonts w:asciiTheme="majorEastAsia" w:hAnsiTheme="majorEastAsia" w:eastAsiaTheme="majorEastAsia"/>
          <w:sz w:val="28"/>
          <w:szCs w:val="28"/>
          <w:highlight w:val="none"/>
        </w:rPr>
        <w:t>职业病危害因素</w:t>
      </w:r>
      <w:r>
        <w:rPr>
          <w:rFonts w:hint="eastAsia" w:asciiTheme="majorEastAsia" w:hAnsiTheme="majorEastAsia" w:eastAsiaTheme="majorEastAsia"/>
          <w:sz w:val="28"/>
          <w:szCs w:val="28"/>
          <w:highlight w:val="none"/>
        </w:rPr>
        <w:t>参照《职业病危害因素分类目录》(国卫疾控发(2015)92 号)进行辨识与分析；</w:t>
      </w:r>
    </w:p>
    <w:p w14:paraId="556783F6">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highlight w:val="none"/>
        </w:rPr>
        <w:t>5、参照《工贸行业重大生产安全事故隐患判定标准》对厂</w:t>
      </w:r>
      <w:r>
        <w:rPr>
          <w:rFonts w:hint="eastAsia" w:asciiTheme="majorEastAsia" w:hAnsiTheme="majorEastAsia" w:eastAsiaTheme="majorEastAsia"/>
          <w:sz w:val="28"/>
          <w:szCs w:val="28"/>
        </w:rPr>
        <w:t>区内存在的较大危险有害因素进行辨识与分析。</w:t>
      </w:r>
    </w:p>
    <w:p w14:paraId="112DD08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二、服务程序：</w:t>
      </w:r>
    </w:p>
    <w:p w14:paraId="3AE83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1</w:t>
      </w:r>
      <w:r>
        <w:rPr>
          <w:rFonts w:hint="eastAsia" w:asciiTheme="majorEastAsia" w:hAnsiTheme="majorEastAsia" w:eastAsiaTheme="majorEastAsia"/>
          <w:sz w:val="28"/>
          <w:szCs w:val="28"/>
        </w:rPr>
        <w:t>、现场调研，收集企业岗位生产设备和作业活动清单，整理并归类；</w:t>
      </w:r>
    </w:p>
    <w:p w14:paraId="47A04B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2</w:t>
      </w:r>
      <w:r>
        <w:rPr>
          <w:rFonts w:hint="eastAsia" w:asciiTheme="majorEastAsia" w:hAnsiTheme="majorEastAsia" w:eastAsiaTheme="majorEastAsia"/>
          <w:sz w:val="28"/>
          <w:szCs w:val="28"/>
        </w:rPr>
        <w:t>、针对清单目录进行核实，召开安全风险辨识工作会议，讨论和确认安全风险清单；</w:t>
      </w:r>
    </w:p>
    <w:p w14:paraId="09FA258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、依据国家相关法律法规和标准，根据企业实际情况，开展风险辨识活动，编制风险因素分析表；</w:t>
      </w:r>
    </w:p>
    <w:p w14:paraId="332A4C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、对存在的安全风险因素进行风险分级与评估工作，确定风险等级，编制风险分级评估表；</w:t>
      </w:r>
    </w:p>
    <w:p w14:paraId="123CCDA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5</w:t>
      </w:r>
      <w:r>
        <w:rPr>
          <w:rFonts w:hint="eastAsia" w:asciiTheme="majorEastAsia" w:hAnsiTheme="majorEastAsia" w:eastAsiaTheme="majorEastAsia"/>
          <w:sz w:val="28"/>
          <w:szCs w:val="28"/>
        </w:rPr>
        <w:t>、针对风险分级评估结果，确定风险分级管控措施和安全监管层级；</w:t>
      </w:r>
    </w:p>
    <w:p w14:paraId="226965C6">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6</w:t>
      </w:r>
      <w:r>
        <w:rPr>
          <w:rFonts w:hint="eastAsia" w:asciiTheme="majorEastAsia" w:hAnsiTheme="majorEastAsia" w:eastAsiaTheme="majorEastAsia"/>
          <w:sz w:val="28"/>
          <w:szCs w:val="28"/>
        </w:rPr>
        <w:t>、根据企业安全风险评估结果，修改安全风险及隐患排查治理管理制度；</w:t>
      </w:r>
    </w:p>
    <w:p w14:paraId="44E8357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、建立综合类隐患排查清单，编制岗位安全风险现场告知卡和企业安全风险“四色”电子图；</w:t>
      </w:r>
    </w:p>
    <w:p w14:paraId="5713654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8</w:t>
      </w:r>
      <w:r>
        <w:rPr>
          <w:rFonts w:hint="eastAsia" w:asciiTheme="majorEastAsia" w:hAnsiTheme="majorEastAsia" w:eastAsiaTheme="majorEastAsia"/>
          <w:sz w:val="28"/>
          <w:szCs w:val="28"/>
        </w:rPr>
        <w:t>、建立安全风险辨识与分级管控资料档案并召开双重预防机制工作总结会，交接相关技术资料。</w:t>
      </w:r>
    </w:p>
    <w:p w14:paraId="39F2394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三、服务要求：</w:t>
      </w:r>
    </w:p>
    <w:p w14:paraId="400CD87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★1、“安全风险分级管控和隐患排查治理双重预防工作机制”报告需要通过专家组（省级一人，市级两人）评审；</w:t>
      </w:r>
    </w:p>
    <w:p w14:paraId="44E59D4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合同签订日起，15天内</w:t>
      </w:r>
      <w:r>
        <w:rPr>
          <w:rFonts w:hint="eastAsia" w:asciiTheme="majorEastAsia" w:hAnsiTheme="majorEastAsia" w:eastAsiaTheme="majorEastAsia"/>
          <w:sz w:val="28"/>
          <w:szCs w:val="28"/>
        </w:rPr>
        <w:t>完成“安全风险分级管控和隐患排查治理双重预防工作机制”报告交接。</w:t>
      </w:r>
    </w:p>
    <w:p w14:paraId="1E6372B2">
      <w:pPr>
        <w:spacing w:line="540" w:lineRule="exact"/>
        <w:rPr>
          <w:rFonts w:asciiTheme="majorEastAsia" w:hAnsiTheme="majorEastAsia" w:eastAsiaTheme="majorEastAsia"/>
          <w:b/>
          <w:bCs/>
          <w:sz w:val="32"/>
          <w:szCs w:val="32"/>
        </w:rPr>
      </w:pPr>
    </w:p>
    <w:p w14:paraId="6945D60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第四部分   商务部分</w:t>
      </w:r>
    </w:p>
    <w:p w14:paraId="4DAB5940">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一、项目实施时间：从合同签署之日起1年。</w:t>
      </w:r>
    </w:p>
    <w:p w14:paraId="63B42B6D">
      <w:pPr>
        <w:spacing w:line="500" w:lineRule="exact"/>
        <w:rPr>
          <w:rFonts w:asciiTheme="majorEastAsia" w:hAnsiTheme="majorEastAsia" w:eastAsiaTheme="majorEastAsia"/>
          <w:sz w:val="28"/>
          <w:szCs w:val="28"/>
        </w:rPr>
      </w:pPr>
      <w:r>
        <w:rPr>
          <w:rFonts w:hint="eastAsia" w:ascii="方正舒体" w:eastAsia="方正舒体" w:hAnsiTheme="majorEastAsia"/>
          <w:sz w:val="28"/>
          <w:szCs w:val="28"/>
        </w:rPr>
        <w:t>★</w:t>
      </w:r>
      <w:r>
        <w:rPr>
          <w:rFonts w:hint="eastAsia" w:asciiTheme="majorEastAsia" w:hAnsiTheme="majorEastAsia" w:eastAsiaTheme="majorEastAsia"/>
          <w:sz w:val="28"/>
          <w:szCs w:val="28"/>
        </w:rPr>
        <w:t>二、付款方法和条件：取得报告后，乙方开具增值税专用发票，甲方在60个工作日内支付款项。</w:t>
      </w:r>
    </w:p>
    <w:p w14:paraId="07F67061">
      <w:pPr>
        <w:adjustRightInd w:val="0"/>
        <w:spacing w:line="500" w:lineRule="exact"/>
        <w:textAlignment w:val="baseline"/>
        <w:rPr>
          <w:rFonts w:asciiTheme="majorEastAsia" w:hAnsiTheme="majorEastAsia" w:eastAsiaTheme="majorEastAsia"/>
          <w:sz w:val="28"/>
          <w:szCs w:val="28"/>
        </w:rPr>
      </w:pPr>
      <w:r>
        <w:rPr>
          <w:rFonts w:hint="eastAsia" w:asciiTheme="majorEastAsia" w:hAnsiTheme="majorEastAsia" w:eastAsiaTheme="majorEastAsia"/>
          <w:sz w:val="28"/>
          <w:szCs w:val="28"/>
        </w:rPr>
        <w:t>三、法律管辖及仲裁：买卖双方之合同受中华人民共和国法律之管辖并依其进行解释。如有争议，在双方友好交涉无法解决时，向供应商所在地人民法院提起公诉。</w:t>
      </w:r>
    </w:p>
    <w:p w14:paraId="0E845293">
      <w:pPr>
        <w:spacing w:line="540" w:lineRule="exact"/>
        <w:rPr>
          <w:rFonts w:asciiTheme="majorEastAsia" w:hAnsiTheme="majorEastAsia" w:eastAsiaTheme="majorEastAsia"/>
          <w:bCs/>
          <w:sz w:val="32"/>
          <w:szCs w:val="32"/>
        </w:rPr>
      </w:pPr>
    </w:p>
    <w:p w14:paraId="42394A46">
      <w:pPr>
        <w:spacing w:line="540" w:lineRule="exact"/>
        <w:rPr>
          <w:rFonts w:asciiTheme="majorEastAsia" w:hAnsiTheme="majorEastAsia" w:eastAsiaTheme="majorEastAsia"/>
          <w:bCs/>
          <w:sz w:val="32"/>
          <w:szCs w:val="32"/>
        </w:rPr>
      </w:pPr>
    </w:p>
    <w:p w14:paraId="2CA7C817">
      <w:pPr>
        <w:spacing w:line="540" w:lineRule="exact"/>
        <w:rPr>
          <w:rFonts w:asciiTheme="majorEastAsia" w:hAnsiTheme="majorEastAsia" w:eastAsiaTheme="majorEastAsia"/>
          <w:sz w:val="44"/>
          <w:szCs w:val="44"/>
        </w:rPr>
      </w:pPr>
    </w:p>
    <w:p w14:paraId="7FA7B05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第五部分 评分标准</w:t>
      </w:r>
    </w:p>
    <w:p w14:paraId="3CA3EE70">
      <w:pPr>
        <w:pStyle w:val="7"/>
        <w:spacing w:after="0"/>
        <w:rPr>
          <w:sz w:val="28"/>
        </w:rPr>
      </w:pPr>
      <w:r>
        <w:rPr>
          <w:rFonts w:hint="eastAsia"/>
          <w:sz w:val="28"/>
        </w:rPr>
        <w:t>一、评分方法与选取原则</w:t>
      </w:r>
    </w:p>
    <w:p w14:paraId="41279C40">
      <w:pPr>
        <w:pStyle w:val="7"/>
        <w:spacing w:after="0"/>
        <w:ind w:firstLine="560" w:firstLineChars="200"/>
        <w:rPr>
          <w:sz w:val="28"/>
        </w:rPr>
      </w:pPr>
      <w:bookmarkStart w:id="2" w:name="OLE_LINK20"/>
      <w:r>
        <w:rPr>
          <w:rFonts w:hint="eastAsia"/>
          <w:sz w:val="28"/>
        </w:rPr>
        <w:t>采购评审小组将对确定为实质性响应文件要求的报价进行评价和比较，评分采用综合评分法确定合作候选供应商。</w:t>
      </w:r>
    </w:p>
    <w:bookmarkEnd w:id="2"/>
    <w:p w14:paraId="76ECD3BE">
      <w:pPr>
        <w:pStyle w:val="7"/>
        <w:spacing w:after="0"/>
        <w:rPr>
          <w:sz w:val="28"/>
        </w:rPr>
      </w:pPr>
      <w:r>
        <w:rPr>
          <w:rFonts w:hint="eastAsia"/>
          <w:sz w:val="28"/>
        </w:rPr>
        <w:t>二、评分标准</w:t>
      </w:r>
    </w:p>
    <w:p w14:paraId="49D8A1C8">
      <w:pPr>
        <w:pStyle w:val="7"/>
        <w:spacing w:after="0"/>
        <w:rPr>
          <w:sz w:val="28"/>
        </w:rPr>
      </w:pPr>
      <w:r>
        <w:rPr>
          <w:rFonts w:hint="eastAsia"/>
          <w:sz w:val="28"/>
        </w:rPr>
        <w:t>1.评审方法</w:t>
      </w:r>
    </w:p>
    <w:p w14:paraId="30F890CD">
      <w:pPr>
        <w:pStyle w:val="7"/>
        <w:spacing w:after="0"/>
        <w:rPr>
          <w:sz w:val="28"/>
        </w:rPr>
      </w:pPr>
      <w:r>
        <w:rPr>
          <w:rFonts w:hint="eastAsia"/>
          <w:b/>
          <w:bCs/>
          <w:sz w:val="28"/>
        </w:rPr>
        <w:t>本项目评审方法为：综合评分法。</w:t>
      </w:r>
    </w:p>
    <w:p w14:paraId="2028C722">
      <w:pPr>
        <w:pStyle w:val="7"/>
        <w:spacing w:after="0"/>
        <w:rPr>
          <w:sz w:val="28"/>
        </w:rPr>
      </w:pPr>
      <w:r>
        <w:rPr>
          <w:rFonts w:hint="eastAsia"/>
          <w:sz w:val="28"/>
        </w:rPr>
        <w:t>2.初步评审</w:t>
      </w:r>
    </w:p>
    <w:p w14:paraId="51CFE16C">
      <w:pPr>
        <w:pStyle w:val="7"/>
        <w:spacing w:after="0"/>
        <w:rPr>
          <w:sz w:val="28"/>
        </w:rPr>
      </w:pPr>
      <w:r>
        <w:rPr>
          <w:rFonts w:hint="eastAsia"/>
          <w:sz w:val="28"/>
        </w:rPr>
        <w:t>有下列情形之一的，采购评审小组应当否决其报价：</w:t>
      </w:r>
    </w:p>
    <w:p w14:paraId="5259675E">
      <w:pPr>
        <w:pStyle w:val="7"/>
        <w:spacing w:after="0"/>
        <w:rPr>
          <w:sz w:val="28"/>
        </w:rPr>
      </w:pPr>
      <w:r>
        <w:rPr>
          <w:rFonts w:hint="eastAsia"/>
          <w:sz w:val="28"/>
        </w:rPr>
        <w:t>（1）响应文件格式不符合报价文件组成要求的；</w:t>
      </w:r>
    </w:p>
    <w:p w14:paraId="26C30D62">
      <w:pPr>
        <w:pStyle w:val="7"/>
        <w:spacing w:after="0"/>
        <w:rPr>
          <w:sz w:val="28"/>
        </w:rPr>
      </w:pPr>
      <w:r>
        <w:rPr>
          <w:rFonts w:hint="eastAsia"/>
          <w:sz w:val="28"/>
        </w:rPr>
        <w:t>（2）响应文件填报不符合要求：存在无盖章、签字、日期等重要信息以及错填、不填等情况的；</w:t>
      </w:r>
    </w:p>
    <w:p w14:paraId="2CFA91CF">
      <w:pPr>
        <w:pStyle w:val="7"/>
        <w:spacing w:after="0"/>
        <w:rPr>
          <w:sz w:val="28"/>
        </w:rPr>
      </w:pPr>
      <w:r>
        <w:rPr>
          <w:rFonts w:hint="eastAsia"/>
          <w:sz w:val="28"/>
        </w:rPr>
        <w:t>（3）报价单位不符合国家或者询价采购文件规定的资格条件；</w:t>
      </w:r>
    </w:p>
    <w:p w14:paraId="27F26ACE">
      <w:pPr>
        <w:pStyle w:val="7"/>
        <w:spacing w:after="0"/>
        <w:rPr>
          <w:sz w:val="28"/>
        </w:rPr>
      </w:pPr>
      <w:r>
        <w:rPr>
          <w:rFonts w:hint="eastAsia"/>
          <w:sz w:val="28"/>
        </w:rPr>
        <w:t>（4）同一报价单位提交两个以上不同的响应文件或者响应报价；</w:t>
      </w:r>
    </w:p>
    <w:p w14:paraId="0641186B">
      <w:pPr>
        <w:pStyle w:val="7"/>
        <w:spacing w:after="0"/>
        <w:rPr>
          <w:sz w:val="28"/>
        </w:rPr>
      </w:pPr>
      <w:r>
        <w:rPr>
          <w:rFonts w:hint="eastAsia"/>
          <w:sz w:val="28"/>
        </w:rPr>
        <w:t>（5）响应文件没有对询价采购文件的实质性要求和条件作出响应；</w:t>
      </w:r>
    </w:p>
    <w:p w14:paraId="02DB6FC8">
      <w:pPr>
        <w:pStyle w:val="7"/>
        <w:spacing w:after="0"/>
        <w:rPr>
          <w:sz w:val="28"/>
        </w:rPr>
      </w:pPr>
      <w:r>
        <w:rPr>
          <w:rFonts w:hint="eastAsia"/>
          <w:sz w:val="28"/>
        </w:rPr>
        <w:t>（6）报价单位有串通报价、弄虚作假、行贿等违法行为。</w:t>
      </w:r>
    </w:p>
    <w:p w14:paraId="4B03A00B">
      <w:pPr>
        <w:pStyle w:val="7"/>
        <w:spacing w:after="0"/>
        <w:rPr>
          <w:sz w:val="28"/>
        </w:rPr>
      </w:pPr>
      <w:r>
        <w:rPr>
          <w:rFonts w:hint="eastAsia"/>
          <w:sz w:val="28"/>
        </w:rPr>
        <w:t>3.评审细则</w:t>
      </w:r>
    </w:p>
    <w:tbl>
      <w:tblPr>
        <w:tblStyle w:val="17"/>
        <w:tblW w:w="97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1027"/>
        <w:gridCol w:w="1304"/>
        <w:gridCol w:w="6565"/>
      </w:tblGrid>
      <w:tr w14:paraId="2A8D2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844" w:type="dxa"/>
            <w:gridSpan w:val="2"/>
            <w:vAlign w:val="center"/>
          </w:tcPr>
          <w:p w14:paraId="0F0A2FD9">
            <w:pPr>
              <w:pStyle w:val="7"/>
              <w:spacing w:after="0" w:line="400" w:lineRule="exact"/>
              <w:jc w:val="center"/>
              <w:rPr>
                <w:sz w:val="28"/>
              </w:rPr>
            </w:pPr>
            <w:r>
              <w:rPr>
                <w:rFonts w:hint="eastAsia"/>
                <w:sz w:val="28"/>
              </w:rPr>
              <w:t>条款号</w:t>
            </w:r>
          </w:p>
        </w:tc>
        <w:tc>
          <w:tcPr>
            <w:tcW w:w="1304" w:type="dxa"/>
            <w:vAlign w:val="center"/>
          </w:tcPr>
          <w:p w14:paraId="3AAB7A8D">
            <w:pPr>
              <w:pStyle w:val="7"/>
              <w:spacing w:after="0" w:line="400" w:lineRule="exact"/>
              <w:rPr>
                <w:sz w:val="28"/>
              </w:rPr>
            </w:pPr>
            <w:r>
              <w:rPr>
                <w:rFonts w:hint="eastAsia"/>
                <w:sz w:val="28"/>
              </w:rPr>
              <w:t>评分因素</w:t>
            </w:r>
          </w:p>
        </w:tc>
        <w:tc>
          <w:tcPr>
            <w:tcW w:w="6565" w:type="dxa"/>
            <w:vAlign w:val="center"/>
          </w:tcPr>
          <w:p w14:paraId="0D1218E7">
            <w:pPr>
              <w:pStyle w:val="7"/>
              <w:spacing w:after="0" w:line="400" w:lineRule="exact"/>
              <w:rPr>
                <w:sz w:val="28"/>
              </w:rPr>
            </w:pPr>
            <w:r>
              <w:rPr>
                <w:rFonts w:hint="eastAsia"/>
                <w:sz w:val="28"/>
              </w:rPr>
              <w:t>评分标准</w:t>
            </w:r>
          </w:p>
        </w:tc>
      </w:tr>
      <w:tr w14:paraId="3BF3A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tcPr>
          <w:p w14:paraId="0E94AC3E">
            <w:pPr>
              <w:pStyle w:val="7"/>
              <w:spacing w:after="0" w:line="400" w:lineRule="exact"/>
              <w:rPr>
                <w:sz w:val="28"/>
              </w:rPr>
            </w:pPr>
            <w:r>
              <w:rPr>
                <w:rFonts w:hint="eastAsia"/>
                <w:sz w:val="28"/>
              </w:rPr>
              <w:t>1</w:t>
            </w:r>
          </w:p>
        </w:tc>
        <w:tc>
          <w:tcPr>
            <w:tcW w:w="1027" w:type="dxa"/>
            <w:vAlign w:val="center"/>
          </w:tcPr>
          <w:p w14:paraId="0960BAF6">
            <w:pPr>
              <w:pStyle w:val="7"/>
              <w:spacing w:after="0" w:line="400" w:lineRule="exact"/>
              <w:rPr>
                <w:sz w:val="28"/>
              </w:rPr>
            </w:pPr>
            <w:r>
              <w:rPr>
                <w:rFonts w:hint="eastAsia"/>
                <w:sz w:val="28"/>
              </w:rPr>
              <w:t>服务能力（10%）</w:t>
            </w:r>
          </w:p>
        </w:tc>
        <w:tc>
          <w:tcPr>
            <w:tcW w:w="1304" w:type="dxa"/>
            <w:vAlign w:val="center"/>
          </w:tcPr>
          <w:p w14:paraId="20719B53">
            <w:pPr>
              <w:pStyle w:val="7"/>
              <w:spacing w:after="0" w:line="400" w:lineRule="exact"/>
              <w:rPr>
                <w:sz w:val="28"/>
              </w:rPr>
            </w:pPr>
            <w:r>
              <w:rPr>
                <w:rFonts w:hint="eastAsia"/>
                <w:sz w:val="28"/>
              </w:rPr>
              <w:t>投标业绩</w:t>
            </w:r>
          </w:p>
        </w:tc>
        <w:tc>
          <w:tcPr>
            <w:tcW w:w="6565" w:type="dxa"/>
          </w:tcPr>
          <w:p w14:paraId="4F2C1DCC">
            <w:pPr>
              <w:pStyle w:val="7"/>
              <w:spacing w:after="0" w:line="400" w:lineRule="exact"/>
              <w:rPr>
                <w:sz w:val="28"/>
              </w:rPr>
            </w:pPr>
            <w:r>
              <w:rPr>
                <w:rFonts w:hint="eastAsia"/>
                <w:sz w:val="28"/>
              </w:rPr>
              <w:t>供应商具有在与国有独资企业及事业单位合作的相同业绩（附销售合同或中标通知书），每提供1个业绩，得2分，最高得10分。</w:t>
            </w:r>
          </w:p>
        </w:tc>
      </w:tr>
      <w:tr w14:paraId="39E21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vMerge w:val="restart"/>
          </w:tcPr>
          <w:p w14:paraId="14570E1A">
            <w:pPr>
              <w:pStyle w:val="7"/>
              <w:spacing w:after="0" w:line="400" w:lineRule="exact"/>
              <w:rPr>
                <w:sz w:val="28"/>
              </w:rPr>
            </w:pPr>
            <w:r>
              <w:rPr>
                <w:rFonts w:hint="eastAsia"/>
                <w:sz w:val="28"/>
              </w:rPr>
              <w:t>2</w:t>
            </w:r>
          </w:p>
        </w:tc>
        <w:tc>
          <w:tcPr>
            <w:tcW w:w="1027" w:type="dxa"/>
            <w:vMerge w:val="restart"/>
          </w:tcPr>
          <w:p w14:paraId="435E7B09">
            <w:pPr>
              <w:pStyle w:val="7"/>
              <w:spacing w:after="0" w:line="400" w:lineRule="exact"/>
              <w:rPr>
                <w:sz w:val="28"/>
              </w:rPr>
            </w:pPr>
            <w:r>
              <w:rPr>
                <w:rFonts w:hint="eastAsia"/>
                <w:sz w:val="28"/>
              </w:rPr>
              <w:t>服务技术要求、商务要求部分50%</w:t>
            </w:r>
          </w:p>
        </w:tc>
        <w:tc>
          <w:tcPr>
            <w:tcW w:w="1304" w:type="dxa"/>
            <w:tcBorders>
              <w:bottom w:val="single" w:color="auto" w:sz="4" w:space="0"/>
            </w:tcBorders>
            <w:vAlign w:val="center"/>
          </w:tcPr>
          <w:p w14:paraId="3554E5A3">
            <w:pPr>
              <w:pStyle w:val="7"/>
              <w:spacing w:after="0" w:line="400" w:lineRule="exact"/>
              <w:rPr>
                <w:sz w:val="28"/>
              </w:rPr>
            </w:pPr>
            <w:r>
              <w:rPr>
                <w:rFonts w:hint="eastAsia"/>
                <w:sz w:val="28"/>
              </w:rPr>
              <w:t>服务技术要求</w:t>
            </w:r>
          </w:p>
        </w:tc>
        <w:tc>
          <w:tcPr>
            <w:tcW w:w="6565" w:type="dxa"/>
            <w:tcBorders>
              <w:bottom w:val="single" w:color="auto" w:sz="4" w:space="0"/>
            </w:tcBorders>
          </w:tcPr>
          <w:p w14:paraId="0A62E11B">
            <w:pPr>
              <w:pStyle w:val="7"/>
              <w:spacing w:after="0" w:line="400" w:lineRule="exact"/>
              <w:rPr>
                <w:sz w:val="28"/>
              </w:rPr>
            </w:pPr>
            <w:r>
              <w:rPr>
                <w:rFonts w:hint="eastAsia"/>
                <w:sz w:val="28"/>
              </w:rPr>
              <w:t>根据所响应服务对询价文件第三部分服务技术要求的响应性进行评价，满分40分。</w:t>
            </w:r>
          </w:p>
          <w:p w14:paraId="5599FE73">
            <w:pPr>
              <w:pStyle w:val="7"/>
              <w:spacing w:after="0" w:line="400" w:lineRule="exact"/>
              <w:rPr>
                <w:sz w:val="28"/>
              </w:rPr>
            </w:pPr>
            <w:r>
              <w:rPr>
                <w:rFonts w:hint="eastAsia"/>
                <w:sz w:val="28"/>
              </w:rPr>
              <w:t>★号条款不满足做废标处理；</w:t>
            </w:r>
          </w:p>
          <w:p w14:paraId="0E242501">
            <w:pPr>
              <w:pStyle w:val="7"/>
              <w:spacing w:after="0" w:line="400" w:lineRule="exact"/>
              <w:rPr>
                <w:sz w:val="28"/>
              </w:rPr>
            </w:pPr>
            <w:r>
              <w:rPr>
                <w:rFonts w:hint="eastAsia"/>
                <w:sz w:val="28"/>
              </w:rPr>
              <w:t>每有</w:t>
            </w:r>
            <w:r>
              <w:rPr>
                <w:sz w:val="28"/>
              </w:rPr>
              <w:t>1</w:t>
            </w:r>
            <w:r>
              <w:rPr>
                <w:rFonts w:hint="eastAsia"/>
                <w:sz w:val="28"/>
              </w:rPr>
              <w:t>项一般条款不满足扣4分，超过3项不满足作废标处理。</w:t>
            </w:r>
          </w:p>
        </w:tc>
      </w:tr>
      <w:tr w14:paraId="383A1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jc w:val="center"/>
        </w:trPr>
        <w:tc>
          <w:tcPr>
            <w:tcW w:w="817" w:type="dxa"/>
            <w:vMerge w:val="continue"/>
          </w:tcPr>
          <w:p w14:paraId="36AC03DA">
            <w:pPr>
              <w:pStyle w:val="7"/>
              <w:spacing w:after="0" w:line="400" w:lineRule="exact"/>
              <w:rPr>
                <w:sz w:val="28"/>
              </w:rPr>
            </w:pPr>
          </w:p>
        </w:tc>
        <w:tc>
          <w:tcPr>
            <w:tcW w:w="1027" w:type="dxa"/>
            <w:vMerge w:val="continue"/>
          </w:tcPr>
          <w:p w14:paraId="0F663ED4">
            <w:pPr>
              <w:pStyle w:val="7"/>
              <w:spacing w:after="0" w:line="400" w:lineRule="exact"/>
              <w:rPr>
                <w:sz w:val="28"/>
              </w:rPr>
            </w:pPr>
          </w:p>
        </w:tc>
        <w:tc>
          <w:tcPr>
            <w:tcW w:w="1304" w:type="dxa"/>
            <w:vAlign w:val="center"/>
          </w:tcPr>
          <w:p w14:paraId="6EC477E2">
            <w:pPr>
              <w:pStyle w:val="7"/>
              <w:spacing w:after="0" w:line="400" w:lineRule="exact"/>
              <w:rPr>
                <w:sz w:val="28"/>
              </w:rPr>
            </w:pPr>
            <w:r>
              <w:rPr>
                <w:rFonts w:hint="eastAsia"/>
                <w:sz w:val="28"/>
              </w:rPr>
              <w:t>商务要求</w:t>
            </w:r>
          </w:p>
        </w:tc>
        <w:tc>
          <w:tcPr>
            <w:tcW w:w="6565" w:type="dxa"/>
          </w:tcPr>
          <w:p w14:paraId="6A964395">
            <w:pPr>
              <w:pStyle w:val="7"/>
              <w:spacing w:after="0" w:line="400" w:lineRule="exact"/>
              <w:rPr>
                <w:sz w:val="28"/>
              </w:rPr>
            </w:pPr>
            <w:r>
              <w:rPr>
                <w:rFonts w:hint="eastAsia"/>
                <w:sz w:val="28"/>
              </w:rPr>
              <w:t>根据所响应设备对询价文件第四部分商务要求指标进行评价，满分10分。</w:t>
            </w:r>
          </w:p>
          <w:p w14:paraId="5DE6007D">
            <w:pPr>
              <w:pStyle w:val="7"/>
              <w:spacing w:after="0" w:line="400" w:lineRule="exact"/>
              <w:rPr>
                <w:sz w:val="28"/>
              </w:rPr>
            </w:pPr>
            <w:r>
              <w:rPr>
                <w:rFonts w:hint="eastAsia"/>
                <w:sz w:val="28"/>
              </w:rPr>
              <w:t>有1项★号条款不满足做废标处理；</w:t>
            </w:r>
          </w:p>
          <w:p w14:paraId="129F1A24">
            <w:pPr>
              <w:pStyle w:val="7"/>
              <w:spacing w:after="0" w:line="400" w:lineRule="exact"/>
              <w:rPr>
                <w:sz w:val="28"/>
              </w:rPr>
            </w:pPr>
            <w:r>
              <w:rPr>
                <w:rFonts w:hint="eastAsia"/>
                <w:sz w:val="28"/>
              </w:rPr>
              <w:t>每有1项一般条款不满足扣4分，超过2项不满足作废标处理。</w:t>
            </w:r>
          </w:p>
        </w:tc>
      </w:tr>
      <w:tr w14:paraId="6C7209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5" w:hRule="atLeast"/>
          <w:jc w:val="center"/>
        </w:trPr>
        <w:tc>
          <w:tcPr>
            <w:tcW w:w="817" w:type="dxa"/>
            <w:vAlign w:val="center"/>
          </w:tcPr>
          <w:p w14:paraId="6FBAB974">
            <w:pPr>
              <w:pStyle w:val="7"/>
              <w:spacing w:after="0" w:line="400" w:lineRule="exact"/>
              <w:rPr>
                <w:sz w:val="28"/>
              </w:rPr>
            </w:pPr>
            <w:r>
              <w:rPr>
                <w:sz w:val="28"/>
              </w:rPr>
              <w:t>3</w:t>
            </w:r>
          </w:p>
        </w:tc>
        <w:tc>
          <w:tcPr>
            <w:tcW w:w="1027" w:type="dxa"/>
            <w:vAlign w:val="center"/>
          </w:tcPr>
          <w:p w14:paraId="2C0D67B2">
            <w:pPr>
              <w:pStyle w:val="7"/>
              <w:spacing w:after="0" w:line="400" w:lineRule="exact"/>
              <w:rPr>
                <w:sz w:val="28"/>
              </w:rPr>
            </w:pPr>
            <w:r>
              <w:rPr>
                <w:rFonts w:hint="eastAsia"/>
                <w:sz w:val="28"/>
              </w:rPr>
              <w:t>投标报价评分标准40</w:t>
            </w:r>
            <w:r>
              <w:rPr>
                <w:sz w:val="28"/>
              </w:rPr>
              <w:t>%</w:t>
            </w:r>
          </w:p>
        </w:tc>
        <w:tc>
          <w:tcPr>
            <w:tcW w:w="1304" w:type="dxa"/>
          </w:tcPr>
          <w:p w14:paraId="013D096D">
            <w:pPr>
              <w:pStyle w:val="7"/>
              <w:spacing w:after="0" w:line="400" w:lineRule="exact"/>
              <w:rPr>
                <w:sz w:val="28"/>
              </w:rPr>
            </w:pPr>
            <w:r>
              <w:rPr>
                <w:rFonts w:hint="eastAsia"/>
                <w:sz w:val="28"/>
              </w:rPr>
              <w:t>投标报价</w:t>
            </w:r>
          </w:p>
        </w:tc>
        <w:tc>
          <w:tcPr>
            <w:tcW w:w="6565" w:type="dxa"/>
          </w:tcPr>
          <w:p w14:paraId="13A6083D">
            <w:pPr>
              <w:pStyle w:val="7"/>
              <w:spacing w:after="0" w:line="400" w:lineRule="exact"/>
              <w:rPr>
                <w:sz w:val="28"/>
              </w:rPr>
            </w:pPr>
            <w:r>
              <w:rPr>
                <w:rFonts w:hint="eastAsia"/>
                <w:sz w:val="28"/>
              </w:rPr>
              <w:t>报价计算方式：以报价单上所有项目单价之和的算数平均值作为参与评审的最终报价。</w:t>
            </w:r>
          </w:p>
          <w:p w14:paraId="267A8B4C">
            <w:pPr>
              <w:pStyle w:val="7"/>
              <w:spacing w:after="0" w:line="400" w:lineRule="exact"/>
              <w:rPr>
                <w:sz w:val="28"/>
              </w:rPr>
            </w:pPr>
            <w:r>
              <w:rPr>
                <w:rFonts w:hint="eastAsia"/>
                <w:sz w:val="28"/>
              </w:rPr>
              <w:t>1）当有效投标家数为5家以上（含5家）时，去掉一个最高和最低投最终报价，计算其余投标最终报价的算数平均值A；</w:t>
            </w:r>
          </w:p>
          <w:p w14:paraId="3376D200">
            <w:pPr>
              <w:pStyle w:val="7"/>
              <w:spacing w:after="0" w:line="400" w:lineRule="exact"/>
              <w:rPr>
                <w:sz w:val="28"/>
              </w:rPr>
            </w:pPr>
            <w:r>
              <w:rPr>
                <w:rFonts w:hint="eastAsia"/>
                <w:sz w:val="28"/>
              </w:rPr>
              <w:t>2）当有效投标家数少于5家时，计算所有最终报价的算术平均值B。</w:t>
            </w:r>
          </w:p>
          <w:p w14:paraId="78A3AD89">
            <w:pPr>
              <w:pStyle w:val="7"/>
              <w:spacing w:after="0" w:line="400" w:lineRule="exact"/>
              <w:rPr>
                <w:sz w:val="28"/>
              </w:rPr>
            </w:pPr>
            <w:r>
              <w:rPr>
                <w:rFonts w:hint="eastAsia"/>
                <w:sz w:val="28"/>
              </w:rPr>
              <w:t>3）评标基准价=A（B）×0.95</w:t>
            </w:r>
          </w:p>
          <w:p w14:paraId="6C0119F0">
            <w:pPr>
              <w:pStyle w:val="7"/>
              <w:spacing w:after="0" w:line="400" w:lineRule="exact"/>
              <w:rPr>
                <w:sz w:val="28"/>
              </w:rPr>
            </w:pPr>
            <w:r>
              <w:rPr>
                <w:rFonts w:hint="eastAsia"/>
                <w:sz w:val="28"/>
              </w:rPr>
              <w:t>投标报价等于评标基准价的投标人价格分为满分，投标报价与评标基准价相比，每高0.5</w:t>
            </w:r>
            <w:r>
              <w:rPr>
                <w:sz w:val="28"/>
              </w:rPr>
              <w:t>%</w:t>
            </w:r>
            <w:r>
              <w:rPr>
                <w:rFonts w:hint="eastAsia"/>
                <w:sz w:val="28"/>
              </w:rPr>
              <w:t>扣2分，每低0.5</w:t>
            </w:r>
            <w:r>
              <w:rPr>
                <w:sz w:val="28"/>
              </w:rPr>
              <w:t>%</w:t>
            </w:r>
            <w:r>
              <w:rPr>
                <w:rFonts w:hint="eastAsia"/>
                <w:sz w:val="28"/>
              </w:rPr>
              <w:t>扣1分，最多扣</w:t>
            </w:r>
            <w:r>
              <w:rPr>
                <w:sz w:val="28"/>
              </w:rPr>
              <w:t>15</w:t>
            </w:r>
            <w:r>
              <w:rPr>
                <w:rFonts w:hint="eastAsia"/>
                <w:sz w:val="28"/>
              </w:rPr>
              <w:t>分。</w:t>
            </w:r>
          </w:p>
        </w:tc>
      </w:tr>
      <w:tr w14:paraId="1AAF1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vAlign w:val="center"/>
          </w:tcPr>
          <w:p w14:paraId="06B3687E">
            <w:pPr>
              <w:pStyle w:val="7"/>
              <w:spacing w:after="0" w:line="400" w:lineRule="exact"/>
              <w:rPr>
                <w:sz w:val="28"/>
              </w:rPr>
            </w:pPr>
            <w:r>
              <w:rPr>
                <w:sz w:val="28"/>
              </w:rPr>
              <w:t>4</w:t>
            </w:r>
          </w:p>
        </w:tc>
        <w:tc>
          <w:tcPr>
            <w:tcW w:w="1027" w:type="dxa"/>
            <w:vAlign w:val="center"/>
          </w:tcPr>
          <w:p w14:paraId="512ADD03">
            <w:pPr>
              <w:pStyle w:val="7"/>
              <w:spacing w:after="0" w:line="400" w:lineRule="exact"/>
              <w:rPr>
                <w:sz w:val="28"/>
              </w:rPr>
            </w:pPr>
            <w:r>
              <w:rPr>
                <w:rFonts w:hint="eastAsia"/>
                <w:sz w:val="28"/>
              </w:rPr>
              <w:t>总分</w:t>
            </w:r>
          </w:p>
        </w:tc>
        <w:tc>
          <w:tcPr>
            <w:tcW w:w="1304" w:type="dxa"/>
          </w:tcPr>
          <w:p w14:paraId="61CEA137">
            <w:pPr>
              <w:pStyle w:val="7"/>
              <w:spacing w:after="0" w:line="400" w:lineRule="exact"/>
              <w:rPr>
                <w:sz w:val="28"/>
              </w:rPr>
            </w:pPr>
          </w:p>
        </w:tc>
        <w:tc>
          <w:tcPr>
            <w:tcW w:w="6565" w:type="dxa"/>
          </w:tcPr>
          <w:p w14:paraId="73CB5E21">
            <w:pPr>
              <w:pStyle w:val="7"/>
              <w:spacing w:after="0" w:line="400" w:lineRule="exact"/>
              <w:rPr>
                <w:sz w:val="28"/>
              </w:rPr>
            </w:pPr>
            <w:r>
              <w:rPr>
                <w:rFonts w:hint="eastAsia"/>
                <w:sz w:val="28"/>
              </w:rPr>
              <w:t>100分</w:t>
            </w:r>
          </w:p>
        </w:tc>
      </w:tr>
    </w:tbl>
    <w:p w14:paraId="12A62EF8">
      <w:pPr>
        <w:pStyle w:val="7"/>
        <w:spacing w:after="0"/>
        <w:ind w:firstLine="560" w:firstLineChars="200"/>
        <w:rPr>
          <w:rFonts w:hint="eastAsia"/>
          <w:sz w:val="28"/>
        </w:rPr>
      </w:pPr>
      <w:bookmarkStart w:id="3" w:name="_Toc21377"/>
      <w:bookmarkStart w:id="4" w:name="_Toc217446061"/>
    </w:p>
    <w:p w14:paraId="3979E51D">
      <w:pPr>
        <w:pStyle w:val="7"/>
        <w:spacing w:after="0"/>
        <w:rPr>
          <w:sz w:val="28"/>
        </w:rPr>
      </w:pPr>
      <w:r>
        <w:rPr>
          <w:rFonts w:hint="eastAsia"/>
          <w:sz w:val="28"/>
          <w:lang w:val="en-US" w:eastAsia="zh-CN"/>
        </w:rPr>
        <w:t>4.</w:t>
      </w:r>
      <w:r>
        <w:rPr>
          <w:rFonts w:hint="eastAsia"/>
          <w:sz w:val="28"/>
        </w:rPr>
        <w:t>在确定成交供应商过程中，发现成交候选供应商有下列情形之一的，应当不予确定其为成交供应商：</w:t>
      </w:r>
      <w:bookmarkEnd w:id="3"/>
    </w:p>
    <w:p w14:paraId="4F574343">
      <w:pPr>
        <w:pStyle w:val="7"/>
        <w:spacing w:after="0"/>
        <w:rPr>
          <w:sz w:val="28"/>
        </w:rPr>
      </w:pPr>
      <w:bookmarkStart w:id="5" w:name="_Toc19454"/>
      <w:r>
        <w:rPr>
          <w:rFonts w:hint="eastAsia"/>
          <w:sz w:val="28"/>
        </w:rPr>
        <w:t>（1）发现成交候选供应商存在禁止参加本项目采购活动的违法行为的；</w:t>
      </w:r>
      <w:bookmarkEnd w:id="5"/>
    </w:p>
    <w:p w14:paraId="529347AC">
      <w:pPr>
        <w:pStyle w:val="7"/>
        <w:spacing w:after="0"/>
        <w:rPr>
          <w:sz w:val="28"/>
        </w:rPr>
      </w:pPr>
      <w:bookmarkStart w:id="6" w:name="_Toc29757"/>
      <w:r>
        <w:rPr>
          <w:rFonts w:hint="eastAsia"/>
          <w:sz w:val="28"/>
        </w:rPr>
        <w:t>（2）成交候选供应商因不可抗力，不能继续参加采购活动；</w:t>
      </w:r>
      <w:bookmarkEnd w:id="6"/>
    </w:p>
    <w:p w14:paraId="1B75801A">
      <w:pPr>
        <w:pStyle w:val="7"/>
        <w:spacing w:after="0"/>
        <w:rPr>
          <w:sz w:val="28"/>
        </w:rPr>
      </w:pPr>
      <w:bookmarkStart w:id="7" w:name="_Toc15819"/>
      <w:r>
        <w:rPr>
          <w:rFonts w:hint="eastAsia"/>
          <w:sz w:val="28"/>
        </w:rPr>
        <w:t>（3）成交候选供应商低于成本价竞争；</w:t>
      </w:r>
      <w:bookmarkEnd w:id="7"/>
    </w:p>
    <w:p w14:paraId="39225A0A">
      <w:pPr>
        <w:pStyle w:val="7"/>
        <w:spacing w:after="0"/>
        <w:rPr>
          <w:sz w:val="28"/>
        </w:rPr>
      </w:pPr>
      <w:bookmarkStart w:id="8" w:name="_Toc29681"/>
      <w:r>
        <w:rPr>
          <w:rFonts w:hint="eastAsia"/>
          <w:sz w:val="28"/>
        </w:rPr>
        <w:t>（4）成交候选供应商提供虚假材料；</w:t>
      </w:r>
      <w:bookmarkEnd w:id="8"/>
    </w:p>
    <w:p w14:paraId="24EA2392">
      <w:pPr>
        <w:pStyle w:val="7"/>
        <w:spacing w:after="0"/>
        <w:rPr>
          <w:sz w:val="28"/>
        </w:rPr>
      </w:pPr>
      <w:bookmarkStart w:id="9" w:name="_Toc19456"/>
      <w:r>
        <w:rPr>
          <w:rFonts w:hint="eastAsia"/>
          <w:sz w:val="28"/>
        </w:rPr>
        <w:t>（5）成交候选供应商恶意串通。</w:t>
      </w:r>
      <w:bookmarkEnd w:id="9"/>
    </w:p>
    <w:p w14:paraId="7250445D">
      <w:pPr>
        <w:pStyle w:val="7"/>
        <w:spacing w:after="0"/>
        <w:rPr>
          <w:sz w:val="28"/>
        </w:rPr>
      </w:pPr>
      <w:bookmarkStart w:id="10" w:name="_Toc31618"/>
      <w:r>
        <w:rPr>
          <w:rFonts w:hint="eastAsia"/>
          <w:sz w:val="28"/>
        </w:rPr>
        <w:t>成交候选供应商有本条情形之一的，可以确定后一位供应商为成交供应商，以此类推。无法确定成交供应商的，应当重新组织采购。</w:t>
      </w:r>
      <w:bookmarkEnd w:id="10"/>
    </w:p>
    <w:bookmarkEnd w:id="4"/>
    <w:p w14:paraId="194EFF65">
      <w:pPr>
        <w:pStyle w:val="7"/>
        <w:spacing w:after="0"/>
        <w:rPr>
          <w:sz w:val="28"/>
        </w:rPr>
      </w:pPr>
      <w:r>
        <w:rPr>
          <w:rFonts w:hint="eastAsia"/>
          <w:sz w:val="28"/>
        </w:rPr>
        <w:t>5.重新采购或终止采购</w:t>
      </w:r>
    </w:p>
    <w:p w14:paraId="4E0D2C24">
      <w:pPr>
        <w:pStyle w:val="7"/>
        <w:spacing w:after="0"/>
        <w:rPr>
          <w:sz w:val="28"/>
        </w:rPr>
      </w:pPr>
      <w:r>
        <w:rPr>
          <w:rFonts w:hint="eastAsia"/>
          <w:sz w:val="28"/>
        </w:rPr>
        <w:t>本次询价采购采购活动中，出现下列情形之一的，予以重新采购或终止采购：</w:t>
      </w:r>
    </w:p>
    <w:p w14:paraId="247FDC99">
      <w:pPr>
        <w:pStyle w:val="7"/>
        <w:spacing w:after="0"/>
        <w:rPr>
          <w:sz w:val="28"/>
        </w:rPr>
      </w:pPr>
      <w:r>
        <w:rPr>
          <w:rFonts w:hint="eastAsia"/>
          <w:sz w:val="28"/>
        </w:rPr>
        <w:t>（1）所有报价都不符合询价采购邀请函要求，并被全部否决的；</w:t>
      </w:r>
    </w:p>
    <w:p w14:paraId="1D70A674">
      <w:pPr>
        <w:pStyle w:val="7"/>
        <w:spacing w:after="0"/>
        <w:rPr>
          <w:sz w:val="28"/>
        </w:rPr>
      </w:pPr>
      <w:r>
        <w:rPr>
          <w:rFonts w:hint="eastAsia"/>
          <w:sz w:val="28"/>
        </w:rPr>
        <w:t>（2）出现影响采购公正的违法、违规行为的；</w:t>
      </w:r>
    </w:p>
    <w:p w14:paraId="1AAA3F01">
      <w:pPr>
        <w:pStyle w:val="7"/>
        <w:spacing w:after="0"/>
        <w:rPr>
          <w:sz w:val="28"/>
        </w:rPr>
      </w:pPr>
      <w:r>
        <w:rPr>
          <w:rFonts w:hint="eastAsia"/>
          <w:sz w:val="28"/>
        </w:rPr>
        <w:t>（3）因重大变故，采购任务取消的；</w:t>
      </w:r>
    </w:p>
    <w:p w14:paraId="474A035B">
      <w:pPr>
        <w:pStyle w:val="7"/>
        <w:spacing w:after="0"/>
        <w:rPr>
          <w:sz w:val="28"/>
        </w:rPr>
      </w:pPr>
      <w:r>
        <w:rPr>
          <w:rFonts w:hint="eastAsia"/>
          <w:sz w:val="28"/>
        </w:rPr>
        <w:t>（4）首次询价采购采购，在规定的时间内，递交响应文件的报价单位数量不足3家。</w:t>
      </w:r>
    </w:p>
    <w:p w14:paraId="77B9ED5B">
      <w:pPr>
        <w:pStyle w:val="7"/>
        <w:spacing w:after="0"/>
        <w:ind w:firstLine="560" w:firstLineChars="200"/>
        <w:rPr>
          <w:sz w:val="28"/>
        </w:rPr>
      </w:pPr>
    </w:p>
    <w:p w14:paraId="02BBF535">
      <w:pPr>
        <w:pStyle w:val="7"/>
        <w:spacing w:after="0"/>
        <w:ind w:firstLine="560" w:firstLineChars="200"/>
        <w:rPr>
          <w:sz w:val="28"/>
        </w:rPr>
      </w:pPr>
    </w:p>
    <w:p w14:paraId="755C83B7">
      <w:pPr>
        <w:pStyle w:val="7"/>
        <w:spacing w:after="0"/>
        <w:ind w:firstLine="560" w:firstLineChars="200"/>
        <w:rPr>
          <w:sz w:val="28"/>
        </w:rPr>
      </w:pPr>
    </w:p>
    <w:p w14:paraId="51B97898">
      <w:pPr>
        <w:pStyle w:val="7"/>
        <w:spacing w:after="0"/>
        <w:ind w:firstLine="560" w:firstLineChars="200"/>
        <w:rPr>
          <w:sz w:val="28"/>
        </w:rPr>
      </w:pPr>
    </w:p>
    <w:p w14:paraId="0A879B5E">
      <w:pPr>
        <w:pStyle w:val="7"/>
        <w:spacing w:after="0"/>
        <w:ind w:firstLine="560" w:firstLineChars="200"/>
        <w:rPr>
          <w:sz w:val="28"/>
        </w:rPr>
      </w:pPr>
    </w:p>
    <w:p w14:paraId="55BD7018">
      <w:pPr>
        <w:pStyle w:val="7"/>
        <w:spacing w:after="0"/>
        <w:ind w:firstLine="560" w:firstLineChars="200"/>
        <w:rPr>
          <w:sz w:val="28"/>
        </w:rPr>
      </w:pPr>
    </w:p>
    <w:p w14:paraId="343F9F48">
      <w:pPr>
        <w:pStyle w:val="7"/>
        <w:spacing w:after="0"/>
        <w:ind w:firstLine="560" w:firstLineChars="200"/>
        <w:rPr>
          <w:sz w:val="28"/>
        </w:rPr>
      </w:pPr>
    </w:p>
    <w:p w14:paraId="5D299D85">
      <w:pPr>
        <w:pStyle w:val="7"/>
        <w:spacing w:after="0"/>
        <w:ind w:firstLine="560" w:firstLineChars="200"/>
        <w:rPr>
          <w:sz w:val="28"/>
        </w:rPr>
      </w:pPr>
    </w:p>
    <w:p w14:paraId="74138BCC">
      <w:pPr>
        <w:pStyle w:val="7"/>
        <w:spacing w:after="0"/>
        <w:ind w:firstLine="560" w:firstLineChars="200"/>
        <w:rPr>
          <w:sz w:val="28"/>
        </w:rPr>
      </w:pPr>
    </w:p>
    <w:p w14:paraId="5CB55D29">
      <w:pPr>
        <w:pStyle w:val="7"/>
        <w:spacing w:after="0"/>
        <w:ind w:firstLine="560" w:firstLineChars="200"/>
        <w:rPr>
          <w:sz w:val="28"/>
        </w:rPr>
      </w:pPr>
    </w:p>
    <w:p w14:paraId="786A484E">
      <w:pPr>
        <w:pStyle w:val="7"/>
        <w:spacing w:after="0"/>
        <w:ind w:firstLine="560" w:firstLineChars="200"/>
        <w:rPr>
          <w:sz w:val="28"/>
        </w:rPr>
      </w:pPr>
    </w:p>
    <w:p w14:paraId="24D2E2F8">
      <w:pPr>
        <w:pStyle w:val="7"/>
        <w:spacing w:after="0"/>
        <w:ind w:firstLine="560" w:firstLineChars="200"/>
        <w:rPr>
          <w:sz w:val="28"/>
        </w:rPr>
      </w:pPr>
    </w:p>
    <w:p w14:paraId="5482F9D1">
      <w:pPr>
        <w:pStyle w:val="7"/>
        <w:spacing w:after="0"/>
        <w:ind w:firstLine="560" w:firstLineChars="200"/>
        <w:rPr>
          <w:sz w:val="28"/>
        </w:rPr>
      </w:pPr>
    </w:p>
    <w:p w14:paraId="067B8DE2">
      <w:pPr>
        <w:pStyle w:val="7"/>
        <w:spacing w:after="0"/>
        <w:ind w:firstLine="560" w:firstLineChars="200"/>
        <w:rPr>
          <w:sz w:val="28"/>
        </w:rPr>
      </w:pPr>
    </w:p>
    <w:p w14:paraId="3FB62F01">
      <w:pPr>
        <w:pStyle w:val="7"/>
        <w:spacing w:after="0"/>
        <w:ind w:firstLine="560" w:firstLineChars="200"/>
        <w:rPr>
          <w:sz w:val="28"/>
        </w:rPr>
      </w:pPr>
    </w:p>
    <w:p w14:paraId="002B08E7">
      <w:pPr>
        <w:spacing w:line="540" w:lineRule="exact"/>
        <w:rPr>
          <w:rFonts w:asciiTheme="majorEastAsia" w:hAnsiTheme="majorEastAsia" w:eastAsiaTheme="majorEastAsia"/>
          <w:sz w:val="44"/>
          <w:szCs w:val="44"/>
        </w:rPr>
      </w:pPr>
    </w:p>
    <w:p w14:paraId="57B18860">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第六部分  报价文件组成</w:t>
      </w:r>
      <w:r>
        <w:rPr>
          <w:rFonts w:asciiTheme="majorEastAsia" w:hAnsiTheme="majorEastAsia" w:eastAsiaTheme="majorEastAsia"/>
          <w:sz w:val="44"/>
          <w:szCs w:val="44"/>
        </w:rPr>
        <w:t xml:space="preserve"> </w:t>
      </w:r>
    </w:p>
    <w:p w14:paraId="5D87A682">
      <w:pPr>
        <w:autoSpaceDE w:val="0"/>
        <w:autoSpaceDN w:val="0"/>
        <w:adjustRightInd w:val="0"/>
        <w:spacing w:line="440" w:lineRule="exact"/>
        <w:jc w:val="left"/>
        <w:rPr>
          <w:rFonts w:asciiTheme="majorEastAsia" w:hAnsiTheme="majorEastAsia" w:eastAsiaTheme="majorEastAsia"/>
          <w:sz w:val="44"/>
          <w:szCs w:val="44"/>
        </w:rPr>
      </w:pPr>
      <w:r>
        <w:rPr>
          <w:rFonts w:hint="eastAsia" w:asciiTheme="majorEastAsia" w:hAnsiTheme="majorEastAsia" w:eastAsiaTheme="majorEastAsia"/>
          <w:sz w:val="28"/>
        </w:rPr>
        <w:t>注：以下所有资料均需盖章（公章），否则是为废标。</w:t>
      </w:r>
    </w:p>
    <w:p w14:paraId="2E7091F8">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文件一</w:t>
      </w:r>
    </w:p>
    <w:p w14:paraId="6D2D4673">
      <w:pPr>
        <w:spacing w:line="540" w:lineRule="exact"/>
        <w:jc w:val="center"/>
        <w:rPr>
          <w:rFonts w:asciiTheme="majorEastAsia" w:hAnsiTheme="majorEastAsia" w:eastAsiaTheme="majorEastAsia"/>
          <w:b/>
          <w:bCs/>
          <w:spacing w:val="38"/>
          <w:sz w:val="28"/>
          <w:szCs w:val="28"/>
        </w:rPr>
      </w:pPr>
    </w:p>
    <w:p w14:paraId="326A7310">
      <w:pPr>
        <w:spacing w:line="540" w:lineRule="exact"/>
        <w:jc w:val="center"/>
        <w:rPr>
          <w:rFonts w:asciiTheme="majorEastAsia" w:hAnsiTheme="majorEastAsia" w:eastAsiaTheme="majorEastAsia"/>
          <w:b/>
          <w:bCs/>
          <w:spacing w:val="38"/>
          <w:sz w:val="28"/>
          <w:szCs w:val="28"/>
        </w:rPr>
      </w:pPr>
    </w:p>
    <w:p w14:paraId="21DE8A7B">
      <w:pPr>
        <w:spacing w:line="540" w:lineRule="exact"/>
        <w:jc w:val="center"/>
        <w:rPr>
          <w:rFonts w:asciiTheme="majorEastAsia" w:hAnsiTheme="majorEastAsia" w:eastAsiaTheme="majorEastAsia"/>
          <w:b/>
          <w:bCs/>
          <w:spacing w:val="38"/>
          <w:sz w:val="28"/>
          <w:szCs w:val="28"/>
        </w:rPr>
      </w:pPr>
    </w:p>
    <w:p w14:paraId="270D4997">
      <w:pPr>
        <w:spacing w:line="540" w:lineRule="exact"/>
        <w:jc w:val="center"/>
        <w:rPr>
          <w:rFonts w:asciiTheme="majorEastAsia" w:hAnsiTheme="majorEastAsia" w:eastAsiaTheme="majorEastAsia"/>
          <w:b/>
          <w:bCs/>
          <w:spacing w:val="38"/>
          <w:sz w:val="28"/>
          <w:szCs w:val="28"/>
        </w:rPr>
      </w:pPr>
    </w:p>
    <w:p w14:paraId="69AC7D98">
      <w:pPr>
        <w:spacing w:line="540" w:lineRule="exact"/>
        <w:jc w:val="center"/>
        <w:rPr>
          <w:rFonts w:asciiTheme="majorEastAsia" w:hAnsiTheme="majorEastAsia" w:eastAsiaTheme="majorEastAsia"/>
          <w:b/>
          <w:bCs/>
          <w:spacing w:val="38"/>
          <w:sz w:val="28"/>
          <w:szCs w:val="28"/>
        </w:rPr>
      </w:pPr>
    </w:p>
    <w:p w14:paraId="42FE3F3E">
      <w:pPr>
        <w:spacing w:line="540" w:lineRule="exact"/>
        <w:jc w:val="center"/>
        <w:rPr>
          <w:rFonts w:asciiTheme="majorEastAsia" w:hAnsiTheme="majorEastAsia" w:eastAsiaTheme="majorEastAsia"/>
          <w:b/>
          <w:bCs/>
          <w:spacing w:val="38"/>
          <w:sz w:val="28"/>
          <w:szCs w:val="28"/>
        </w:rPr>
      </w:pPr>
    </w:p>
    <w:p w14:paraId="421351E2">
      <w:pPr>
        <w:spacing w:line="540" w:lineRule="exact"/>
        <w:jc w:val="center"/>
        <w:rPr>
          <w:rFonts w:asciiTheme="majorEastAsia" w:hAnsiTheme="majorEastAsia" w:eastAsiaTheme="majorEastAsia"/>
          <w:b/>
          <w:bCs/>
          <w:spacing w:val="38"/>
          <w:sz w:val="28"/>
          <w:szCs w:val="28"/>
        </w:rPr>
      </w:pPr>
    </w:p>
    <w:p w14:paraId="46C9581A">
      <w:pPr>
        <w:spacing w:line="540" w:lineRule="exact"/>
        <w:jc w:val="center"/>
        <w:rPr>
          <w:rFonts w:asciiTheme="majorEastAsia" w:hAnsiTheme="majorEastAsia" w:eastAsiaTheme="majorEastAsia"/>
          <w:b/>
          <w:bCs/>
          <w:spacing w:val="38"/>
          <w:sz w:val="28"/>
          <w:szCs w:val="28"/>
        </w:rPr>
      </w:pPr>
    </w:p>
    <w:p w14:paraId="41076193">
      <w:pPr>
        <w:spacing w:line="540" w:lineRule="exact"/>
        <w:jc w:val="center"/>
        <w:rPr>
          <w:rFonts w:asciiTheme="majorEastAsia" w:hAnsiTheme="majorEastAsia" w:eastAsiaTheme="majorEastAsia"/>
          <w:sz w:val="44"/>
          <w:szCs w:val="44"/>
        </w:rPr>
      </w:pPr>
    </w:p>
    <w:p w14:paraId="7420500D">
      <w:pPr>
        <w:spacing w:line="540" w:lineRule="exact"/>
        <w:jc w:val="center"/>
        <w:rPr>
          <w:rFonts w:asciiTheme="majorEastAsia" w:hAnsiTheme="majorEastAsia" w:eastAsiaTheme="majorEastAsia"/>
          <w:sz w:val="44"/>
          <w:szCs w:val="44"/>
        </w:rPr>
      </w:pPr>
    </w:p>
    <w:p w14:paraId="4C1CC5B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报价文件</w:t>
      </w:r>
    </w:p>
    <w:p w14:paraId="31599D38">
      <w:pPr>
        <w:spacing w:line="540" w:lineRule="exact"/>
        <w:rPr>
          <w:rFonts w:asciiTheme="majorEastAsia" w:hAnsiTheme="majorEastAsia" w:eastAsiaTheme="majorEastAsia"/>
          <w:b/>
          <w:bCs/>
          <w:spacing w:val="38"/>
          <w:sz w:val="28"/>
          <w:szCs w:val="28"/>
        </w:rPr>
      </w:pPr>
    </w:p>
    <w:p w14:paraId="0C7C0423">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093E613C">
      <w:pPr>
        <w:autoSpaceDE w:val="0"/>
        <w:autoSpaceDN w:val="0"/>
        <w:adjustRightInd w:val="0"/>
        <w:spacing w:line="540" w:lineRule="exact"/>
        <w:rPr>
          <w:rFonts w:asciiTheme="majorEastAsia" w:hAnsiTheme="majorEastAsia" w:eastAsiaTheme="majorEastAsia"/>
          <w:sz w:val="28"/>
          <w:szCs w:val="28"/>
        </w:rPr>
      </w:pPr>
    </w:p>
    <w:p w14:paraId="6E009572">
      <w:pPr>
        <w:tabs>
          <w:tab w:val="left" w:pos="1985"/>
        </w:tabs>
        <w:autoSpaceDE w:val="0"/>
        <w:autoSpaceDN w:val="0"/>
        <w:adjustRightInd w:val="0"/>
        <w:spacing w:line="540" w:lineRule="exact"/>
        <w:rPr>
          <w:rFonts w:asciiTheme="majorEastAsia" w:hAnsiTheme="majorEastAsia" w:eastAsiaTheme="majorEastAsia"/>
          <w:sz w:val="28"/>
          <w:szCs w:val="28"/>
        </w:rPr>
      </w:pPr>
    </w:p>
    <w:p w14:paraId="04EE5D7F">
      <w:pPr>
        <w:tabs>
          <w:tab w:val="left" w:pos="1985"/>
        </w:tabs>
        <w:autoSpaceDE w:val="0"/>
        <w:autoSpaceDN w:val="0"/>
        <w:adjustRightInd w:val="0"/>
        <w:spacing w:line="540" w:lineRule="exact"/>
        <w:ind w:firstLine="1600" w:firstLineChars="500"/>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bCs/>
          <w:sz w:val="28"/>
          <w:szCs w:val="28"/>
          <w:u w:val="single"/>
        </w:rPr>
        <w:t>双重预防工作机制建设报告编制服务项目</w:t>
      </w:r>
    </w:p>
    <w:p w14:paraId="030AFFBB">
      <w:pPr>
        <w:spacing w:line="540" w:lineRule="exact"/>
        <w:ind w:firstLine="1680" w:firstLineChars="600"/>
        <w:jc w:val="center"/>
        <w:rPr>
          <w:rFonts w:asciiTheme="majorEastAsia" w:hAnsiTheme="majorEastAsia" w:eastAsiaTheme="majorEastAsia"/>
          <w:sz w:val="28"/>
          <w:szCs w:val="28"/>
        </w:rPr>
      </w:pPr>
    </w:p>
    <w:p w14:paraId="31C7F291">
      <w:pPr>
        <w:spacing w:line="540" w:lineRule="exact"/>
        <w:ind w:firstLine="1680" w:firstLineChars="60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u w:val="single"/>
        </w:rPr>
        <w:t xml:space="preserve">成都恒达光学有限公司       </w:t>
      </w:r>
    </w:p>
    <w:p w14:paraId="69ADED0D">
      <w:pPr>
        <w:spacing w:line="540" w:lineRule="exact"/>
        <w:ind w:firstLine="1820" w:firstLineChars="650"/>
        <w:rPr>
          <w:rFonts w:asciiTheme="majorEastAsia" w:hAnsiTheme="majorEastAsia" w:eastAsiaTheme="majorEastAsia"/>
          <w:sz w:val="28"/>
          <w:szCs w:val="28"/>
        </w:rPr>
      </w:pPr>
    </w:p>
    <w:p w14:paraId="0096F7FF">
      <w:pPr>
        <w:spacing w:line="540" w:lineRule="exact"/>
        <w:ind w:firstLine="1680" w:firstLineChars="6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商（盖章）： </w:t>
      </w:r>
      <w:r>
        <w:rPr>
          <w:rFonts w:hint="eastAsia" w:asciiTheme="majorEastAsia" w:hAnsiTheme="majorEastAsia" w:eastAsiaTheme="majorEastAsia"/>
          <w:sz w:val="28"/>
          <w:szCs w:val="28"/>
          <w:u w:val="single"/>
        </w:rPr>
        <w:t xml:space="preserve">                      </w:t>
      </w:r>
    </w:p>
    <w:p w14:paraId="6B0BA09C">
      <w:pPr>
        <w:pStyle w:val="9"/>
        <w:spacing w:line="540" w:lineRule="exact"/>
        <w:jc w:val="center"/>
        <w:rPr>
          <w:rFonts w:asciiTheme="majorEastAsia" w:hAnsiTheme="majorEastAsia" w:eastAsiaTheme="majorEastAsia"/>
          <w:sz w:val="28"/>
          <w:szCs w:val="28"/>
        </w:rPr>
      </w:pPr>
    </w:p>
    <w:p w14:paraId="16325CA7">
      <w:pPr>
        <w:pStyle w:val="9"/>
        <w:spacing w:line="540" w:lineRule="exact"/>
        <w:jc w:val="center"/>
        <w:rPr>
          <w:rFonts w:asciiTheme="majorEastAsia" w:hAnsiTheme="majorEastAsia" w:eastAsiaTheme="majorEastAsia"/>
          <w:sz w:val="28"/>
          <w:szCs w:val="28"/>
        </w:rPr>
      </w:pPr>
    </w:p>
    <w:p w14:paraId="3F45E56A">
      <w:pPr>
        <w:pStyle w:val="9"/>
        <w:spacing w:line="540" w:lineRule="exact"/>
        <w:jc w:val="center"/>
        <w:rPr>
          <w:rFonts w:asciiTheme="majorEastAsia" w:hAnsiTheme="majorEastAsia" w:eastAsiaTheme="majorEastAsia"/>
          <w:sz w:val="28"/>
          <w:szCs w:val="28"/>
        </w:rPr>
      </w:pPr>
    </w:p>
    <w:p w14:paraId="6A1C8159">
      <w:pPr>
        <w:pStyle w:val="9"/>
        <w:spacing w:line="540" w:lineRule="exact"/>
        <w:jc w:val="center"/>
        <w:rPr>
          <w:rFonts w:asciiTheme="majorEastAsia" w:hAnsiTheme="majorEastAsia" w:eastAsiaTheme="majorEastAsia"/>
          <w:sz w:val="28"/>
          <w:szCs w:val="28"/>
        </w:rPr>
      </w:pPr>
    </w:p>
    <w:p w14:paraId="51F575C4">
      <w:pPr>
        <w:pStyle w:val="9"/>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二四年八月X日</w:t>
      </w:r>
    </w:p>
    <w:p w14:paraId="7BA51AC7">
      <w:pPr>
        <w:spacing w:line="540" w:lineRule="exact"/>
        <w:rPr>
          <w:rFonts w:asciiTheme="majorEastAsia" w:hAnsiTheme="majorEastAsia" w:eastAsiaTheme="majorEastAsia"/>
          <w:b/>
          <w:sz w:val="28"/>
          <w:szCs w:val="28"/>
        </w:rPr>
      </w:pPr>
    </w:p>
    <w:p w14:paraId="09252544">
      <w:pPr>
        <w:spacing w:line="540" w:lineRule="exact"/>
        <w:rPr>
          <w:rFonts w:asciiTheme="majorEastAsia" w:hAnsiTheme="majorEastAsia" w:eastAsiaTheme="majorEastAsia"/>
          <w:sz w:val="28"/>
          <w:szCs w:val="28"/>
        </w:rPr>
      </w:pPr>
    </w:p>
    <w:p w14:paraId="51908336">
      <w:pPr>
        <w:spacing w:line="540" w:lineRule="exact"/>
        <w:rPr>
          <w:rFonts w:asciiTheme="majorEastAsia" w:hAnsiTheme="majorEastAsia" w:eastAsiaTheme="majorEastAsia"/>
          <w:sz w:val="28"/>
          <w:szCs w:val="28"/>
        </w:rPr>
      </w:pPr>
    </w:p>
    <w:p w14:paraId="5E754982">
      <w:pPr>
        <w:spacing w:line="540" w:lineRule="exact"/>
        <w:rPr>
          <w:rFonts w:asciiTheme="majorEastAsia" w:hAnsiTheme="majorEastAsia" w:eastAsiaTheme="majorEastAsia"/>
          <w:sz w:val="28"/>
          <w:szCs w:val="28"/>
        </w:rPr>
      </w:pPr>
    </w:p>
    <w:p w14:paraId="7AE11882">
      <w:pPr>
        <w:spacing w:line="540" w:lineRule="exact"/>
        <w:rPr>
          <w:rFonts w:asciiTheme="majorEastAsia" w:hAnsiTheme="majorEastAsia" w:eastAsiaTheme="majorEastAsia"/>
          <w:sz w:val="28"/>
          <w:szCs w:val="28"/>
        </w:rPr>
      </w:pPr>
    </w:p>
    <w:p w14:paraId="61398854">
      <w:pPr>
        <w:spacing w:line="500" w:lineRule="exact"/>
        <w:rPr>
          <w:rFonts w:asciiTheme="majorEastAsia" w:hAnsiTheme="majorEastAsia" w:eastAsiaTheme="majorEastAsia"/>
          <w:sz w:val="52"/>
        </w:rPr>
      </w:pPr>
    </w:p>
    <w:p w14:paraId="6B56001C">
      <w:pPr>
        <w:spacing w:line="500" w:lineRule="exact"/>
        <w:rPr>
          <w:rFonts w:asciiTheme="majorEastAsia" w:hAnsiTheme="majorEastAsia" w:eastAsiaTheme="majorEastAsia"/>
          <w:sz w:val="52"/>
        </w:rPr>
      </w:pPr>
    </w:p>
    <w:p w14:paraId="012A72DD">
      <w:pPr>
        <w:spacing w:line="500" w:lineRule="exact"/>
        <w:rPr>
          <w:rFonts w:asciiTheme="majorEastAsia" w:hAnsiTheme="majorEastAsia" w:eastAsiaTheme="majorEastAsia"/>
          <w:sz w:val="52"/>
        </w:rPr>
      </w:pPr>
    </w:p>
    <w:p w14:paraId="24A22CEB">
      <w:pPr>
        <w:spacing w:line="500" w:lineRule="exact"/>
        <w:rPr>
          <w:rFonts w:asciiTheme="majorEastAsia" w:hAnsiTheme="majorEastAsia" w:eastAsiaTheme="majorEastAsia"/>
          <w:sz w:val="52"/>
        </w:rPr>
      </w:pPr>
    </w:p>
    <w:p w14:paraId="7263545D">
      <w:pPr>
        <w:spacing w:line="500" w:lineRule="exact"/>
        <w:rPr>
          <w:rFonts w:asciiTheme="majorEastAsia" w:hAnsiTheme="majorEastAsia" w:eastAsiaTheme="majorEastAsia"/>
          <w:sz w:val="52"/>
        </w:rPr>
      </w:pPr>
    </w:p>
    <w:p w14:paraId="789E7CF7">
      <w:pPr>
        <w:spacing w:line="500" w:lineRule="exact"/>
        <w:rPr>
          <w:rFonts w:asciiTheme="majorEastAsia" w:hAnsiTheme="majorEastAsia" w:eastAsiaTheme="majorEastAsia"/>
          <w:sz w:val="52"/>
        </w:rPr>
      </w:pPr>
    </w:p>
    <w:p w14:paraId="3593202A">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14:paraId="7A6A3D96">
      <w:pPr>
        <w:spacing w:line="500" w:lineRule="exact"/>
        <w:jc w:val="both"/>
        <w:rPr>
          <w:rFonts w:asciiTheme="majorEastAsia" w:hAnsiTheme="majorEastAsia" w:eastAsiaTheme="majorEastAsia"/>
          <w:sz w:val="44"/>
          <w:szCs w:val="44"/>
        </w:rPr>
      </w:pPr>
    </w:p>
    <w:p w14:paraId="13300293">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14:paraId="52D06D25">
      <w:pPr>
        <w:spacing w:line="500" w:lineRule="exact"/>
        <w:jc w:val="center"/>
        <w:rPr>
          <w:rFonts w:asciiTheme="majorEastAsia" w:hAnsiTheme="majorEastAsia" w:eastAsiaTheme="majorEastAsia"/>
          <w:sz w:val="44"/>
        </w:rPr>
      </w:pPr>
    </w:p>
    <w:p w14:paraId="3F28ABE8">
      <w:pPr>
        <w:spacing w:line="500" w:lineRule="exact"/>
        <w:jc w:val="center"/>
        <w:rPr>
          <w:rFonts w:asciiTheme="majorEastAsia" w:hAnsiTheme="majorEastAsia" w:eastAsiaTheme="majorEastAsia"/>
          <w:sz w:val="44"/>
        </w:rPr>
      </w:pPr>
    </w:p>
    <w:p w14:paraId="61E697A2">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法定代表人授权委托书（附法定代表人身份证复印件、授权代表人身份证复印件）</w:t>
      </w:r>
    </w:p>
    <w:p w14:paraId="1C6D8714">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w:t>
      </w:r>
    </w:p>
    <w:p w14:paraId="65C339A0">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第三部分  商务部分响应表</w:t>
      </w:r>
    </w:p>
    <w:p w14:paraId="30840246">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第四部分  服务技术要求响应表</w:t>
      </w:r>
    </w:p>
    <w:p w14:paraId="411B8E91">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第五部分  供应商类似项目业绩一览表（附合同、协议复印件）</w:t>
      </w:r>
    </w:p>
    <w:p w14:paraId="77E197ED">
      <w:pPr>
        <w:autoSpaceDE w:val="0"/>
        <w:autoSpaceDN w:val="0"/>
        <w:adjustRightInd w:val="0"/>
        <w:spacing w:line="440" w:lineRule="exact"/>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kern w:val="0"/>
          <w:sz w:val="28"/>
          <w:szCs w:val="28"/>
        </w:rPr>
        <w:t>第六部分  企业营业执照复印件、属地相关行业的有效资质资料、</w:t>
      </w:r>
      <w:r>
        <w:rPr>
          <w:rFonts w:hint="eastAsia" w:cs="宋体" w:asciiTheme="majorEastAsia" w:hAnsiTheme="majorEastAsia" w:eastAsiaTheme="majorEastAsia"/>
          <w:b/>
          <w:kern w:val="0"/>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kern w:val="0"/>
          <w:sz w:val="28"/>
          <w:szCs w:val="28"/>
        </w:rPr>
        <w:t>以及有关于本项目相关的其他资格证明资料。</w:t>
      </w:r>
    </w:p>
    <w:p w14:paraId="5F44D013">
      <w:pPr>
        <w:autoSpaceDE w:val="0"/>
        <w:autoSpaceDN w:val="0"/>
        <w:adjustRightInd w:val="0"/>
        <w:spacing w:line="440" w:lineRule="exact"/>
        <w:jc w:val="left"/>
        <w:rPr>
          <w:rFonts w:cs="宋体" w:asciiTheme="majorEastAsia" w:hAnsiTheme="majorEastAsia" w:eastAsiaTheme="majorEastAsia"/>
          <w:b/>
          <w:kern w:val="0"/>
          <w:sz w:val="28"/>
          <w:szCs w:val="28"/>
        </w:rPr>
      </w:pPr>
    </w:p>
    <w:p w14:paraId="523272D3">
      <w:pPr>
        <w:autoSpaceDE w:val="0"/>
        <w:autoSpaceDN w:val="0"/>
        <w:adjustRightInd w:val="0"/>
        <w:spacing w:line="440" w:lineRule="exact"/>
        <w:jc w:val="left"/>
        <w:rPr>
          <w:rFonts w:cs="宋体" w:asciiTheme="majorEastAsia" w:hAnsiTheme="majorEastAsia" w:eastAsiaTheme="majorEastAsia"/>
          <w:b/>
          <w:kern w:val="0"/>
          <w:sz w:val="28"/>
          <w:szCs w:val="28"/>
        </w:rPr>
      </w:pPr>
    </w:p>
    <w:p w14:paraId="296F6ED2">
      <w:pPr>
        <w:rPr>
          <w:rFonts w:asciiTheme="majorEastAsia" w:hAnsiTheme="majorEastAsia" w:eastAsiaTheme="majorEastAsia"/>
          <w:sz w:val="20"/>
        </w:rPr>
      </w:pPr>
    </w:p>
    <w:p w14:paraId="04267C6F">
      <w:pPr>
        <w:rPr>
          <w:rFonts w:asciiTheme="majorEastAsia" w:hAnsiTheme="majorEastAsia" w:eastAsiaTheme="majorEastAsia"/>
          <w:sz w:val="20"/>
        </w:rPr>
      </w:pPr>
    </w:p>
    <w:p w14:paraId="39C33DB6">
      <w:pPr>
        <w:rPr>
          <w:rFonts w:asciiTheme="majorEastAsia" w:hAnsiTheme="majorEastAsia" w:eastAsiaTheme="majorEastAsia"/>
          <w:sz w:val="20"/>
        </w:rPr>
      </w:pPr>
    </w:p>
    <w:p w14:paraId="020D12E1">
      <w:pPr>
        <w:rPr>
          <w:rFonts w:asciiTheme="majorEastAsia" w:hAnsiTheme="majorEastAsia" w:eastAsiaTheme="majorEastAsia"/>
          <w:sz w:val="20"/>
        </w:rPr>
      </w:pPr>
    </w:p>
    <w:p w14:paraId="58D9FD57">
      <w:pPr>
        <w:rPr>
          <w:rFonts w:asciiTheme="majorEastAsia" w:hAnsiTheme="majorEastAsia" w:eastAsiaTheme="majorEastAsia"/>
          <w:sz w:val="20"/>
        </w:rPr>
      </w:pPr>
    </w:p>
    <w:p w14:paraId="5A9EEDBC">
      <w:pPr>
        <w:rPr>
          <w:rFonts w:asciiTheme="majorEastAsia" w:hAnsiTheme="majorEastAsia" w:eastAsiaTheme="majorEastAsia"/>
          <w:sz w:val="20"/>
        </w:rPr>
      </w:pPr>
    </w:p>
    <w:p w14:paraId="7AA69C2F">
      <w:pPr>
        <w:rPr>
          <w:rFonts w:asciiTheme="majorEastAsia" w:hAnsiTheme="majorEastAsia" w:eastAsiaTheme="majorEastAsia"/>
          <w:sz w:val="20"/>
        </w:rPr>
      </w:pPr>
    </w:p>
    <w:p w14:paraId="26111187">
      <w:pPr>
        <w:rPr>
          <w:rFonts w:asciiTheme="majorEastAsia" w:hAnsiTheme="majorEastAsia" w:eastAsiaTheme="majorEastAsia"/>
          <w:sz w:val="20"/>
        </w:rPr>
      </w:pPr>
    </w:p>
    <w:p w14:paraId="1E35B6A6">
      <w:pPr>
        <w:rPr>
          <w:rFonts w:asciiTheme="majorEastAsia" w:hAnsiTheme="majorEastAsia" w:eastAsiaTheme="majorEastAsia"/>
          <w:sz w:val="20"/>
        </w:rPr>
      </w:pPr>
    </w:p>
    <w:p w14:paraId="3EFE1372">
      <w:pPr>
        <w:rPr>
          <w:rFonts w:asciiTheme="majorEastAsia" w:hAnsiTheme="majorEastAsia" w:eastAsiaTheme="majorEastAsia"/>
          <w:sz w:val="20"/>
        </w:rPr>
      </w:pPr>
    </w:p>
    <w:p w14:paraId="31AECD13">
      <w:pPr>
        <w:rPr>
          <w:rFonts w:asciiTheme="majorEastAsia" w:hAnsiTheme="majorEastAsia" w:eastAsiaTheme="majorEastAsia"/>
          <w:sz w:val="20"/>
        </w:rPr>
      </w:pPr>
    </w:p>
    <w:p w14:paraId="3C614763">
      <w:pPr>
        <w:rPr>
          <w:rFonts w:asciiTheme="majorEastAsia" w:hAnsiTheme="majorEastAsia" w:eastAsiaTheme="majorEastAsia"/>
          <w:sz w:val="20"/>
        </w:rPr>
      </w:pPr>
    </w:p>
    <w:p w14:paraId="27DD92F6">
      <w:pPr>
        <w:rPr>
          <w:rFonts w:asciiTheme="majorEastAsia" w:hAnsiTheme="majorEastAsia" w:eastAsiaTheme="majorEastAsia"/>
          <w:sz w:val="20"/>
        </w:rPr>
      </w:pPr>
    </w:p>
    <w:p w14:paraId="2EC360E1">
      <w:pPr>
        <w:rPr>
          <w:rFonts w:asciiTheme="majorEastAsia" w:hAnsiTheme="majorEastAsia" w:eastAsiaTheme="majorEastAsia"/>
          <w:sz w:val="20"/>
        </w:rPr>
      </w:pPr>
    </w:p>
    <w:p w14:paraId="4303F246">
      <w:pPr>
        <w:rPr>
          <w:rFonts w:asciiTheme="majorEastAsia" w:hAnsiTheme="majorEastAsia" w:eastAsiaTheme="majorEastAsia"/>
          <w:sz w:val="20"/>
        </w:rPr>
      </w:pPr>
    </w:p>
    <w:p w14:paraId="1EDF4FC4">
      <w:pPr>
        <w:rPr>
          <w:rFonts w:asciiTheme="majorEastAsia" w:hAnsiTheme="majorEastAsia" w:eastAsiaTheme="majorEastAsia"/>
          <w:sz w:val="20"/>
        </w:rPr>
      </w:pPr>
    </w:p>
    <w:p w14:paraId="3005B8DD">
      <w:pPr>
        <w:rPr>
          <w:rFonts w:asciiTheme="majorEastAsia" w:hAnsiTheme="majorEastAsia" w:eastAsiaTheme="majorEastAsia"/>
          <w:sz w:val="20"/>
        </w:rPr>
      </w:pPr>
    </w:p>
    <w:p w14:paraId="7FD71953">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14:paraId="22360002">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14:paraId="1A6ECFD9">
      <w:pPr>
        <w:spacing w:line="540" w:lineRule="exact"/>
        <w:rPr>
          <w:rFonts w:asciiTheme="majorEastAsia" w:hAnsiTheme="majorEastAsia" w:eastAsiaTheme="majorEastAsia"/>
          <w:sz w:val="28"/>
          <w:szCs w:val="28"/>
        </w:rPr>
      </w:pPr>
    </w:p>
    <w:p w14:paraId="6A0B9BF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成都恒达光学有限公司：</w:t>
      </w:r>
    </w:p>
    <w:p w14:paraId="550EA39D">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14:paraId="28C4240C">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14:paraId="108E4084">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14:paraId="16850CF6">
      <w:pPr>
        <w:spacing w:line="540" w:lineRule="exact"/>
        <w:ind w:firstLine="630"/>
        <w:rPr>
          <w:rFonts w:asciiTheme="majorEastAsia" w:hAnsiTheme="majorEastAsia" w:eastAsiaTheme="majorEastAsia"/>
          <w:sz w:val="28"/>
          <w:szCs w:val="28"/>
        </w:rPr>
      </w:pPr>
    </w:p>
    <w:p w14:paraId="7CE09177">
      <w:pPr>
        <w:spacing w:line="540" w:lineRule="exact"/>
        <w:rPr>
          <w:rFonts w:asciiTheme="majorEastAsia" w:hAnsiTheme="majorEastAsia" w:eastAsiaTheme="majorEastAsia"/>
          <w:sz w:val="28"/>
          <w:szCs w:val="28"/>
        </w:rPr>
      </w:pPr>
    </w:p>
    <w:p w14:paraId="55B85798">
      <w:pPr>
        <w:widowControl/>
        <w:snapToGrid w:val="0"/>
        <w:spacing w:before="19" w:line="540" w:lineRule="exact"/>
        <w:ind w:firstLine="700" w:firstLineChars="250"/>
        <w:rPr>
          <w:rFonts w:asciiTheme="majorEastAsia" w:hAnsiTheme="majorEastAsia" w:eastAsiaTheme="majorEastAsia"/>
          <w:sz w:val="28"/>
          <w:szCs w:val="28"/>
        </w:rPr>
      </w:pPr>
    </w:p>
    <w:p w14:paraId="037DE75E">
      <w:pPr>
        <w:widowControl/>
        <w:snapToGrid w:val="0"/>
        <w:spacing w:before="19" w:line="540" w:lineRule="exact"/>
        <w:ind w:firstLine="700" w:firstLineChars="250"/>
        <w:rPr>
          <w:rFonts w:asciiTheme="majorEastAsia" w:hAnsiTheme="majorEastAsia" w:eastAsiaTheme="majorEastAsia"/>
          <w:sz w:val="28"/>
          <w:szCs w:val="28"/>
        </w:rPr>
      </w:pPr>
    </w:p>
    <w:p w14:paraId="1F0ACF99">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14:paraId="4AD7366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14:paraId="6CE1CA05">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14:paraId="2B49073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14:paraId="307F582B">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14:paraId="68018939">
      <w:pPr>
        <w:spacing w:line="540" w:lineRule="exact"/>
        <w:rPr>
          <w:rFonts w:asciiTheme="majorEastAsia" w:hAnsiTheme="majorEastAsia" w:eastAsiaTheme="majorEastAsia"/>
          <w:sz w:val="24"/>
        </w:rPr>
      </w:pPr>
    </w:p>
    <w:p w14:paraId="4F0F72BD">
      <w:pPr>
        <w:spacing w:line="540" w:lineRule="exact"/>
        <w:rPr>
          <w:rFonts w:asciiTheme="majorEastAsia" w:hAnsiTheme="majorEastAsia" w:eastAsiaTheme="majorEastAsia"/>
          <w:sz w:val="24"/>
        </w:rPr>
      </w:pPr>
    </w:p>
    <w:p w14:paraId="6BDB93E5">
      <w:pPr>
        <w:spacing w:line="540" w:lineRule="exact"/>
        <w:rPr>
          <w:rFonts w:asciiTheme="majorEastAsia" w:hAnsiTheme="majorEastAsia" w:eastAsiaTheme="majorEastAsia"/>
          <w:sz w:val="24"/>
        </w:rPr>
      </w:pPr>
    </w:p>
    <w:p w14:paraId="52EB6180">
      <w:pPr>
        <w:spacing w:line="540" w:lineRule="exact"/>
        <w:rPr>
          <w:rFonts w:asciiTheme="majorEastAsia" w:hAnsiTheme="majorEastAsia" w:eastAsiaTheme="majorEastAsia"/>
          <w:sz w:val="24"/>
        </w:rPr>
      </w:pPr>
    </w:p>
    <w:p w14:paraId="007ED0C2">
      <w:pPr>
        <w:spacing w:line="540" w:lineRule="exact"/>
        <w:rPr>
          <w:rFonts w:asciiTheme="majorEastAsia" w:hAnsiTheme="majorEastAsia" w:eastAsiaTheme="majorEastAsia"/>
          <w:sz w:val="24"/>
        </w:rPr>
      </w:pPr>
    </w:p>
    <w:p w14:paraId="7D8341F1">
      <w:pPr>
        <w:spacing w:line="540" w:lineRule="exact"/>
        <w:rPr>
          <w:rFonts w:asciiTheme="majorEastAsia" w:hAnsiTheme="majorEastAsia" w:eastAsiaTheme="majorEastAsia"/>
          <w:sz w:val="24"/>
        </w:rPr>
      </w:pPr>
    </w:p>
    <w:p w14:paraId="3E4DBF25">
      <w:pPr>
        <w:spacing w:line="540" w:lineRule="exact"/>
        <w:rPr>
          <w:rFonts w:asciiTheme="majorEastAsia" w:hAnsiTheme="majorEastAsia" w:eastAsiaTheme="majorEastAsia"/>
          <w:sz w:val="24"/>
        </w:rPr>
      </w:pPr>
    </w:p>
    <w:p w14:paraId="32E30BCD">
      <w:pPr>
        <w:spacing w:line="540" w:lineRule="exact"/>
        <w:rPr>
          <w:rFonts w:asciiTheme="majorEastAsia" w:hAnsiTheme="majorEastAsia" w:eastAsiaTheme="majorEastAsia"/>
          <w:sz w:val="24"/>
        </w:rPr>
      </w:pPr>
    </w:p>
    <w:p w14:paraId="5088C6E5">
      <w:pPr>
        <w:spacing w:line="540" w:lineRule="exact"/>
        <w:rPr>
          <w:rFonts w:asciiTheme="majorEastAsia" w:hAnsiTheme="majorEastAsia" w:eastAsiaTheme="majorEastAsia"/>
          <w:sz w:val="24"/>
        </w:rPr>
      </w:pPr>
    </w:p>
    <w:p w14:paraId="5DE9558D">
      <w:pPr>
        <w:spacing w:line="540" w:lineRule="exact"/>
        <w:rPr>
          <w:rFonts w:asciiTheme="majorEastAsia" w:hAnsiTheme="majorEastAsia" w:eastAsiaTheme="majorEastAsia"/>
          <w:sz w:val="24"/>
        </w:rPr>
      </w:pPr>
    </w:p>
    <w:p w14:paraId="3F1590AE">
      <w:pPr>
        <w:spacing w:line="540" w:lineRule="exact"/>
        <w:rPr>
          <w:rFonts w:asciiTheme="majorEastAsia" w:hAnsiTheme="majorEastAsia" w:eastAsiaTheme="majorEastAsia"/>
          <w:sz w:val="24"/>
        </w:rPr>
      </w:pPr>
    </w:p>
    <w:p w14:paraId="054BC06B">
      <w:pPr>
        <w:spacing w:line="540" w:lineRule="exact"/>
        <w:rPr>
          <w:rFonts w:asciiTheme="majorEastAsia" w:hAnsiTheme="majorEastAsia" w:eastAsiaTheme="majorEastAsia"/>
          <w:sz w:val="24"/>
        </w:rPr>
      </w:pPr>
    </w:p>
    <w:p w14:paraId="4E45DB29">
      <w:pPr>
        <w:spacing w:line="540" w:lineRule="exact"/>
        <w:rPr>
          <w:rFonts w:asciiTheme="majorEastAsia" w:hAnsiTheme="majorEastAsia" w:eastAsiaTheme="majorEastAsia"/>
          <w:sz w:val="24"/>
        </w:rPr>
      </w:pPr>
    </w:p>
    <w:p w14:paraId="0929C7C0">
      <w:pPr>
        <w:spacing w:line="540" w:lineRule="exact"/>
        <w:rPr>
          <w:rFonts w:asciiTheme="majorEastAsia" w:hAnsiTheme="majorEastAsia" w:eastAsiaTheme="majorEastAsia"/>
          <w:sz w:val="24"/>
        </w:rPr>
      </w:pPr>
    </w:p>
    <w:p w14:paraId="7A21F288">
      <w:pPr>
        <w:spacing w:line="540" w:lineRule="exact"/>
        <w:rPr>
          <w:rFonts w:asciiTheme="majorEastAsia" w:hAnsiTheme="majorEastAsia" w:eastAsiaTheme="majorEastAsia"/>
          <w:sz w:val="24"/>
        </w:rPr>
      </w:pPr>
    </w:p>
    <w:p w14:paraId="0257F518">
      <w:pPr>
        <w:spacing w:line="540" w:lineRule="exact"/>
        <w:rPr>
          <w:rFonts w:asciiTheme="majorEastAsia" w:hAnsiTheme="majorEastAsia" w:eastAsiaTheme="majorEastAsia"/>
          <w:sz w:val="24"/>
        </w:rPr>
      </w:pPr>
    </w:p>
    <w:p w14:paraId="29E49A4F">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w:t>
      </w:r>
    </w:p>
    <w:p w14:paraId="45D5390D">
      <w:pPr>
        <w:spacing w:line="54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报价单</w:t>
      </w:r>
    </w:p>
    <w:p w14:paraId="1AEBEA4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以下报价含（  ）%专用增值税率。</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904"/>
        <w:gridCol w:w="2677"/>
        <w:gridCol w:w="1984"/>
        <w:gridCol w:w="1308"/>
      </w:tblGrid>
      <w:tr w14:paraId="4B9E3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2AEF2CA9">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服务项目</w:t>
            </w:r>
          </w:p>
        </w:tc>
        <w:tc>
          <w:tcPr>
            <w:tcW w:w="1904" w:type="dxa"/>
          </w:tcPr>
          <w:p w14:paraId="5CE0E9BC">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服务内容</w:t>
            </w:r>
          </w:p>
        </w:tc>
        <w:tc>
          <w:tcPr>
            <w:tcW w:w="2677" w:type="dxa"/>
          </w:tcPr>
          <w:p w14:paraId="26A40EAA">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技术标准</w:t>
            </w:r>
          </w:p>
        </w:tc>
        <w:tc>
          <w:tcPr>
            <w:tcW w:w="1984" w:type="dxa"/>
          </w:tcPr>
          <w:p w14:paraId="2932A5E4">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报价（元）</w:t>
            </w:r>
          </w:p>
        </w:tc>
        <w:tc>
          <w:tcPr>
            <w:tcW w:w="1308" w:type="dxa"/>
          </w:tcPr>
          <w:p w14:paraId="3B0A2989">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r>
      <w:tr w14:paraId="1256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8" w:hRule="atLeast"/>
        </w:trPr>
        <w:tc>
          <w:tcPr>
            <w:tcW w:w="1557" w:type="dxa"/>
          </w:tcPr>
          <w:p w14:paraId="62DB061D">
            <w:pPr>
              <w:spacing w:line="540" w:lineRule="exact"/>
              <w:rPr>
                <w:rFonts w:hint="eastAsia" w:cs="Times New Roman" w:asciiTheme="majorEastAsia" w:hAnsiTheme="majorEastAsia" w:eastAsiaTheme="majorEastAsia"/>
                <w:sz w:val="15"/>
                <w:szCs w:val="15"/>
                <w:highlight w:val="none"/>
                <w:lang w:val="en-US" w:eastAsia="zh-CN"/>
              </w:rPr>
            </w:pPr>
            <w:r>
              <w:rPr>
                <w:rFonts w:hint="eastAsia" w:cs="Times New Roman" w:asciiTheme="majorEastAsia" w:hAnsiTheme="majorEastAsia" w:eastAsiaTheme="majorEastAsia"/>
                <w:sz w:val="15"/>
                <w:szCs w:val="15"/>
                <w:highlight w:val="none"/>
                <w:lang w:val="en-US" w:eastAsia="zh-CN"/>
              </w:rPr>
              <w:t>双重预防工作机制报告编制服务项目</w:t>
            </w:r>
          </w:p>
        </w:tc>
        <w:tc>
          <w:tcPr>
            <w:tcW w:w="1904" w:type="dxa"/>
          </w:tcPr>
          <w:p w14:paraId="7BED8D0E">
            <w:pPr>
              <w:spacing w:line="540" w:lineRule="exact"/>
              <w:rPr>
                <w:rFonts w:hint="eastAsia" w:cs="Times New Roman" w:asciiTheme="majorEastAsia" w:hAnsiTheme="majorEastAsia" w:eastAsiaTheme="majorEastAsia"/>
                <w:sz w:val="15"/>
                <w:szCs w:val="15"/>
                <w:highlight w:val="none"/>
                <w:lang w:val="en-US" w:eastAsia="zh-CN"/>
              </w:rPr>
            </w:pPr>
            <w:r>
              <w:rPr>
                <w:rFonts w:hint="eastAsia" w:cs="Times New Roman" w:asciiTheme="majorEastAsia" w:hAnsiTheme="majorEastAsia" w:eastAsiaTheme="majorEastAsia"/>
                <w:sz w:val="15"/>
                <w:szCs w:val="15"/>
                <w:highlight w:val="none"/>
                <w:lang w:val="en-US" w:eastAsia="zh-CN"/>
              </w:rPr>
              <w:t>编制“安全风险分级管控和隐患排查治理双重预防工作机制”报告</w:t>
            </w:r>
          </w:p>
        </w:tc>
        <w:tc>
          <w:tcPr>
            <w:tcW w:w="2677" w:type="dxa"/>
            <w:vAlign w:val="top"/>
          </w:tcPr>
          <w:p w14:paraId="2A4E5490">
            <w:pPr>
              <w:spacing w:line="540" w:lineRule="exact"/>
              <w:rPr>
                <w:rFonts w:asciiTheme="majorEastAsia" w:hAnsiTheme="majorEastAsia" w:eastAsiaTheme="majorEastAsia"/>
                <w:sz w:val="13"/>
                <w:szCs w:val="13"/>
              </w:rPr>
            </w:pPr>
            <w:r>
              <w:rPr>
                <w:rFonts w:hint="eastAsia" w:cs="Times New Roman" w:asciiTheme="majorEastAsia" w:hAnsiTheme="majorEastAsia" w:eastAsiaTheme="majorEastAsia"/>
                <w:sz w:val="15"/>
                <w:szCs w:val="15"/>
                <w:highlight w:val="none"/>
                <w:lang w:val="en-US" w:eastAsia="zh-CN"/>
              </w:rPr>
              <w:t>《危险化学品目录(2022版)》、《危险货物产品目录》、《危险化学品重大危险源辨识》；《机械、冶金行业较大危险因素辨识与防范指导手册》(安监总管四(2016)31号)、《企业职工伤亡事故分类》、《生产过程危险和有害因素分类与代码》；《职业病危害因素分类目录》</w:t>
            </w:r>
          </w:p>
        </w:tc>
        <w:tc>
          <w:tcPr>
            <w:tcW w:w="1984" w:type="dxa"/>
          </w:tcPr>
          <w:p w14:paraId="3DA2BD48">
            <w:pPr>
              <w:spacing w:line="540" w:lineRule="exact"/>
              <w:rPr>
                <w:rFonts w:asciiTheme="majorEastAsia" w:hAnsiTheme="majorEastAsia" w:eastAsiaTheme="majorEastAsia"/>
                <w:sz w:val="28"/>
                <w:szCs w:val="28"/>
              </w:rPr>
            </w:pPr>
          </w:p>
        </w:tc>
        <w:tc>
          <w:tcPr>
            <w:tcW w:w="1308" w:type="dxa"/>
          </w:tcPr>
          <w:p w14:paraId="2991DF20">
            <w:pPr>
              <w:spacing w:line="540" w:lineRule="exact"/>
              <w:rPr>
                <w:rFonts w:asciiTheme="majorEastAsia" w:hAnsiTheme="majorEastAsia" w:eastAsiaTheme="majorEastAsia"/>
                <w:sz w:val="28"/>
                <w:szCs w:val="28"/>
              </w:rPr>
            </w:pPr>
          </w:p>
        </w:tc>
      </w:tr>
    </w:tbl>
    <w:p w14:paraId="7E872335">
      <w:pPr>
        <w:spacing w:line="360" w:lineRule="auto"/>
        <w:jc w:val="left"/>
        <w:rPr>
          <w:rFonts w:ascii="宋体" w:hAnsi="宋体" w:cs="宋体"/>
          <w:b/>
          <w:color w:val="000000"/>
          <w:sz w:val="24"/>
        </w:rPr>
      </w:pPr>
      <w:r>
        <w:rPr>
          <w:rFonts w:hint="eastAsia" w:ascii="宋体" w:hAnsi="宋体" w:cs="宋体"/>
          <w:b/>
          <w:color w:val="000000"/>
          <w:sz w:val="24"/>
        </w:rPr>
        <w:t>注：询价文件中未列出的在服务过程中涉及到的其它一切费用（包含但不限于人工费、文本费、交通费、专家费等）应在报价时一并考虑，项目实施过程中不再单独结算。</w:t>
      </w:r>
    </w:p>
    <w:p w14:paraId="186EB9EB">
      <w:pPr>
        <w:spacing w:line="360" w:lineRule="auto"/>
        <w:ind w:left="481"/>
        <w:jc w:val="left"/>
        <w:rPr>
          <w:rFonts w:ascii="宋体" w:hAnsi="宋体" w:cs="宋体"/>
          <w:b/>
          <w:color w:val="000000"/>
          <w:sz w:val="24"/>
        </w:rPr>
      </w:pPr>
    </w:p>
    <w:p w14:paraId="5495DF6F">
      <w:pPr>
        <w:spacing w:line="360" w:lineRule="auto"/>
        <w:ind w:left="481"/>
        <w:jc w:val="left"/>
        <w:rPr>
          <w:rFonts w:ascii="宋体" w:hAnsi="宋体" w:cs="宋体"/>
          <w:b/>
          <w:color w:val="000000"/>
          <w:sz w:val="24"/>
        </w:rPr>
      </w:pPr>
    </w:p>
    <w:p w14:paraId="72FC1534">
      <w:pPr>
        <w:spacing w:line="360" w:lineRule="auto"/>
        <w:ind w:left="481"/>
        <w:jc w:val="left"/>
        <w:rPr>
          <w:rFonts w:ascii="宋体" w:hAnsi="宋体" w:cs="宋体"/>
          <w:b/>
          <w:color w:val="000000"/>
          <w:sz w:val="24"/>
        </w:rPr>
      </w:pPr>
    </w:p>
    <w:p w14:paraId="366DE73B">
      <w:pPr>
        <w:jc w:val="left"/>
        <w:rPr>
          <w:rFonts w:asciiTheme="majorEastAsia" w:hAnsiTheme="majorEastAsia" w:eastAsiaTheme="majorEastAsia"/>
          <w:sz w:val="24"/>
        </w:rPr>
      </w:pPr>
      <w:r>
        <w:rPr>
          <w:rFonts w:hint="eastAsia" w:asciiTheme="majorEastAsia" w:hAnsiTheme="majorEastAsia" w:eastAsiaTheme="majorEastAsia"/>
          <w:sz w:val="24"/>
        </w:rPr>
        <w:t>文件五</w:t>
      </w:r>
    </w:p>
    <w:p w14:paraId="472F004D">
      <w:pPr>
        <w:jc w:val="center"/>
      </w:pPr>
      <w:r>
        <w:rPr>
          <w:rFonts w:hint="eastAsia" w:eastAsia="黑体"/>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417" w:type="dxa"/>
            <w:tcBorders>
              <w:top w:val="single" w:color="auto" w:sz="12" w:space="0"/>
            </w:tcBorders>
          </w:tcPr>
          <w:p w14:paraId="51A6E13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4111" w:type="dxa"/>
            <w:tcBorders>
              <w:top w:val="single" w:color="auto" w:sz="12" w:space="0"/>
            </w:tcBorders>
          </w:tcPr>
          <w:p w14:paraId="2D037919">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417" w:type="dxa"/>
            <w:tcBorders>
              <w:top w:val="single" w:color="auto" w:sz="12" w:space="0"/>
            </w:tcBorders>
          </w:tcPr>
          <w:p w14:paraId="63F688D6">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294" w:type="dxa"/>
            <w:tcBorders>
              <w:top w:val="single" w:color="auto" w:sz="12" w:space="0"/>
            </w:tcBorders>
          </w:tcPr>
          <w:p w14:paraId="655CDB6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1</w:t>
            </w:r>
          </w:p>
        </w:tc>
        <w:tc>
          <w:tcPr>
            <w:tcW w:w="1417" w:type="dxa"/>
            <w:vAlign w:val="center"/>
          </w:tcPr>
          <w:p w14:paraId="49C7107F">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一、项目实施时间</w:t>
            </w:r>
          </w:p>
        </w:tc>
        <w:tc>
          <w:tcPr>
            <w:tcW w:w="4111" w:type="dxa"/>
          </w:tcPr>
          <w:p w14:paraId="342FD441">
            <w:pPr>
              <w:spacing w:line="300" w:lineRule="exact"/>
              <w:rPr>
                <w:rFonts w:ascii="仿宋_GB2312" w:eastAsia="仿宋_GB2312"/>
                <w:color w:val="000000"/>
                <w:sz w:val="24"/>
                <w:szCs w:val="21"/>
              </w:rPr>
            </w:pPr>
            <w:r>
              <w:rPr>
                <w:rFonts w:hint="eastAsia" w:ascii="仿宋_GB2312" w:eastAsia="仿宋_GB2312"/>
                <w:sz w:val="24"/>
                <w:szCs w:val="21"/>
              </w:rPr>
              <w:t>从合同签署之日起1年。</w:t>
            </w:r>
          </w:p>
        </w:tc>
        <w:tc>
          <w:tcPr>
            <w:tcW w:w="1417" w:type="dxa"/>
          </w:tcPr>
          <w:p w14:paraId="1E556944">
            <w:pPr>
              <w:spacing w:line="480" w:lineRule="auto"/>
              <w:rPr>
                <w:rFonts w:ascii="仿宋_GB2312" w:eastAsia="仿宋_GB2312"/>
                <w:color w:val="000000"/>
                <w:sz w:val="24"/>
                <w:szCs w:val="21"/>
              </w:rPr>
            </w:pPr>
          </w:p>
        </w:tc>
        <w:tc>
          <w:tcPr>
            <w:tcW w:w="1294" w:type="dxa"/>
          </w:tcPr>
          <w:p w14:paraId="7348B644">
            <w:pPr>
              <w:spacing w:line="480" w:lineRule="auto"/>
              <w:rPr>
                <w:rFonts w:ascii="仿宋_GB2312" w:eastAsia="仿宋_GB2312"/>
                <w:color w:val="000000"/>
                <w:sz w:val="24"/>
                <w:szCs w:val="21"/>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2</w:t>
            </w:r>
          </w:p>
          <w:p w14:paraId="74CA515B">
            <w:pPr>
              <w:spacing w:line="300" w:lineRule="exact"/>
              <w:jc w:val="center"/>
              <w:rPr>
                <w:rFonts w:ascii="仿宋_GB2312" w:eastAsia="仿宋_GB2312"/>
                <w:color w:val="000000"/>
                <w:sz w:val="24"/>
                <w:szCs w:val="21"/>
              </w:rPr>
            </w:pPr>
          </w:p>
        </w:tc>
        <w:tc>
          <w:tcPr>
            <w:tcW w:w="1417" w:type="dxa"/>
            <w:vAlign w:val="center"/>
          </w:tcPr>
          <w:p w14:paraId="4492AD7E">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★二、付款方法和条件</w:t>
            </w:r>
          </w:p>
          <w:p w14:paraId="59FD4FC6">
            <w:pPr>
              <w:spacing w:line="300" w:lineRule="exact"/>
              <w:jc w:val="center"/>
              <w:rPr>
                <w:rFonts w:ascii="仿宋_GB2312" w:eastAsia="仿宋_GB2312"/>
                <w:color w:val="000000"/>
                <w:sz w:val="24"/>
                <w:szCs w:val="21"/>
              </w:rPr>
            </w:pPr>
          </w:p>
        </w:tc>
        <w:tc>
          <w:tcPr>
            <w:tcW w:w="4111" w:type="dxa"/>
          </w:tcPr>
          <w:p w14:paraId="4193E7A1">
            <w:pPr>
              <w:spacing w:line="300" w:lineRule="exact"/>
              <w:rPr>
                <w:rFonts w:ascii="仿宋_GB2312" w:eastAsia="仿宋_GB2312"/>
                <w:color w:val="000000"/>
                <w:sz w:val="24"/>
                <w:szCs w:val="21"/>
              </w:rPr>
            </w:pPr>
            <w:r>
              <w:rPr>
                <w:rFonts w:hint="eastAsia" w:ascii="仿宋_GB2312" w:eastAsia="仿宋_GB2312"/>
                <w:color w:val="000000"/>
                <w:sz w:val="24"/>
                <w:szCs w:val="21"/>
              </w:rPr>
              <w:t>取得报告后，乙方开具发票，甲方在60个工作日内支付款项。</w:t>
            </w:r>
          </w:p>
        </w:tc>
        <w:tc>
          <w:tcPr>
            <w:tcW w:w="1417" w:type="dxa"/>
          </w:tcPr>
          <w:p w14:paraId="1614C8C5">
            <w:pPr>
              <w:spacing w:line="480" w:lineRule="auto"/>
              <w:rPr>
                <w:rFonts w:ascii="仿宋_GB2312" w:eastAsia="仿宋_GB2312"/>
                <w:color w:val="000000"/>
                <w:sz w:val="24"/>
                <w:szCs w:val="21"/>
              </w:rPr>
            </w:pPr>
          </w:p>
        </w:tc>
        <w:tc>
          <w:tcPr>
            <w:tcW w:w="1294" w:type="dxa"/>
          </w:tcPr>
          <w:p w14:paraId="4046E235">
            <w:pPr>
              <w:spacing w:line="480" w:lineRule="auto"/>
              <w:rPr>
                <w:rFonts w:ascii="仿宋_GB2312" w:eastAsia="仿宋_GB2312"/>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3</w:t>
            </w:r>
          </w:p>
        </w:tc>
        <w:tc>
          <w:tcPr>
            <w:tcW w:w="1417" w:type="dxa"/>
            <w:tcBorders>
              <w:bottom w:val="single" w:color="auto" w:sz="12" w:space="0"/>
            </w:tcBorders>
            <w:vAlign w:val="center"/>
          </w:tcPr>
          <w:p w14:paraId="505FD1F7">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ascii="仿宋_GB2312" w:eastAsia="仿宋_GB2312"/>
                <w:color w:val="000000"/>
                <w:sz w:val="24"/>
                <w:szCs w:val="21"/>
              </w:rPr>
            </w:pPr>
            <w:r>
              <w:rPr>
                <w:rFonts w:hint="eastAsia" w:ascii="仿宋_GB2312" w:eastAsia="仿宋_GB2312"/>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ascii="仿宋_GB2312" w:eastAsia="仿宋_GB2312"/>
                <w:color w:val="000000"/>
                <w:sz w:val="24"/>
                <w:szCs w:val="21"/>
              </w:rPr>
            </w:pPr>
          </w:p>
        </w:tc>
        <w:tc>
          <w:tcPr>
            <w:tcW w:w="1294" w:type="dxa"/>
            <w:tcBorders>
              <w:bottom w:val="single" w:color="auto" w:sz="12" w:space="0"/>
            </w:tcBorders>
          </w:tcPr>
          <w:p w14:paraId="064D1297">
            <w:pPr>
              <w:spacing w:line="480" w:lineRule="auto"/>
              <w:rPr>
                <w:rFonts w:ascii="仿宋_GB2312" w:eastAsia="仿宋_GB2312"/>
                <w:color w:val="000000"/>
                <w:sz w:val="24"/>
                <w:szCs w:val="21"/>
              </w:rPr>
            </w:pPr>
          </w:p>
        </w:tc>
      </w:tr>
    </w:tbl>
    <w:p w14:paraId="237C18A1">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2BBD0BA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11DD291E">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54DFD1C2">
      <w:pPr>
        <w:jc w:val="left"/>
        <w:rPr>
          <w:rFonts w:asciiTheme="majorEastAsia" w:hAnsiTheme="majorEastAsia" w:eastAsiaTheme="majorEastAsia"/>
          <w:sz w:val="24"/>
        </w:rPr>
      </w:pPr>
      <w:r>
        <w:rPr>
          <w:rFonts w:asciiTheme="majorEastAsia" w:hAnsiTheme="majorEastAsia" w:eastAsiaTheme="majorEastAsia"/>
          <w:sz w:val="24"/>
        </w:rPr>
        <w:tab/>
      </w:r>
    </w:p>
    <w:p w14:paraId="5001ABFF">
      <w:pPr>
        <w:jc w:val="left"/>
        <w:rPr>
          <w:rFonts w:asciiTheme="majorEastAsia" w:hAnsiTheme="majorEastAsia" w:eastAsiaTheme="majorEastAsia"/>
          <w:sz w:val="24"/>
        </w:rPr>
      </w:pPr>
    </w:p>
    <w:p w14:paraId="246D4D00">
      <w:pPr>
        <w:jc w:val="left"/>
        <w:rPr>
          <w:rFonts w:asciiTheme="majorEastAsia" w:hAnsiTheme="majorEastAsia" w:eastAsiaTheme="majorEastAsia"/>
          <w:sz w:val="24"/>
        </w:rPr>
      </w:pPr>
    </w:p>
    <w:p w14:paraId="2D1DD93E">
      <w:pPr>
        <w:jc w:val="left"/>
        <w:rPr>
          <w:rFonts w:asciiTheme="majorEastAsia" w:hAnsiTheme="majorEastAsia" w:eastAsiaTheme="majorEastAsia"/>
          <w:sz w:val="24"/>
        </w:rPr>
      </w:pPr>
    </w:p>
    <w:p w14:paraId="71BFF763">
      <w:pPr>
        <w:jc w:val="left"/>
        <w:rPr>
          <w:rFonts w:asciiTheme="majorEastAsia" w:hAnsiTheme="majorEastAsia" w:eastAsiaTheme="majorEastAsia"/>
          <w:sz w:val="24"/>
        </w:rPr>
      </w:pPr>
    </w:p>
    <w:p w14:paraId="3B1DA71A">
      <w:pPr>
        <w:jc w:val="left"/>
        <w:rPr>
          <w:rFonts w:asciiTheme="majorEastAsia" w:hAnsiTheme="majorEastAsia" w:eastAsiaTheme="majorEastAsia"/>
          <w:sz w:val="24"/>
        </w:rPr>
      </w:pPr>
    </w:p>
    <w:p w14:paraId="52463414">
      <w:pPr>
        <w:jc w:val="left"/>
        <w:rPr>
          <w:rFonts w:asciiTheme="majorEastAsia" w:hAnsiTheme="majorEastAsia" w:eastAsiaTheme="majorEastAsia"/>
          <w:sz w:val="24"/>
        </w:rPr>
      </w:pPr>
    </w:p>
    <w:p w14:paraId="2B6C93D8">
      <w:pPr>
        <w:jc w:val="left"/>
        <w:rPr>
          <w:rFonts w:asciiTheme="majorEastAsia" w:hAnsiTheme="majorEastAsia" w:eastAsiaTheme="majorEastAsia"/>
          <w:sz w:val="24"/>
        </w:rPr>
      </w:pPr>
    </w:p>
    <w:p w14:paraId="7FD37166">
      <w:pPr>
        <w:jc w:val="left"/>
        <w:rPr>
          <w:rFonts w:asciiTheme="majorEastAsia" w:hAnsiTheme="majorEastAsia" w:eastAsiaTheme="majorEastAsia"/>
          <w:sz w:val="24"/>
        </w:rPr>
      </w:pPr>
    </w:p>
    <w:p w14:paraId="198412AA">
      <w:pPr>
        <w:jc w:val="left"/>
        <w:rPr>
          <w:rFonts w:asciiTheme="majorEastAsia" w:hAnsiTheme="majorEastAsia" w:eastAsiaTheme="majorEastAsia"/>
          <w:sz w:val="24"/>
        </w:rPr>
      </w:pPr>
    </w:p>
    <w:p w14:paraId="18D6075D">
      <w:pPr>
        <w:jc w:val="left"/>
        <w:rPr>
          <w:rFonts w:asciiTheme="majorEastAsia" w:hAnsiTheme="majorEastAsia" w:eastAsiaTheme="majorEastAsia"/>
          <w:sz w:val="24"/>
        </w:rPr>
      </w:pPr>
    </w:p>
    <w:p w14:paraId="09CEB139">
      <w:pPr>
        <w:jc w:val="left"/>
        <w:rPr>
          <w:rFonts w:asciiTheme="majorEastAsia" w:hAnsiTheme="majorEastAsia" w:eastAsiaTheme="majorEastAsia"/>
          <w:sz w:val="24"/>
        </w:rPr>
      </w:pPr>
    </w:p>
    <w:p w14:paraId="08512C4B">
      <w:pPr>
        <w:jc w:val="left"/>
        <w:rPr>
          <w:rFonts w:asciiTheme="majorEastAsia" w:hAnsiTheme="majorEastAsia" w:eastAsiaTheme="majorEastAsia"/>
          <w:sz w:val="24"/>
        </w:rPr>
      </w:pPr>
    </w:p>
    <w:p w14:paraId="6B9153A0">
      <w:pPr>
        <w:jc w:val="left"/>
        <w:rPr>
          <w:rFonts w:asciiTheme="majorEastAsia" w:hAnsiTheme="majorEastAsia" w:eastAsiaTheme="majorEastAsia"/>
          <w:sz w:val="24"/>
        </w:rPr>
      </w:pPr>
    </w:p>
    <w:p w14:paraId="26B7337B">
      <w:pPr>
        <w:jc w:val="left"/>
        <w:rPr>
          <w:rFonts w:asciiTheme="majorEastAsia" w:hAnsiTheme="majorEastAsia" w:eastAsiaTheme="majorEastAsia"/>
          <w:sz w:val="24"/>
        </w:rPr>
      </w:pPr>
    </w:p>
    <w:p w14:paraId="6938ADC5">
      <w:pPr>
        <w:jc w:val="left"/>
        <w:rPr>
          <w:rFonts w:asciiTheme="majorEastAsia" w:hAnsiTheme="majorEastAsia" w:eastAsiaTheme="majorEastAsia"/>
          <w:sz w:val="24"/>
        </w:rPr>
      </w:pPr>
    </w:p>
    <w:p w14:paraId="7BF14060">
      <w:pPr>
        <w:jc w:val="left"/>
        <w:rPr>
          <w:rFonts w:asciiTheme="majorEastAsia" w:hAnsiTheme="majorEastAsia" w:eastAsiaTheme="majorEastAsia"/>
          <w:sz w:val="24"/>
        </w:rPr>
      </w:pPr>
    </w:p>
    <w:p w14:paraId="4F360327">
      <w:pPr>
        <w:jc w:val="left"/>
        <w:rPr>
          <w:rFonts w:asciiTheme="majorEastAsia" w:hAnsiTheme="majorEastAsia" w:eastAsiaTheme="majorEastAsia"/>
          <w:sz w:val="24"/>
        </w:rPr>
      </w:pPr>
    </w:p>
    <w:p w14:paraId="187A277C">
      <w:pPr>
        <w:jc w:val="left"/>
        <w:rPr>
          <w:rFonts w:asciiTheme="majorEastAsia" w:hAnsiTheme="majorEastAsia" w:eastAsiaTheme="majorEastAsia"/>
          <w:sz w:val="24"/>
        </w:rPr>
      </w:pPr>
    </w:p>
    <w:p w14:paraId="5F49813B">
      <w:pPr>
        <w:jc w:val="left"/>
        <w:rPr>
          <w:rFonts w:asciiTheme="majorEastAsia" w:hAnsiTheme="majorEastAsia" w:eastAsiaTheme="majorEastAsia"/>
          <w:sz w:val="24"/>
        </w:rPr>
      </w:pPr>
    </w:p>
    <w:p w14:paraId="3E8DB022">
      <w:pPr>
        <w:jc w:val="left"/>
        <w:rPr>
          <w:rFonts w:asciiTheme="majorEastAsia" w:hAnsiTheme="majorEastAsia" w:eastAsiaTheme="majorEastAsia"/>
          <w:sz w:val="24"/>
        </w:rPr>
      </w:pPr>
    </w:p>
    <w:p w14:paraId="652D53BC">
      <w:pPr>
        <w:jc w:val="left"/>
        <w:rPr>
          <w:rFonts w:asciiTheme="majorEastAsia" w:hAnsiTheme="majorEastAsia" w:eastAsiaTheme="majorEastAsia"/>
          <w:sz w:val="24"/>
        </w:rPr>
      </w:pPr>
    </w:p>
    <w:p w14:paraId="7FEFBEB8">
      <w:pPr>
        <w:jc w:val="left"/>
        <w:rPr>
          <w:rFonts w:asciiTheme="majorEastAsia" w:hAnsiTheme="majorEastAsia" w:eastAsiaTheme="majorEastAsia"/>
          <w:sz w:val="24"/>
        </w:rPr>
      </w:pPr>
    </w:p>
    <w:p w14:paraId="760A12CF">
      <w:pPr>
        <w:jc w:val="left"/>
        <w:rPr>
          <w:rFonts w:asciiTheme="majorEastAsia" w:hAnsiTheme="majorEastAsia" w:eastAsiaTheme="majorEastAsia"/>
          <w:sz w:val="24"/>
        </w:rPr>
      </w:pPr>
    </w:p>
    <w:p w14:paraId="1FCB5076">
      <w:pPr>
        <w:jc w:val="left"/>
        <w:rPr>
          <w:rFonts w:asciiTheme="majorEastAsia" w:hAnsiTheme="majorEastAsia" w:eastAsiaTheme="majorEastAsia"/>
          <w:sz w:val="24"/>
        </w:rPr>
      </w:pPr>
      <w:r>
        <w:rPr>
          <w:rFonts w:hint="eastAsia" w:asciiTheme="majorEastAsia" w:hAnsiTheme="majorEastAsia" w:eastAsiaTheme="majorEastAsia"/>
          <w:sz w:val="24"/>
        </w:rPr>
        <w:t>文件六</w:t>
      </w:r>
    </w:p>
    <w:p w14:paraId="181B03D7">
      <w:pPr>
        <w:jc w:val="center"/>
      </w:pPr>
      <w:r>
        <w:rPr>
          <w:rFonts w:hint="eastAsia" w:eastAsia="黑体"/>
          <w:sz w:val="30"/>
          <w:szCs w:val="30"/>
        </w:rPr>
        <w:t>服务技术要求响应表</w:t>
      </w:r>
    </w:p>
    <w:tbl>
      <w:tblPr>
        <w:tblStyle w:val="17"/>
        <w:tblW w:w="957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5290"/>
        <w:gridCol w:w="1362"/>
        <w:gridCol w:w="1344"/>
      </w:tblGrid>
      <w:tr w14:paraId="60AE31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Borders>
              <w:top w:val="single" w:color="auto" w:sz="12" w:space="0"/>
            </w:tcBorders>
          </w:tcPr>
          <w:p w14:paraId="0BCF95BD">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5290" w:type="dxa"/>
            <w:tcBorders>
              <w:top w:val="single" w:color="auto" w:sz="12" w:space="0"/>
            </w:tcBorders>
          </w:tcPr>
          <w:p w14:paraId="43FAC12B">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362" w:type="dxa"/>
            <w:tcBorders>
              <w:top w:val="single" w:color="auto" w:sz="12" w:space="0"/>
            </w:tcBorders>
          </w:tcPr>
          <w:p w14:paraId="32981331">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344" w:type="dxa"/>
            <w:tcBorders>
              <w:top w:val="single" w:color="auto" w:sz="12" w:space="0"/>
            </w:tcBorders>
          </w:tcPr>
          <w:p w14:paraId="057270FF">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2115E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0" w:hRule="atLeast"/>
          <w:jc w:val="center"/>
        </w:trPr>
        <w:tc>
          <w:tcPr>
            <w:tcW w:w="1577" w:type="dxa"/>
            <w:vMerge w:val="restart"/>
          </w:tcPr>
          <w:p w14:paraId="181C6942">
            <w:pPr>
              <w:spacing w:line="300" w:lineRule="exact"/>
              <w:rPr>
                <w:rFonts w:ascii="仿宋_GB2312" w:eastAsia="仿宋_GB2312"/>
                <w:color w:val="000000"/>
                <w:sz w:val="24"/>
                <w:szCs w:val="21"/>
              </w:rPr>
            </w:pPr>
          </w:p>
          <w:p w14:paraId="44D63CC3">
            <w:pPr>
              <w:spacing w:line="300" w:lineRule="exact"/>
              <w:rPr>
                <w:rFonts w:ascii="仿宋_GB2312" w:eastAsia="仿宋_GB2312"/>
                <w:color w:val="000000"/>
                <w:sz w:val="24"/>
                <w:szCs w:val="21"/>
              </w:rPr>
            </w:pPr>
          </w:p>
          <w:p w14:paraId="188564F8">
            <w:pPr>
              <w:spacing w:line="300" w:lineRule="exact"/>
              <w:rPr>
                <w:rFonts w:ascii="仿宋_GB2312" w:eastAsia="仿宋_GB2312"/>
                <w:color w:val="000000"/>
                <w:sz w:val="24"/>
                <w:szCs w:val="21"/>
              </w:rPr>
            </w:pPr>
          </w:p>
          <w:p w14:paraId="3FAA9140">
            <w:pPr>
              <w:spacing w:line="300" w:lineRule="exact"/>
              <w:rPr>
                <w:rFonts w:ascii="仿宋_GB2312" w:eastAsia="仿宋_GB2312"/>
                <w:color w:val="000000"/>
                <w:sz w:val="24"/>
                <w:szCs w:val="21"/>
              </w:rPr>
            </w:pPr>
          </w:p>
          <w:p w14:paraId="59192FE7">
            <w:pPr>
              <w:spacing w:line="300" w:lineRule="exact"/>
              <w:rPr>
                <w:rFonts w:ascii="仿宋_GB2312" w:eastAsia="仿宋_GB2312"/>
                <w:color w:val="000000"/>
                <w:sz w:val="24"/>
                <w:szCs w:val="21"/>
              </w:rPr>
            </w:pPr>
          </w:p>
          <w:p w14:paraId="49942460">
            <w:pPr>
              <w:spacing w:line="300" w:lineRule="exact"/>
              <w:rPr>
                <w:rFonts w:ascii="仿宋_GB2312" w:eastAsia="仿宋_GB2312"/>
                <w:color w:val="000000"/>
                <w:sz w:val="24"/>
                <w:szCs w:val="21"/>
              </w:rPr>
            </w:pPr>
          </w:p>
          <w:p w14:paraId="6AB53FBC">
            <w:pPr>
              <w:spacing w:line="300" w:lineRule="exact"/>
              <w:rPr>
                <w:rFonts w:ascii="仿宋_GB2312" w:eastAsia="仿宋_GB2312"/>
                <w:color w:val="000000"/>
                <w:sz w:val="24"/>
                <w:szCs w:val="21"/>
              </w:rPr>
            </w:pPr>
          </w:p>
          <w:p w14:paraId="571E7E92">
            <w:pPr>
              <w:spacing w:line="300" w:lineRule="exact"/>
              <w:rPr>
                <w:rFonts w:ascii="仿宋_GB2312" w:eastAsia="仿宋_GB2312"/>
                <w:color w:val="000000"/>
                <w:sz w:val="24"/>
                <w:szCs w:val="21"/>
              </w:rPr>
            </w:pPr>
          </w:p>
          <w:p w14:paraId="3A3AD88E">
            <w:pPr>
              <w:spacing w:line="300" w:lineRule="exact"/>
              <w:rPr>
                <w:rFonts w:ascii="仿宋_GB2312" w:eastAsia="仿宋_GB2312"/>
                <w:color w:val="000000"/>
                <w:sz w:val="24"/>
                <w:szCs w:val="21"/>
              </w:rPr>
            </w:pPr>
            <w:r>
              <w:rPr>
                <w:rFonts w:hint="eastAsia" w:ascii="仿宋_GB2312" w:eastAsia="仿宋_GB2312"/>
                <w:color w:val="000000"/>
                <w:sz w:val="24"/>
                <w:szCs w:val="21"/>
              </w:rPr>
              <w:t>一、技术要求</w:t>
            </w:r>
          </w:p>
          <w:p w14:paraId="1CCB767F">
            <w:pPr>
              <w:spacing w:line="300" w:lineRule="exact"/>
              <w:rPr>
                <w:rFonts w:ascii="仿宋_GB2312" w:eastAsia="仿宋_GB2312"/>
                <w:color w:val="000000"/>
                <w:sz w:val="24"/>
                <w:szCs w:val="21"/>
              </w:rPr>
            </w:pPr>
          </w:p>
        </w:tc>
        <w:tc>
          <w:tcPr>
            <w:tcW w:w="5290" w:type="dxa"/>
          </w:tcPr>
          <w:p w14:paraId="6E1D8655">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1.按照《危险化学品目录(2022版)》、《危险货物产品目录》、《危险化学品重大危险源辨识》对厂区涉及到的危化品和使用物质及产品进行进行重大危险源的计算、辨识和分析；</w:t>
            </w:r>
          </w:p>
          <w:p w14:paraId="5C430EDD">
            <w:pPr>
              <w:spacing w:line="300" w:lineRule="exact"/>
              <w:rPr>
                <w:rFonts w:ascii="仿宋_GB2312" w:eastAsia="仿宋_GB2312"/>
                <w:color w:val="000000"/>
                <w:sz w:val="20"/>
                <w:szCs w:val="16"/>
              </w:rPr>
            </w:pPr>
          </w:p>
        </w:tc>
        <w:tc>
          <w:tcPr>
            <w:tcW w:w="1362" w:type="dxa"/>
          </w:tcPr>
          <w:p w14:paraId="65BE2543">
            <w:pPr>
              <w:spacing w:line="480" w:lineRule="auto"/>
              <w:rPr>
                <w:rFonts w:ascii="仿宋_GB2312" w:eastAsia="仿宋_GB2312"/>
                <w:color w:val="000000"/>
                <w:sz w:val="24"/>
                <w:szCs w:val="21"/>
              </w:rPr>
            </w:pPr>
          </w:p>
        </w:tc>
        <w:tc>
          <w:tcPr>
            <w:tcW w:w="1344" w:type="dxa"/>
          </w:tcPr>
          <w:p w14:paraId="3C4DD551">
            <w:pPr>
              <w:spacing w:line="480" w:lineRule="auto"/>
              <w:rPr>
                <w:rFonts w:ascii="仿宋_GB2312" w:eastAsia="仿宋_GB2312"/>
                <w:color w:val="000000"/>
                <w:sz w:val="24"/>
                <w:szCs w:val="21"/>
              </w:rPr>
            </w:pPr>
          </w:p>
        </w:tc>
      </w:tr>
      <w:tr w14:paraId="10118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vMerge w:val="continue"/>
          </w:tcPr>
          <w:p w14:paraId="656A38F6">
            <w:pPr>
              <w:spacing w:line="480" w:lineRule="auto"/>
              <w:rPr>
                <w:rFonts w:ascii="仿宋_GB2312" w:eastAsia="仿宋_GB2312"/>
                <w:color w:val="000000"/>
                <w:sz w:val="24"/>
                <w:szCs w:val="21"/>
              </w:rPr>
            </w:pPr>
          </w:p>
        </w:tc>
        <w:tc>
          <w:tcPr>
            <w:tcW w:w="5290" w:type="dxa"/>
          </w:tcPr>
          <w:p w14:paraId="719A079D">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2、根据《机械、冶金行业较大危险因素辨识与防范指导手册》(安监总管四(2016)31号)、《企业职工伤亡事故分类》、《生产过程危险和有害因素分类与代码》对项目存在的危险、有害因素、涉及到的事故类型进行辨识与分析；</w:t>
            </w:r>
          </w:p>
          <w:p w14:paraId="2FBF4EB5">
            <w:pPr>
              <w:spacing w:line="300" w:lineRule="exact"/>
              <w:rPr>
                <w:rFonts w:ascii="仿宋_GB2312" w:eastAsia="仿宋_GB2312"/>
                <w:color w:val="000000"/>
                <w:sz w:val="20"/>
                <w:szCs w:val="16"/>
              </w:rPr>
            </w:pPr>
          </w:p>
        </w:tc>
        <w:tc>
          <w:tcPr>
            <w:tcW w:w="1362" w:type="dxa"/>
          </w:tcPr>
          <w:p w14:paraId="56178DA3">
            <w:pPr>
              <w:spacing w:line="480" w:lineRule="auto"/>
              <w:rPr>
                <w:rFonts w:ascii="仿宋_GB2312" w:eastAsia="仿宋_GB2312"/>
                <w:color w:val="000000"/>
                <w:sz w:val="24"/>
                <w:szCs w:val="21"/>
              </w:rPr>
            </w:pPr>
          </w:p>
        </w:tc>
        <w:tc>
          <w:tcPr>
            <w:tcW w:w="1344" w:type="dxa"/>
          </w:tcPr>
          <w:p w14:paraId="7DCFFD65">
            <w:pPr>
              <w:spacing w:line="480" w:lineRule="auto"/>
              <w:rPr>
                <w:rFonts w:ascii="仿宋_GB2312" w:eastAsia="仿宋_GB2312"/>
                <w:color w:val="000000"/>
                <w:sz w:val="24"/>
                <w:szCs w:val="21"/>
              </w:rPr>
            </w:pPr>
          </w:p>
        </w:tc>
      </w:tr>
      <w:tr w14:paraId="102523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1577" w:type="dxa"/>
            <w:vMerge w:val="continue"/>
          </w:tcPr>
          <w:p w14:paraId="71D77A6C">
            <w:pPr>
              <w:spacing w:line="480" w:lineRule="auto"/>
              <w:rPr>
                <w:rFonts w:ascii="仿宋_GB2312" w:eastAsia="仿宋_GB2312"/>
                <w:color w:val="000000"/>
                <w:sz w:val="24"/>
                <w:szCs w:val="21"/>
              </w:rPr>
            </w:pPr>
          </w:p>
        </w:tc>
        <w:tc>
          <w:tcPr>
            <w:tcW w:w="5290" w:type="dxa"/>
          </w:tcPr>
          <w:p w14:paraId="4751A854">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3、根据《四川省生产安全事故应急预案管理实施细则》【川安监(2018)43 号】对项目生产过程存在的预测危险源、危险目标可能发生事故的类别、危害程度进行辨识与分析；</w:t>
            </w:r>
          </w:p>
        </w:tc>
        <w:tc>
          <w:tcPr>
            <w:tcW w:w="1362" w:type="dxa"/>
          </w:tcPr>
          <w:p w14:paraId="747B8C76">
            <w:pPr>
              <w:spacing w:line="480" w:lineRule="auto"/>
              <w:rPr>
                <w:rFonts w:ascii="仿宋_GB2312" w:eastAsia="仿宋_GB2312"/>
                <w:color w:val="000000"/>
                <w:sz w:val="24"/>
                <w:szCs w:val="21"/>
              </w:rPr>
            </w:pPr>
          </w:p>
        </w:tc>
        <w:tc>
          <w:tcPr>
            <w:tcW w:w="1344" w:type="dxa"/>
          </w:tcPr>
          <w:p w14:paraId="121D6E9A">
            <w:pPr>
              <w:spacing w:line="480" w:lineRule="auto"/>
              <w:rPr>
                <w:rFonts w:ascii="仿宋_GB2312" w:eastAsia="仿宋_GB2312"/>
                <w:color w:val="000000"/>
                <w:sz w:val="24"/>
                <w:szCs w:val="21"/>
              </w:rPr>
            </w:pPr>
          </w:p>
        </w:tc>
      </w:tr>
      <w:tr w14:paraId="56C38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577" w:type="dxa"/>
            <w:vMerge w:val="continue"/>
          </w:tcPr>
          <w:p w14:paraId="672064B7">
            <w:pPr>
              <w:spacing w:line="480" w:lineRule="auto"/>
              <w:rPr>
                <w:rFonts w:ascii="仿宋_GB2312" w:eastAsia="仿宋_GB2312"/>
                <w:color w:val="000000"/>
                <w:sz w:val="24"/>
                <w:szCs w:val="21"/>
              </w:rPr>
            </w:pPr>
          </w:p>
        </w:tc>
        <w:tc>
          <w:tcPr>
            <w:tcW w:w="5290" w:type="dxa"/>
          </w:tcPr>
          <w:p w14:paraId="2489D300">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4、</w:t>
            </w:r>
            <w:r>
              <w:rPr>
                <w:rFonts w:asciiTheme="majorEastAsia" w:hAnsiTheme="majorEastAsia" w:eastAsiaTheme="majorEastAsia"/>
                <w:szCs w:val="21"/>
              </w:rPr>
              <w:t>职业病危害因素</w:t>
            </w:r>
            <w:r>
              <w:rPr>
                <w:rFonts w:hint="eastAsia" w:asciiTheme="majorEastAsia" w:hAnsiTheme="majorEastAsia" w:eastAsiaTheme="majorEastAsia"/>
                <w:szCs w:val="21"/>
              </w:rPr>
              <w:t>参照《职业病危害因素分类目录》(国卫疾控发(2015)92 号)进行辨识与分析；</w:t>
            </w:r>
          </w:p>
          <w:p w14:paraId="20C0C162">
            <w:pPr>
              <w:spacing w:line="300" w:lineRule="exact"/>
              <w:rPr>
                <w:rFonts w:ascii="仿宋_GB2312" w:eastAsia="仿宋_GB2312"/>
                <w:color w:val="000000"/>
                <w:sz w:val="20"/>
                <w:szCs w:val="16"/>
              </w:rPr>
            </w:pPr>
          </w:p>
        </w:tc>
        <w:tc>
          <w:tcPr>
            <w:tcW w:w="1362" w:type="dxa"/>
          </w:tcPr>
          <w:p w14:paraId="31174E5C">
            <w:pPr>
              <w:spacing w:line="480" w:lineRule="auto"/>
              <w:rPr>
                <w:rFonts w:ascii="仿宋_GB2312" w:eastAsia="仿宋_GB2312"/>
                <w:color w:val="000000"/>
                <w:sz w:val="24"/>
                <w:szCs w:val="21"/>
              </w:rPr>
            </w:pPr>
          </w:p>
        </w:tc>
        <w:tc>
          <w:tcPr>
            <w:tcW w:w="1344" w:type="dxa"/>
          </w:tcPr>
          <w:p w14:paraId="0CAE7EF7">
            <w:pPr>
              <w:spacing w:line="480" w:lineRule="auto"/>
              <w:rPr>
                <w:rFonts w:ascii="仿宋_GB2312" w:eastAsia="仿宋_GB2312"/>
                <w:color w:val="000000"/>
                <w:sz w:val="24"/>
                <w:szCs w:val="21"/>
              </w:rPr>
            </w:pPr>
          </w:p>
        </w:tc>
      </w:tr>
      <w:tr w14:paraId="2B0820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1577" w:type="dxa"/>
            <w:vMerge w:val="continue"/>
          </w:tcPr>
          <w:p w14:paraId="7BFE5350">
            <w:pPr>
              <w:spacing w:line="480" w:lineRule="auto"/>
              <w:rPr>
                <w:rFonts w:ascii="仿宋_GB2312" w:eastAsia="仿宋_GB2312"/>
                <w:color w:val="000000"/>
                <w:sz w:val="24"/>
                <w:szCs w:val="21"/>
              </w:rPr>
            </w:pPr>
          </w:p>
        </w:tc>
        <w:tc>
          <w:tcPr>
            <w:tcW w:w="5290" w:type="dxa"/>
          </w:tcPr>
          <w:p w14:paraId="6D1E2912">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5、参照《工贸行业重大生产安全事故隐患判定标准》对厂区内存在的较大危险有害因素进行辨识与分析。</w:t>
            </w:r>
          </w:p>
          <w:p w14:paraId="723C850C">
            <w:pPr>
              <w:spacing w:line="300" w:lineRule="exact"/>
              <w:rPr>
                <w:rFonts w:ascii="仿宋_GB2312" w:eastAsia="仿宋_GB2312"/>
                <w:color w:val="000000"/>
                <w:sz w:val="20"/>
                <w:szCs w:val="16"/>
              </w:rPr>
            </w:pPr>
          </w:p>
        </w:tc>
        <w:tc>
          <w:tcPr>
            <w:tcW w:w="1362" w:type="dxa"/>
          </w:tcPr>
          <w:p w14:paraId="1B57B928">
            <w:pPr>
              <w:spacing w:line="480" w:lineRule="auto"/>
              <w:rPr>
                <w:rFonts w:ascii="仿宋_GB2312" w:eastAsia="仿宋_GB2312"/>
                <w:color w:val="000000"/>
                <w:sz w:val="24"/>
                <w:szCs w:val="21"/>
              </w:rPr>
            </w:pPr>
          </w:p>
        </w:tc>
        <w:tc>
          <w:tcPr>
            <w:tcW w:w="1344" w:type="dxa"/>
          </w:tcPr>
          <w:p w14:paraId="6C337AB3">
            <w:pPr>
              <w:spacing w:line="480" w:lineRule="auto"/>
              <w:rPr>
                <w:rFonts w:ascii="仿宋_GB2312" w:eastAsia="仿宋_GB2312"/>
                <w:color w:val="000000"/>
                <w:sz w:val="24"/>
                <w:szCs w:val="21"/>
              </w:rPr>
            </w:pPr>
          </w:p>
        </w:tc>
      </w:tr>
      <w:tr w14:paraId="38126A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7" w:type="dxa"/>
            <w:vMerge w:val="restart"/>
          </w:tcPr>
          <w:p w14:paraId="7E59995D">
            <w:pPr>
              <w:spacing w:line="300" w:lineRule="exact"/>
              <w:rPr>
                <w:rFonts w:asciiTheme="majorEastAsia" w:hAnsiTheme="majorEastAsia" w:eastAsiaTheme="majorEastAsia"/>
                <w:szCs w:val="21"/>
              </w:rPr>
            </w:pPr>
          </w:p>
          <w:p w14:paraId="499F4018">
            <w:pPr>
              <w:spacing w:line="300" w:lineRule="exact"/>
              <w:rPr>
                <w:rFonts w:asciiTheme="majorEastAsia" w:hAnsiTheme="majorEastAsia" w:eastAsiaTheme="majorEastAsia"/>
                <w:szCs w:val="21"/>
              </w:rPr>
            </w:pPr>
          </w:p>
          <w:p w14:paraId="5A76977D">
            <w:pPr>
              <w:spacing w:line="300" w:lineRule="exact"/>
              <w:rPr>
                <w:rFonts w:asciiTheme="majorEastAsia" w:hAnsiTheme="majorEastAsia" w:eastAsiaTheme="majorEastAsia"/>
                <w:szCs w:val="21"/>
              </w:rPr>
            </w:pPr>
          </w:p>
          <w:p w14:paraId="70EE80F6">
            <w:pPr>
              <w:spacing w:line="300" w:lineRule="exact"/>
              <w:rPr>
                <w:rFonts w:asciiTheme="majorEastAsia" w:hAnsiTheme="majorEastAsia" w:eastAsiaTheme="majorEastAsia"/>
                <w:szCs w:val="21"/>
              </w:rPr>
            </w:pPr>
          </w:p>
          <w:p w14:paraId="0A8EC67B">
            <w:pPr>
              <w:spacing w:line="300" w:lineRule="exact"/>
              <w:rPr>
                <w:rFonts w:asciiTheme="majorEastAsia" w:hAnsiTheme="majorEastAsia" w:eastAsiaTheme="majorEastAsia"/>
                <w:szCs w:val="21"/>
              </w:rPr>
            </w:pPr>
          </w:p>
          <w:p w14:paraId="6B458E28">
            <w:pPr>
              <w:spacing w:line="300" w:lineRule="exact"/>
              <w:rPr>
                <w:rFonts w:asciiTheme="majorEastAsia" w:hAnsiTheme="majorEastAsia" w:eastAsiaTheme="majorEastAsia"/>
                <w:szCs w:val="21"/>
              </w:rPr>
            </w:pPr>
          </w:p>
          <w:p w14:paraId="29DC28DB">
            <w:pPr>
              <w:spacing w:line="300" w:lineRule="exact"/>
              <w:rPr>
                <w:rFonts w:asciiTheme="majorEastAsia" w:hAnsiTheme="majorEastAsia" w:eastAsiaTheme="majorEastAsia"/>
                <w:szCs w:val="21"/>
              </w:rPr>
            </w:pPr>
          </w:p>
          <w:p w14:paraId="1D4262B9">
            <w:pPr>
              <w:spacing w:line="300" w:lineRule="exact"/>
              <w:rPr>
                <w:rFonts w:asciiTheme="majorEastAsia" w:hAnsiTheme="majorEastAsia" w:eastAsiaTheme="majorEastAsia"/>
                <w:szCs w:val="21"/>
              </w:rPr>
            </w:pPr>
          </w:p>
          <w:p w14:paraId="7D149B73">
            <w:pPr>
              <w:spacing w:line="300" w:lineRule="exact"/>
              <w:rPr>
                <w:rFonts w:asciiTheme="majorEastAsia" w:hAnsiTheme="majorEastAsia" w:eastAsiaTheme="majorEastAsia"/>
                <w:szCs w:val="21"/>
              </w:rPr>
            </w:pPr>
          </w:p>
          <w:p w14:paraId="2E0B8BC1">
            <w:pPr>
              <w:spacing w:line="300" w:lineRule="exact"/>
              <w:rPr>
                <w:rFonts w:asciiTheme="majorEastAsia" w:hAnsiTheme="majorEastAsia" w:eastAsiaTheme="majorEastAsia"/>
                <w:szCs w:val="21"/>
              </w:rPr>
            </w:pPr>
          </w:p>
          <w:p w14:paraId="00FC4A4E">
            <w:pPr>
              <w:spacing w:line="300" w:lineRule="exact"/>
              <w:rPr>
                <w:rFonts w:asciiTheme="majorEastAsia" w:hAnsiTheme="majorEastAsia" w:eastAsiaTheme="majorEastAsia"/>
                <w:szCs w:val="21"/>
              </w:rPr>
            </w:pPr>
          </w:p>
          <w:p w14:paraId="6A0D10E4">
            <w:pPr>
              <w:spacing w:line="300" w:lineRule="exact"/>
              <w:rPr>
                <w:rFonts w:asciiTheme="majorEastAsia" w:hAnsiTheme="majorEastAsia" w:eastAsiaTheme="majorEastAsia"/>
                <w:szCs w:val="21"/>
              </w:rPr>
            </w:pPr>
          </w:p>
          <w:p w14:paraId="029752EC">
            <w:pPr>
              <w:spacing w:line="300" w:lineRule="exact"/>
              <w:rPr>
                <w:rFonts w:asciiTheme="majorEastAsia" w:hAnsiTheme="majorEastAsia" w:eastAsiaTheme="majorEastAsia"/>
                <w:szCs w:val="21"/>
              </w:rPr>
            </w:pPr>
          </w:p>
          <w:p w14:paraId="587377E6">
            <w:pPr>
              <w:spacing w:line="300" w:lineRule="exact"/>
              <w:rPr>
                <w:rFonts w:asciiTheme="majorEastAsia" w:hAnsiTheme="majorEastAsia" w:eastAsiaTheme="majorEastAsia"/>
                <w:szCs w:val="21"/>
              </w:rPr>
            </w:pPr>
          </w:p>
          <w:p w14:paraId="2081C8AE">
            <w:pPr>
              <w:spacing w:line="300" w:lineRule="exact"/>
              <w:rPr>
                <w:rFonts w:asciiTheme="majorEastAsia" w:hAnsiTheme="majorEastAsia" w:eastAsiaTheme="majorEastAsia"/>
                <w:szCs w:val="21"/>
              </w:rPr>
            </w:pPr>
          </w:p>
          <w:p w14:paraId="3A9B25DF">
            <w:pPr>
              <w:spacing w:line="300" w:lineRule="exact"/>
              <w:rPr>
                <w:rFonts w:asciiTheme="majorEastAsia" w:hAnsiTheme="majorEastAsia" w:eastAsiaTheme="majorEastAsia"/>
                <w:szCs w:val="21"/>
              </w:rPr>
            </w:pPr>
          </w:p>
          <w:p w14:paraId="15CDA11E">
            <w:pPr>
              <w:spacing w:line="300" w:lineRule="exact"/>
              <w:rPr>
                <w:rFonts w:asciiTheme="majorEastAsia" w:hAnsiTheme="majorEastAsia" w:eastAsiaTheme="majorEastAsia"/>
                <w:szCs w:val="21"/>
              </w:rPr>
            </w:pPr>
          </w:p>
          <w:p w14:paraId="081DA1FE">
            <w:pPr>
              <w:spacing w:line="300" w:lineRule="exact"/>
              <w:rPr>
                <w:rFonts w:ascii="仿宋_GB2312" w:eastAsia="仿宋_GB2312"/>
                <w:color w:val="000000"/>
                <w:sz w:val="24"/>
                <w:szCs w:val="21"/>
              </w:rPr>
            </w:pPr>
            <w:r>
              <w:rPr>
                <w:rFonts w:hint="eastAsia" w:asciiTheme="majorEastAsia" w:hAnsiTheme="majorEastAsia" w:eastAsiaTheme="majorEastAsia"/>
                <w:szCs w:val="21"/>
              </w:rPr>
              <w:t>二、服务程序</w:t>
            </w:r>
          </w:p>
        </w:tc>
        <w:tc>
          <w:tcPr>
            <w:tcW w:w="5290" w:type="dxa"/>
          </w:tcPr>
          <w:p w14:paraId="754703A8">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1</w:t>
            </w:r>
            <w:r>
              <w:rPr>
                <w:rFonts w:hint="eastAsia" w:asciiTheme="majorEastAsia" w:hAnsiTheme="majorEastAsia" w:eastAsiaTheme="majorEastAsia"/>
                <w:szCs w:val="21"/>
              </w:rPr>
              <w:t>、现场调研，收集企业岗位生产设备和作业活动清单，整理并归类；</w:t>
            </w:r>
          </w:p>
        </w:tc>
        <w:tc>
          <w:tcPr>
            <w:tcW w:w="1362" w:type="dxa"/>
          </w:tcPr>
          <w:p w14:paraId="068FA64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4DD45178">
            <w:pPr>
              <w:spacing w:line="480" w:lineRule="auto"/>
              <w:rPr>
                <w:rFonts w:ascii="仿宋_GB2312" w:eastAsia="仿宋_GB2312"/>
                <w:color w:val="000000"/>
                <w:sz w:val="24"/>
                <w:szCs w:val="21"/>
              </w:rPr>
            </w:pPr>
          </w:p>
        </w:tc>
      </w:tr>
      <w:tr w14:paraId="287894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577" w:type="dxa"/>
            <w:vMerge w:val="continue"/>
          </w:tcPr>
          <w:p w14:paraId="022B4DE7">
            <w:pPr>
              <w:spacing w:line="300" w:lineRule="exact"/>
              <w:rPr>
                <w:rFonts w:ascii="仿宋_GB2312" w:eastAsia="仿宋_GB2312"/>
                <w:color w:val="000000"/>
                <w:sz w:val="24"/>
                <w:szCs w:val="21"/>
              </w:rPr>
            </w:pPr>
          </w:p>
        </w:tc>
        <w:tc>
          <w:tcPr>
            <w:tcW w:w="5290" w:type="dxa"/>
          </w:tcPr>
          <w:p w14:paraId="2C4C406A">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2</w:t>
            </w:r>
            <w:r>
              <w:rPr>
                <w:rFonts w:hint="eastAsia" w:asciiTheme="majorEastAsia" w:hAnsiTheme="majorEastAsia" w:eastAsiaTheme="majorEastAsia"/>
                <w:szCs w:val="21"/>
              </w:rPr>
              <w:t>、针对清单目录进行核实，召开安全风险辨识工作会议，讨论和确认安全风险清单；</w:t>
            </w:r>
          </w:p>
        </w:tc>
        <w:tc>
          <w:tcPr>
            <w:tcW w:w="1362" w:type="dxa"/>
          </w:tcPr>
          <w:p w14:paraId="7521237C">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30F1AD25">
            <w:pPr>
              <w:spacing w:line="480" w:lineRule="auto"/>
              <w:rPr>
                <w:rFonts w:ascii="仿宋_GB2312" w:eastAsia="仿宋_GB2312"/>
                <w:color w:val="000000"/>
                <w:sz w:val="24"/>
                <w:szCs w:val="21"/>
              </w:rPr>
            </w:pPr>
          </w:p>
        </w:tc>
      </w:tr>
      <w:tr w14:paraId="61AAD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4FB6B4BA">
            <w:pPr>
              <w:spacing w:line="300" w:lineRule="exact"/>
              <w:rPr>
                <w:rFonts w:ascii="仿宋_GB2312" w:eastAsia="仿宋_GB2312"/>
                <w:color w:val="000000"/>
                <w:sz w:val="24"/>
                <w:szCs w:val="21"/>
              </w:rPr>
            </w:pPr>
          </w:p>
        </w:tc>
        <w:tc>
          <w:tcPr>
            <w:tcW w:w="5290" w:type="dxa"/>
          </w:tcPr>
          <w:p w14:paraId="0AC5C355">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3</w:t>
            </w:r>
            <w:r>
              <w:rPr>
                <w:rFonts w:hint="eastAsia" w:asciiTheme="majorEastAsia" w:hAnsiTheme="majorEastAsia" w:eastAsiaTheme="majorEastAsia"/>
                <w:szCs w:val="21"/>
              </w:rPr>
              <w:t>、依据国家相关法律法规和标准，根据企业实际情况，开展风险辨识活动，编制风险因素分析表；</w:t>
            </w:r>
          </w:p>
        </w:tc>
        <w:tc>
          <w:tcPr>
            <w:tcW w:w="1362" w:type="dxa"/>
          </w:tcPr>
          <w:p w14:paraId="3E1B1D0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340D2C10">
            <w:pPr>
              <w:spacing w:line="480" w:lineRule="auto"/>
              <w:rPr>
                <w:rFonts w:ascii="仿宋_GB2312" w:eastAsia="仿宋_GB2312"/>
                <w:color w:val="000000"/>
                <w:sz w:val="24"/>
                <w:szCs w:val="21"/>
              </w:rPr>
            </w:pPr>
          </w:p>
        </w:tc>
      </w:tr>
      <w:tr w14:paraId="18F59D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0D54356C">
            <w:pPr>
              <w:spacing w:line="300" w:lineRule="exact"/>
              <w:rPr>
                <w:rFonts w:ascii="仿宋_GB2312" w:eastAsia="仿宋_GB2312"/>
                <w:color w:val="000000"/>
                <w:sz w:val="24"/>
                <w:szCs w:val="21"/>
              </w:rPr>
            </w:pPr>
          </w:p>
        </w:tc>
        <w:tc>
          <w:tcPr>
            <w:tcW w:w="5290" w:type="dxa"/>
          </w:tcPr>
          <w:p w14:paraId="3ED98190">
            <w:pPr>
              <w:numPr>
                <w:ilvl w:val="0"/>
                <w:numId w:val="0"/>
              </w:numPr>
              <w:spacing w:line="540" w:lineRule="exact"/>
              <w:rPr>
                <w:rFonts w:hint="eastAsia" w:asciiTheme="majorEastAsia" w:hAnsiTheme="majorEastAsia" w:eastAsiaTheme="majorEastAsia"/>
                <w:szCs w:val="21"/>
              </w:rPr>
            </w:pPr>
            <w:r>
              <w:rPr>
                <w:rFonts w:hint="eastAsia" w:asciiTheme="majorEastAsia" w:hAnsiTheme="majorEastAsia" w:eastAsiaTheme="majorEastAsia"/>
                <w:szCs w:val="21"/>
                <w:lang w:val="en-US" w:eastAsia="zh-CN"/>
              </w:rPr>
              <w:t>4、</w:t>
            </w:r>
            <w:r>
              <w:rPr>
                <w:rFonts w:hint="eastAsia" w:asciiTheme="majorEastAsia" w:hAnsiTheme="majorEastAsia" w:eastAsiaTheme="majorEastAsia"/>
                <w:szCs w:val="21"/>
              </w:rPr>
              <w:t>对存在的安全风险因素进行风险分级与评估工作，确定风险等级，编制风险分级评估表；</w:t>
            </w:r>
          </w:p>
          <w:p w14:paraId="316B4CB4">
            <w:pPr>
              <w:numPr>
                <w:ilvl w:val="0"/>
                <w:numId w:val="0"/>
              </w:numPr>
              <w:spacing w:line="540" w:lineRule="exact"/>
              <w:rPr>
                <w:rFonts w:hint="eastAsia" w:asciiTheme="majorEastAsia" w:hAnsiTheme="majorEastAsia" w:eastAsiaTheme="majorEastAsia"/>
                <w:szCs w:val="21"/>
              </w:rPr>
            </w:pPr>
          </w:p>
          <w:p w14:paraId="6C9741DF">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5</w:t>
            </w:r>
            <w:r>
              <w:rPr>
                <w:rFonts w:hint="eastAsia" w:asciiTheme="majorEastAsia" w:hAnsiTheme="majorEastAsia" w:eastAsiaTheme="majorEastAsia"/>
                <w:szCs w:val="21"/>
              </w:rPr>
              <w:t>、针对风险分级评估结果，确定风险分级管控措施和安全监管层级；</w:t>
            </w:r>
          </w:p>
        </w:tc>
        <w:tc>
          <w:tcPr>
            <w:tcW w:w="1362" w:type="dxa"/>
          </w:tcPr>
          <w:p w14:paraId="3AABFFB9">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77EEA6B9">
            <w:pPr>
              <w:spacing w:line="480" w:lineRule="auto"/>
              <w:rPr>
                <w:rFonts w:ascii="仿宋_GB2312" w:eastAsia="仿宋_GB2312"/>
                <w:color w:val="000000"/>
                <w:sz w:val="24"/>
                <w:szCs w:val="21"/>
              </w:rPr>
            </w:pPr>
          </w:p>
        </w:tc>
      </w:tr>
      <w:tr w14:paraId="0A883A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067086A1">
            <w:pPr>
              <w:spacing w:line="300" w:lineRule="exact"/>
              <w:rPr>
                <w:rFonts w:ascii="仿宋_GB2312" w:eastAsia="仿宋_GB2312"/>
                <w:color w:val="000000"/>
                <w:sz w:val="24"/>
                <w:szCs w:val="21"/>
              </w:rPr>
            </w:pPr>
          </w:p>
        </w:tc>
        <w:tc>
          <w:tcPr>
            <w:tcW w:w="5290" w:type="dxa"/>
          </w:tcPr>
          <w:p w14:paraId="7A84EE2C">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6</w:t>
            </w:r>
            <w:r>
              <w:rPr>
                <w:rFonts w:hint="eastAsia" w:asciiTheme="majorEastAsia" w:hAnsiTheme="majorEastAsia" w:eastAsiaTheme="majorEastAsia"/>
                <w:szCs w:val="21"/>
              </w:rPr>
              <w:t>、根据企业安全风险评估结果，修改安全风险及隐患排查治理管理制度；</w:t>
            </w:r>
          </w:p>
        </w:tc>
        <w:tc>
          <w:tcPr>
            <w:tcW w:w="1362" w:type="dxa"/>
          </w:tcPr>
          <w:p w14:paraId="344B7772">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4667C93B">
            <w:pPr>
              <w:spacing w:line="480" w:lineRule="auto"/>
              <w:rPr>
                <w:rFonts w:ascii="仿宋_GB2312" w:eastAsia="仿宋_GB2312"/>
                <w:color w:val="000000"/>
                <w:sz w:val="24"/>
                <w:szCs w:val="21"/>
              </w:rPr>
            </w:pPr>
          </w:p>
        </w:tc>
      </w:tr>
      <w:tr w14:paraId="050BE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3409BA49">
            <w:pPr>
              <w:spacing w:line="300" w:lineRule="exact"/>
              <w:rPr>
                <w:rFonts w:ascii="仿宋_GB2312" w:eastAsia="仿宋_GB2312"/>
                <w:color w:val="000000"/>
                <w:sz w:val="24"/>
                <w:szCs w:val="21"/>
              </w:rPr>
            </w:pPr>
          </w:p>
        </w:tc>
        <w:tc>
          <w:tcPr>
            <w:tcW w:w="5290" w:type="dxa"/>
          </w:tcPr>
          <w:p w14:paraId="72EC666F">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7</w:t>
            </w:r>
            <w:r>
              <w:rPr>
                <w:rFonts w:hint="eastAsia" w:asciiTheme="majorEastAsia" w:hAnsiTheme="majorEastAsia" w:eastAsiaTheme="majorEastAsia"/>
                <w:szCs w:val="21"/>
              </w:rPr>
              <w:t>、建立综合类隐患排查清单，编制岗位安全风险现场告知卡和企业安全风险“四色”电子图；</w:t>
            </w:r>
          </w:p>
        </w:tc>
        <w:tc>
          <w:tcPr>
            <w:tcW w:w="1362" w:type="dxa"/>
          </w:tcPr>
          <w:p w14:paraId="00BE188A">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5CE4CB09">
            <w:pPr>
              <w:spacing w:line="480" w:lineRule="auto"/>
              <w:rPr>
                <w:rFonts w:ascii="仿宋_GB2312" w:eastAsia="仿宋_GB2312"/>
                <w:color w:val="000000"/>
                <w:sz w:val="24"/>
                <w:szCs w:val="21"/>
              </w:rPr>
            </w:pPr>
          </w:p>
        </w:tc>
      </w:tr>
      <w:tr w14:paraId="3D04A4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58131BDC">
            <w:pPr>
              <w:spacing w:line="300" w:lineRule="exact"/>
              <w:rPr>
                <w:rFonts w:ascii="仿宋_GB2312" w:eastAsia="仿宋_GB2312"/>
                <w:color w:val="000000"/>
                <w:sz w:val="24"/>
                <w:szCs w:val="21"/>
              </w:rPr>
            </w:pPr>
          </w:p>
        </w:tc>
        <w:tc>
          <w:tcPr>
            <w:tcW w:w="5290" w:type="dxa"/>
          </w:tcPr>
          <w:p w14:paraId="1F77A5F5">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8</w:t>
            </w:r>
            <w:r>
              <w:rPr>
                <w:rFonts w:hint="eastAsia" w:asciiTheme="majorEastAsia" w:hAnsiTheme="majorEastAsia" w:eastAsiaTheme="majorEastAsia"/>
                <w:szCs w:val="21"/>
              </w:rPr>
              <w:t>、建立安全风险辨识与分级管控资料档案并召开双重预防机制工作总结会，交接相关技术资料。</w:t>
            </w:r>
          </w:p>
        </w:tc>
        <w:tc>
          <w:tcPr>
            <w:tcW w:w="1362" w:type="dxa"/>
          </w:tcPr>
          <w:p w14:paraId="2209185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019B0099">
            <w:pPr>
              <w:spacing w:line="480" w:lineRule="auto"/>
              <w:rPr>
                <w:rFonts w:ascii="仿宋_GB2312" w:eastAsia="仿宋_GB2312"/>
                <w:color w:val="000000"/>
                <w:sz w:val="24"/>
                <w:szCs w:val="21"/>
              </w:rPr>
            </w:pPr>
          </w:p>
        </w:tc>
      </w:tr>
      <w:tr w14:paraId="5D5A59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1577" w:type="dxa"/>
            <w:vMerge w:val="restart"/>
          </w:tcPr>
          <w:p w14:paraId="367934D0">
            <w:pPr>
              <w:spacing w:line="300" w:lineRule="exact"/>
              <w:rPr>
                <w:rFonts w:ascii="仿宋_GB2312" w:eastAsia="仿宋_GB2312"/>
                <w:color w:val="000000"/>
                <w:sz w:val="24"/>
                <w:szCs w:val="21"/>
              </w:rPr>
            </w:pPr>
          </w:p>
          <w:p w14:paraId="71CE6E46">
            <w:pPr>
              <w:spacing w:line="300" w:lineRule="exact"/>
              <w:rPr>
                <w:rFonts w:ascii="仿宋_GB2312" w:eastAsia="仿宋_GB2312"/>
                <w:color w:val="000000"/>
                <w:sz w:val="24"/>
                <w:szCs w:val="21"/>
              </w:rPr>
            </w:pPr>
          </w:p>
          <w:p w14:paraId="4DE20D70">
            <w:pPr>
              <w:spacing w:line="300" w:lineRule="exact"/>
              <w:rPr>
                <w:rFonts w:ascii="仿宋_GB2312" w:eastAsia="仿宋_GB2312"/>
                <w:color w:val="000000"/>
                <w:sz w:val="24"/>
                <w:szCs w:val="21"/>
              </w:rPr>
            </w:pPr>
            <w:r>
              <w:rPr>
                <w:rFonts w:hint="eastAsia" w:ascii="仿宋_GB2312" w:eastAsia="仿宋_GB2312"/>
                <w:color w:val="000000"/>
                <w:sz w:val="24"/>
                <w:szCs w:val="21"/>
              </w:rPr>
              <w:t>三、服务要求</w:t>
            </w:r>
          </w:p>
        </w:tc>
        <w:tc>
          <w:tcPr>
            <w:tcW w:w="5290" w:type="dxa"/>
          </w:tcPr>
          <w:p w14:paraId="61B6C352">
            <w:pPr>
              <w:spacing w:line="300" w:lineRule="exact"/>
              <w:rPr>
                <w:rFonts w:ascii="仿宋_GB2312" w:eastAsia="仿宋_GB2312"/>
                <w:color w:val="000000"/>
                <w:sz w:val="24"/>
                <w:szCs w:val="21"/>
              </w:rPr>
            </w:pPr>
            <w:r>
              <w:rPr>
                <w:rFonts w:hint="eastAsia" w:ascii="仿宋_GB2312" w:eastAsia="仿宋_GB2312"/>
                <w:color w:val="000000"/>
                <w:sz w:val="24"/>
                <w:szCs w:val="21"/>
              </w:rPr>
              <w:t>★（一）“安全风险分级管控和隐患排查治理双重预防工作机制”报告需要通过专家组（省级一人，市级两人）评审；</w:t>
            </w:r>
          </w:p>
        </w:tc>
        <w:tc>
          <w:tcPr>
            <w:tcW w:w="1362" w:type="dxa"/>
          </w:tcPr>
          <w:p w14:paraId="74358B8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0318AB49">
            <w:pPr>
              <w:spacing w:line="480" w:lineRule="auto"/>
              <w:rPr>
                <w:rFonts w:ascii="仿宋_GB2312" w:eastAsia="仿宋_GB2312"/>
                <w:color w:val="000000"/>
                <w:sz w:val="24"/>
                <w:szCs w:val="21"/>
              </w:rPr>
            </w:pPr>
          </w:p>
        </w:tc>
      </w:tr>
      <w:tr w14:paraId="28EB1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77" w:type="dxa"/>
            <w:vMerge w:val="continue"/>
          </w:tcPr>
          <w:p w14:paraId="371C798D">
            <w:pPr>
              <w:spacing w:line="300" w:lineRule="exact"/>
              <w:rPr>
                <w:rFonts w:ascii="仿宋_GB2312" w:eastAsia="仿宋_GB2312"/>
                <w:color w:val="000000"/>
                <w:sz w:val="24"/>
                <w:szCs w:val="21"/>
              </w:rPr>
            </w:pPr>
          </w:p>
        </w:tc>
        <w:tc>
          <w:tcPr>
            <w:tcW w:w="5290" w:type="dxa"/>
          </w:tcPr>
          <w:p w14:paraId="4143E538">
            <w:pPr>
              <w:spacing w:line="300" w:lineRule="exact"/>
              <w:rPr>
                <w:rFonts w:ascii="仿宋_GB2312" w:eastAsia="仿宋_GB2312"/>
                <w:color w:val="000000"/>
                <w:sz w:val="24"/>
                <w:szCs w:val="21"/>
              </w:rPr>
            </w:pPr>
            <w:r>
              <w:rPr>
                <w:rFonts w:hint="eastAsia" w:ascii="仿宋_GB2312" w:eastAsia="仿宋_GB2312"/>
                <w:color w:val="000000"/>
                <w:sz w:val="24"/>
                <w:szCs w:val="21"/>
              </w:rPr>
              <w:t>★（二）</w:t>
            </w:r>
            <w:r>
              <w:rPr>
                <w:rFonts w:hint="eastAsia" w:ascii="仿宋_GB2312" w:eastAsia="仿宋_GB2312"/>
                <w:color w:val="000000"/>
                <w:sz w:val="24"/>
                <w:szCs w:val="21"/>
                <w:lang w:val="en-US" w:eastAsia="zh-CN"/>
              </w:rPr>
              <w:t>合同签订日起，15天内</w:t>
            </w:r>
            <w:r>
              <w:rPr>
                <w:rFonts w:hint="eastAsia" w:ascii="仿宋_GB2312" w:eastAsia="仿宋_GB2312"/>
                <w:color w:val="000000"/>
                <w:sz w:val="24"/>
                <w:szCs w:val="21"/>
              </w:rPr>
              <w:t>完成“安全风险分级管控和隐患排查治理双重预防工作机制”报告交接。</w:t>
            </w:r>
          </w:p>
        </w:tc>
        <w:tc>
          <w:tcPr>
            <w:tcW w:w="1362" w:type="dxa"/>
          </w:tcPr>
          <w:p w14:paraId="2B226DB9">
            <w:pPr>
              <w:spacing w:line="480" w:lineRule="auto"/>
              <w:rPr>
                <w:rFonts w:ascii="仿宋_GB2312" w:eastAsia="仿宋_GB2312"/>
                <w:color w:val="000000"/>
                <w:sz w:val="24"/>
                <w:szCs w:val="21"/>
              </w:rPr>
            </w:pPr>
          </w:p>
        </w:tc>
        <w:tc>
          <w:tcPr>
            <w:tcW w:w="1344" w:type="dxa"/>
            <w:tcBorders>
              <w:top w:val="single" w:color="auto" w:sz="4" w:space="0"/>
            </w:tcBorders>
          </w:tcPr>
          <w:p w14:paraId="341CAA20">
            <w:pPr>
              <w:spacing w:line="480" w:lineRule="auto"/>
              <w:rPr>
                <w:rFonts w:ascii="仿宋_GB2312" w:eastAsia="仿宋_GB2312"/>
                <w:color w:val="000000"/>
                <w:sz w:val="24"/>
                <w:szCs w:val="21"/>
              </w:rPr>
            </w:pPr>
          </w:p>
        </w:tc>
      </w:tr>
    </w:tbl>
    <w:p w14:paraId="716ED24C">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45DDF51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2CF8C144">
      <w:pPr>
        <w:spacing w:line="360" w:lineRule="auto"/>
        <w:rPr>
          <w:rFonts w:ascii="仿宋_GB2312" w:eastAsia="仿宋_GB2312"/>
          <w:color w:val="000000"/>
          <w:sz w:val="24"/>
          <w:szCs w:val="21"/>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06C5B743">
      <w:pPr>
        <w:spacing w:line="360" w:lineRule="auto"/>
        <w:rPr>
          <w:rFonts w:ascii="仿宋_GB2312" w:eastAsia="仿宋_GB2312"/>
          <w:color w:val="000000"/>
          <w:sz w:val="24"/>
          <w:szCs w:val="21"/>
          <w:u w:val="single"/>
        </w:rPr>
      </w:pPr>
    </w:p>
    <w:p w14:paraId="57A975BA">
      <w:pPr>
        <w:spacing w:line="360" w:lineRule="auto"/>
        <w:rPr>
          <w:rFonts w:ascii="仿宋_GB2312" w:eastAsia="仿宋_GB2312"/>
          <w:color w:val="000000"/>
          <w:sz w:val="24"/>
          <w:szCs w:val="21"/>
          <w:u w:val="single"/>
        </w:rPr>
      </w:pPr>
    </w:p>
    <w:p w14:paraId="409A1812">
      <w:pPr>
        <w:spacing w:line="360" w:lineRule="auto"/>
        <w:rPr>
          <w:rFonts w:ascii="仿宋_GB2312" w:eastAsia="仿宋_GB2312"/>
          <w:color w:val="000000"/>
          <w:sz w:val="24"/>
          <w:szCs w:val="21"/>
          <w:u w:val="single"/>
        </w:rPr>
      </w:pPr>
    </w:p>
    <w:p w14:paraId="70E4B43E">
      <w:pPr>
        <w:jc w:val="left"/>
        <w:rPr>
          <w:rFonts w:asciiTheme="majorEastAsia" w:hAnsiTheme="majorEastAsia" w:eastAsiaTheme="majorEastAsia"/>
          <w:sz w:val="24"/>
        </w:rPr>
      </w:pPr>
      <w:r>
        <w:rPr>
          <w:rFonts w:hint="eastAsia" w:asciiTheme="majorEastAsia" w:hAnsiTheme="majorEastAsia" w:eastAsiaTheme="majorEastAsia"/>
          <w:sz w:val="24"/>
        </w:rPr>
        <w:t>文件七</w:t>
      </w:r>
    </w:p>
    <w:p w14:paraId="5BCD6D05">
      <w:pPr>
        <w:jc w:val="center"/>
        <w:rPr>
          <w:rFonts w:ascii="仿宋_GB2312" w:eastAsia="仿宋_GB2312"/>
          <w:sz w:val="30"/>
          <w:szCs w:val="30"/>
        </w:rPr>
      </w:pPr>
      <w:r>
        <w:rPr>
          <w:rFonts w:hint="eastAsia" w:ascii="仿宋_GB2312" w:eastAsia="仿宋_GB2312"/>
          <w:sz w:val="30"/>
          <w:szCs w:val="30"/>
        </w:rPr>
        <w:t>供应商相同项目业绩一览表</w:t>
      </w:r>
    </w:p>
    <w:tbl>
      <w:tblPr>
        <w:tblStyle w:val="17"/>
        <w:tblW w:w="798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18"/>
        <w:gridCol w:w="1560"/>
        <w:gridCol w:w="1539"/>
        <w:gridCol w:w="1863"/>
        <w:gridCol w:w="1701"/>
      </w:tblGrid>
      <w:tr w14:paraId="78E651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tcBorders>
              <w:top w:val="single" w:color="auto" w:sz="4" w:space="0"/>
            </w:tcBorders>
            <w:vAlign w:val="center"/>
          </w:tcPr>
          <w:p w14:paraId="142CE11F">
            <w:pPr>
              <w:jc w:val="center"/>
              <w:rPr>
                <w:rFonts w:ascii="仿宋" w:hAnsi="仿宋" w:eastAsia="仿宋"/>
                <w:sz w:val="28"/>
                <w:szCs w:val="28"/>
              </w:rPr>
            </w:pPr>
            <w:r>
              <w:rPr>
                <w:rFonts w:hint="eastAsia" w:ascii="仿宋" w:hAnsi="仿宋" w:eastAsia="仿宋"/>
                <w:sz w:val="28"/>
                <w:szCs w:val="28"/>
              </w:rPr>
              <w:t>年份</w:t>
            </w:r>
          </w:p>
        </w:tc>
        <w:tc>
          <w:tcPr>
            <w:tcW w:w="1560" w:type="dxa"/>
            <w:vAlign w:val="center"/>
          </w:tcPr>
          <w:p w14:paraId="5101CBB4">
            <w:pPr>
              <w:jc w:val="center"/>
              <w:rPr>
                <w:rFonts w:ascii="仿宋" w:hAnsi="仿宋" w:eastAsia="仿宋"/>
                <w:sz w:val="28"/>
                <w:szCs w:val="28"/>
              </w:rPr>
            </w:pPr>
            <w:r>
              <w:rPr>
                <w:rFonts w:hint="eastAsia" w:ascii="仿宋" w:hAnsi="仿宋" w:eastAsia="仿宋"/>
                <w:sz w:val="28"/>
                <w:szCs w:val="28"/>
              </w:rPr>
              <w:t>客户名称</w:t>
            </w:r>
          </w:p>
        </w:tc>
        <w:tc>
          <w:tcPr>
            <w:tcW w:w="1539" w:type="dxa"/>
            <w:vAlign w:val="center"/>
          </w:tcPr>
          <w:p w14:paraId="179F465F">
            <w:pPr>
              <w:jc w:val="center"/>
              <w:rPr>
                <w:rFonts w:ascii="仿宋" w:hAnsi="仿宋" w:eastAsia="仿宋"/>
                <w:sz w:val="28"/>
                <w:szCs w:val="28"/>
              </w:rPr>
            </w:pPr>
            <w:r>
              <w:rPr>
                <w:rFonts w:ascii="仿宋" w:hAnsi="仿宋" w:eastAsia="仿宋"/>
                <w:sz w:val="28"/>
                <w:szCs w:val="28"/>
              </w:rPr>
              <w:t>项目名称</w:t>
            </w:r>
          </w:p>
        </w:tc>
        <w:tc>
          <w:tcPr>
            <w:tcW w:w="1863" w:type="dxa"/>
            <w:vAlign w:val="center"/>
          </w:tcPr>
          <w:p w14:paraId="3C0FCD01">
            <w:pPr>
              <w:jc w:val="center"/>
              <w:rPr>
                <w:rFonts w:ascii="仿宋" w:hAnsi="仿宋" w:eastAsia="仿宋"/>
                <w:sz w:val="28"/>
                <w:szCs w:val="28"/>
              </w:rPr>
            </w:pPr>
            <w:r>
              <w:rPr>
                <w:rFonts w:hint="eastAsia" w:ascii="仿宋" w:hAnsi="仿宋" w:eastAsia="仿宋"/>
                <w:sz w:val="28"/>
                <w:szCs w:val="28"/>
              </w:rPr>
              <w:t>签订时间</w:t>
            </w:r>
          </w:p>
        </w:tc>
        <w:tc>
          <w:tcPr>
            <w:tcW w:w="1701" w:type="dxa"/>
            <w:tcBorders>
              <w:left w:val="single" w:color="auto" w:sz="4" w:space="0"/>
            </w:tcBorders>
            <w:vAlign w:val="center"/>
          </w:tcPr>
          <w:p w14:paraId="5E6269F7">
            <w:pPr>
              <w:jc w:val="center"/>
              <w:rPr>
                <w:rFonts w:ascii="仿宋" w:hAnsi="仿宋" w:eastAsia="仿宋"/>
                <w:sz w:val="28"/>
                <w:szCs w:val="28"/>
              </w:rPr>
            </w:pPr>
            <w:r>
              <w:rPr>
                <w:rFonts w:hint="eastAsia" w:ascii="仿宋" w:hAnsi="仿宋" w:eastAsia="仿宋"/>
                <w:sz w:val="28"/>
                <w:szCs w:val="28"/>
              </w:rPr>
              <w:t>备注</w:t>
            </w:r>
          </w:p>
        </w:tc>
      </w:tr>
      <w:tr w14:paraId="121646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5CAD6689">
            <w:pPr>
              <w:spacing w:line="400" w:lineRule="exact"/>
              <w:jc w:val="center"/>
              <w:rPr>
                <w:rFonts w:ascii="仿宋" w:hAnsi="仿宋" w:eastAsia="仿宋" w:cs="Arial"/>
                <w:sz w:val="28"/>
                <w:szCs w:val="28"/>
              </w:rPr>
            </w:pPr>
          </w:p>
        </w:tc>
        <w:tc>
          <w:tcPr>
            <w:tcW w:w="1560" w:type="dxa"/>
            <w:vAlign w:val="center"/>
          </w:tcPr>
          <w:p w14:paraId="6A615BD2">
            <w:pPr>
              <w:spacing w:line="400" w:lineRule="exact"/>
              <w:jc w:val="center"/>
              <w:rPr>
                <w:rFonts w:ascii="仿宋" w:hAnsi="仿宋" w:eastAsia="仿宋" w:cs="Arial"/>
                <w:sz w:val="28"/>
                <w:szCs w:val="28"/>
              </w:rPr>
            </w:pPr>
          </w:p>
        </w:tc>
        <w:tc>
          <w:tcPr>
            <w:tcW w:w="1539" w:type="dxa"/>
            <w:vAlign w:val="center"/>
          </w:tcPr>
          <w:p w14:paraId="39610F6D">
            <w:pPr>
              <w:spacing w:line="400" w:lineRule="exact"/>
              <w:jc w:val="center"/>
              <w:rPr>
                <w:rFonts w:ascii="仿宋" w:hAnsi="仿宋" w:eastAsia="仿宋" w:cs="Arial"/>
                <w:sz w:val="28"/>
                <w:szCs w:val="28"/>
              </w:rPr>
            </w:pPr>
          </w:p>
        </w:tc>
        <w:tc>
          <w:tcPr>
            <w:tcW w:w="1863" w:type="dxa"/>
            <w:vAlign w:val="center"/>
          </w:tcPr>
          <w:p w14:paraId="52023605">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4016C15">
            <w:pPr>
              <w:spacing w:line="400" w:lineRule="exact"/>
              <w:jc w:val="center"/>
              <w:rPr>
                <w:rFonts w:ascii="仿宋" w:hAnsi="仿宋" w:eastAsia="仿宋" w:cs="Arial"/>
                <w:sz w:val="28"/>
                <w:szCs w:val="28"/>
              </w:rPr>
            </w:pPr>
          </w:p>
        </w:tc>
      </w:tr>
      <w:tr w14:paraId="0D9892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7B93FAAC">
            <w:pPr>
              <w:spacing w:line="400" w:lineRule="exact"/>
              <w:jc w:val="center"/>
              <w:rPr>
                <w:rFonts w:ascii="仿宋" w:hAnsi="仿宋" w:eastAsia="仿宋" w:cs="Arial"/>
                <w:sz w:val="28"/>
                <w:szCs w:val="28"/>
              </w:rPr>
            </w:pPr>
          </w:p>
        </w:tc>
        <w:tc>
          <w:tcPr>
            <w:tcW w:w="1560" w:type="dxa"/>
            <w:vAlign w:val="center"/>
          </w:tcPr>
          <w:p w14:paraId="1D15D035">
            <w:pPr>
              <w:spacing w:line="400" w:lineRule="exact"/>
              <w:jc w:val="center"/>
              <w:rPr>
                <w:rFonts w:ascii="仿宋" w:hAnsi="仿宋" w:eastAsia="仿宋" w:cs="Arial"/>
                <w:sz w:val="28"/>
                <w:szCs w:val="28"/>
              </w:rPr>
            </w:pPr>
          </w:p>
        </w:tc>
        <w:tc>
          <w:tcPr>
            <w:tcW w:w="1539" w:type="dxa"/>
            <w:vAlign w:val="center"/>
          </w:tcPr>
          <w:p w14:paraId="29AA4477">
            <w:pPr>
              <w:spacing w:line="400" w:lineRule="exact"/>
              <w:jc w:val="center"/>
              <w:rPr>
                <w:rFonts w:ascii="仿宋" w:hAnsi="仿宋" w:eastAsia="仿宋" w:cs="Arial"/>
                <w:sz w:val="28"/>
                <w:szCs w:val="28"/>
              </w:rPr>
            </w:pPr>
          </w:p>
        </w:tc>
        <w:tc>
          <w:tcPr>
            <w:tcW w:w="1863" w:type="dxa"/>
            <w:vAlign w:val="center"/>
          </w:tcPr>
          <w:p w14:paraId="18744B3B">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764A2D6D">
            <w:pPr>
              <w:spacing w:line="400" w:lineRule="exact"/>
              <w:jc w:val="center"/>
              <w:rPr>
                <w:rFonts w:ascii="仿宋" w:hAnsi="仿宋" w:eastAsia="仿宋" w:cs="Arial"/>
                <w:sz w:val="28"/>
                <w:szCs w:val="28"/>
              </w:rPr>
            </w:pPr>
          </w:p>
        </w:tc>
      </w:tr>
      <w:tr w14:paraId="075D46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07C411DD">
            <w:pPr>
              <w:spacing w:line="400" w:lineRule="exact"/>
              <w:jc w:val="center"/>
              <w:rPr>
                <w:rFonts w:ascii="仿宋" w:hAnsi="仿宋" w:eastAsia="仿宋" w:cs="Arial"/>
                <w:sz w:val="28"/>
                <w:szCs w:val="28"/>
              </w:rPr>
            </w:pPr>
          </w:p>
        </w:tc>
        <w:tc>
          <w:tcPr>
            <w:tcW w:w="1560" w:type="dxa"/>
            <w:vAlign w:val="center"/>
          </w:tcPr>
          <w:p w14:paraId="6EE29058">
            <w:pPr>
              <w:spacing w:line="400" w:lineRule="exact"/>
              <w:jc w:val="center"/>
              <w:rPr>
                <w:rFonts w:ascii="仿宋" w:hAnsi="仿宋" w:eastAsia="仿宋" w:cs="Arial"/>
                <w:sz w:val="28"/>
                <w:szCs w:val="28"/>
              </w:rPr>
            </w:pPr>
          </w:p>
        </w:tc>
        <w:tc>
          <w:tcPr>
            <w:tcW w:w="1539" w:type="dxa"/>
            <w:vAlign w:val="center"/>
          </w:tcPr>
          <w:p w14:paraId="06C73F55">
            <w:pPr>
              <w:spacing w:line="400" w:lineRule="exact"/>
              <w:jc w:val="center"/>
              <w:rPr>
                <w:rFonts w:ascii="仿宋" w:hAnsi="仿宋" w:eastAsia="仿宋" w:cs="Arial"/>
                <w:sz w:val="28"/>
                <w:szCs w:val="28"/>
              </w:rPr>
            </w:pPr>
          </w:p>
        </w:tc>
        <w:tc>
          <w:tcPr>
            <w:tcW w:w="1863" w:type="dxa"/>
            <w:vAlign w:val="center"/>
          </w:tcPr>
          <w:p w14:paraId="1591251C">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137603F">
            <w:pPr>
              <w:spacing w:line="400" w:lineRule="exact"/>
              <w:jc w:val="center"/>
              <w:rPr>
                <w:rFonts w:ascii="仿宋" w:hAnsi="仿宋" w:eastAsia="仿宋" w:cs="Arial"/>
                <w:sz w:val="28"/>
                <w:szCs w:val="28"/>
              </w:rPr>
            </w:pPr>
          </w:p>
        </w:tc>
      </w:tr>
      <w:tr w14:paraId="22DD45B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38B3308B">
            <w:pPr>
              <w:spacing w:line="400" w:lineRule="exact"/>
              <w:jc w:val="center"/>
              <w:rPr>
                <w:rFonts w:ascii="仿宋" w:hAnsi="仿宋" w:eastAsia="仿宋" w:cs="Arial"/>
                <w:sz w:val="28"/>
                <w:szCs w:val="28"/>
              </w:rPr>
            </w:pPr>
          </w:p>
        </w:tc>
        <w:tc>
          <w:tcPr>
            <w:tcW w:w="1560" w:type="dxa"/>
            <w:tcBorders>
              <w:right w:val="single" w:color="auto" w:sz="4" w:space="0"/>
            </w:tcBorders>
            <w:vAlign w:val="center"/>
          </w:tcPr>
          <w:p w14:paraId="397FDC5C">
            <w:pPr>
              <w:spacing w:line="400" w:lineRule="exact"/>
              <w:jc w:val="center"/>
              <w:rPr>
                <w:rFonts w:ascii="仿宋" w:hAnsi="仿宋" w:eastAsia="仿宋" w:cs="Arial"/>
                <w:sz w:val="28"/>
                <w:szCs w:val="28"/>
              </w:rPr>
            </w:pPr>
          </w:p>
        </w:tc>
        <w:tc>
          <w:tcPr>
            <w:tcW w:w="1539" w:type="dxa"/>
            <w:tcBorders>
              <w:left w:val="single" w:color="auto" w:sz="4" w:space="0"/>
            </w:tcBorders>
            <w:vAlign w:val="center"/>
          </w:tcPr>
          <w:p w14:paraId="3B593623">
            <w:pPr>
              <w:spacing w:line="400" w:lineRule="exact"/>
              <w:jc w:val="center"/>
              <w:rPr>
                <w:rFonts w:ascii="仿宋" w:hAnsi="仿宋" w:eastAsia="仿宋" w:cs="Arial"/>
                <w:sz w:val="28"/>
                <w:szCs w:val="28"/>
              </w:rPr>
            </w:pPr>
          </w:p>
        </w:tc>
        <w:tc>
          <w:tcPr>
            <w:tcW w:w="1863" w:type="dxa"/>
            <w:vAlign w:val="center"/>
          </w:tcPr>
          <w:p w14:paraId="0C02190F">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169DDC09">
            <w:pPr>
              <w:spacing w:line="400" w:lineRule="exact"/>
              <w:jc w:val="center"/>
              <w:rPr>
                <w:rFonts w:ascii="仿宋" w:hAnsi="仿宋" w:eastAsia="仿宋" w:cs="Arial"/>
                <w:sz w:val="28"/>
                <w:szCs w:val="28"/>
              </w:rPr>
            </w:pPr>
          </w:p>
        </w:tc>
      </w:tr>
    </w:tbl>
    <w:p w14:paraId="53944D20">
      <w:pPr>
        <w:jc w:val="left"/>
        <w:rPr>
          <w:rFonts w:ascii="仿宋_GB2312" w:eastAsia="仿宋_GB2312"/>
          <w:sz w:val="30"/>
          <w:szCs w:val="30"/>
        </w:rPr>
      </w:pPr>
      <w:r>
        <w:rPr>
          <w:rFonts w:hint="eastAsia" w:ascii="仿宋" w:hAnsi="仿宋" w:eastAsia="仿宋"/>
          <w:sz w:val="28"/>
          <w:szCs w:val="28"/>
        </w:rPr>
        <w:t>注：供应商（仅限于供应商自己的）以上业绩需提供有关书面证明材料（合同、协议复印件）。</w:t>
      </w:r>
    </w:p>
    <w:p w14:paraId="6244CDBB">
      <w:pPr>
        <w:rPr>
          <w:rFonts w:ascii="仿宋_GB2312" w:eastAsia="仿宋_GB2312"/>
          <w:sz w:val="24"/>
          <w:szCs w:val="30"/>
        </w:rPr>
      </w:pPr>
    </w:p>
    <w:p w14:paraId="6A7E3C10">
      <w:pPr>
        <w:rPr>
          <w:rFonts w:ascii="仿宋_GB2312" w:eastAsia="仿宋_GB2312"/>
          <w:sz w:val="24"/>
          <w:szCs w:val="30"/>
        </w:rPr>
      </w:pPr>
    </w:p>
    <w:p w14:paraId="7616A830">
      <w:pPr>
        <w:rPr>
          <w:rFonts w:ascii="仿宋_GB2312" w:eastAsia="仿宋_GB2312"/>
          <w:sz w:val="24"/>
          <w:szCs w:val="30"/>
        </w:rPr>
      </w:pPr>
    </w:p>
    <w:p w14:paraId="1B18C8C0">
      <w:pPr>
        <w:jc w:val="left"/>
        <w:rPr>
          <w:rFonts w:ascii="仿宋" w:hAnsi="仿宋" w:eastAsia="仿宋"/>
          <w:sz w:val="28"/>
          <w:szCs w:val="28"/>
        </w:rPr>
      </w:pPr>
      <w:r>
        <w:rPr>
          <w:rFonts w:hint="eastAsia" w:ascii="仿宋" w:hAnsi="仿宋" w:eastAsia="仿宋"/>
          <w:sz w:val="28"/>
          <w:szCs w:val="28"/>
        </w:rPr>
        <w:t>供应商名称：XXXX（盖单位公部分）</w:t>
      </w:r>
    </w:p>
    <w:p w14:paraId="74E131F6">
      <w:pPr>
        <w:jc w:val="left"/>
        <w:rPr>
          <w:rFonts w:ascii="仿宋" w:hAnsi="仿宋" w:eastAsia="仿宋"/>
          <w:sz w:val="28"/>
          <w:szCs w:val="28"/>
        </w:rPr>
      </w:pPr>
      <w:r>
        <w:rPr>
          <w:rFonts w:hint="eastAsia" w:ascii="仿宋" w:hAnsi="仿宋" w:eastAsia="仿宋"/>
          <w:sz w:val="28"/>
          <w:szCs w:val="28"/>
        </w:rPr>
        <w:t>法定代表人或授权代表（签字）：XXXX</w:t>
      </w:r>
    </w:p>
    <w:p w14:paraId="497ABF42">
      <w:pPr>
        <w:jc w:val="left"/>
        <w:rPr>
          <w:rFonts w:ascii="仿宋" w:hAnsi="仿宋" w:eastAsia="仿宋"/>
          <w:sz w:val="28"/>
          <w:szCs w:val="28"/>
        </w:rPr>
      </w:pPr>
      <w:r>
        <w:rPr>
          <w:rFonts w:hint="eastAsia" w:ascii="仿宋" w:hAnsi="仿宋" w:eastAsia="仿宋"/>
          <w:sz w:val="28"/>
          <w:szCs w:val="28"/>
        </w:rPr>
        <w:t>日期：XXXX</w:t>
      </w:r>
    </w:p>
    <w:p w14:paraId="13133C46">
      <w:pPr>
        <w:tabs>
          <w:tab w:val="left" w:pos="180"/>
        </w:tabs>
        <w:rPr>
          <w:sz w:val="32"/>
        </w:rPr>
      </w:pPr>
    </w:p>
    <w:p w14:paraId="56AE2E7E">
      <w:pPr>
        <w:tabs>
          <w:tab w:val="left" w:pos="180"/>
        </w:tabs>
        <w:rPr>
          <w:sz w:val="32"/>
        </w:rPr>
      </w:pPr>
    </w:p>
    <w:p w14:paraId="641CB8C8">
      <w:pPr>
        <w:tabs>
          <w:tab w:val="left" w:pos="180"/>
        </w:tabs>
        <w:rPr>
          <w:sz w:val="32"/>
        </w:rPr>
      </w:pPr>
    </w:p>
    <w:p w14:paraId="5D8DAC69">
      <w:pPr>
        <w:tabs>
          <w:tab w:val="left" w:pos="180"/>
        </w:tabs>
        <w:rPr>
          <w:sz w:val="32"/>
        </w:rPr>
      </w:pPr>
    </w:p>
    <w:p w14:paraId="6B340C0E">
      <w:pPr>
        <w:tabs>
          <w:tab w:val="left" w:pos="180"/>
        </w:tabs>
        <w:rPr>
          <w:sz w:val="32"/>
        </w:rPr>
      </w:pPr>
    </w:p>
    <w:p w14:paraId="7E019FD5">
      <w:pPr>
        <w:tabs>
          <w:tab w:val="left" w:pos="180"/>
        </w:tabs>
        <w:rPr>
          <w:sz w:val="32"/>
        </w:rPr>
      </w:pPr>
    </w:p>
    <w:p w14:paraId="3E9B16F9">
      <w:pPr>
        <w:tabs>
          <w:tab w:val="left" w:pos="180"/>
        </w:tabs>
        <w:rPr>
          <w:sz w:val="32"/>
        </w:rPr>
      </w:pPr>
    </w:p>
    <w:p w14:paraId="7E7509D7">
      <w:pPr>
        <w:tabs>
          <w:tab w:val="left" w:pos="180"/>
        </w:tabs>
        <w:rPr>
          <w:sz w:val="32"/>
        </w:rPr>
      </w:pPr>
    </w:p>
    <w:p w14:paraId="74E56467">
      <w:pPr>
        <w:tabs>
          <w:tab w:val="left" w:pos="180"/>
        </w:tabs>
        <w:rPr>
          <w:b/>
          <w:sz w:val="32"/>
          <w:szCs w:val="32"/>
        </w:rPr>
      </w:pPr>
    </w:p>
    <w:p w14:paraId="5E6049D3">
      <w:pPr>
        <w:jc w:val="left"/>
        <w:rPr>
          <w:rFonts w:asciiTheme="majorEastAsia" w:hAnsiTheme="majorEastAsia" w:eastAsiaTheme="majorEastAsia"/>
          <w:sz w:val="24"/>
        </w:rPr>
      </w:pPr>
      <w:r>
        <w:rPr>
          <w:rFonts w:hint="eastAsia" w:asciiTheme="majorEastAsia" w:hAnsiTheme="majorEastAsia" w:eastAsiaTheme="majorEastAsia"/>
          <w:sz w:val="24"/>
        </w:rPr>
        <w:t>文件八</w:t>
      </w:r>
    </w:p>
    <w:p w14:paraId="2F9D437F">
      <w:pPr>
        <w:tabs>
          <w:tab w:val="left" w:pos="180"/>
        </w:tabs>
        <w:jc w:val="left"/>
        <w:rPr>
          <w:b/>
          <w:sz w:val="32"/>
          <w:szCs w:val="32"/>
        </w:rPr>
      </w:pPr>
      <w:r>
        <w:rPr>
          <w:rFonts w:hint="eastAsia"/>
          <w:b/>
          <w:sz w:val="32"/>
          <w:szCs w:val="32"/>
        </w:rPr>
        <w:t xml:space="preserve">    </w:t>
      </w:r>
    </w:p>
    <w:p w14:paraId="7858E843">
      <w:pPr>
        <w:pStyle w:val="11"/>
        <w:tabs>
          <w:tab w:val="left" w:pos="0"/>
        </w:tabs>
        <w:jc w:val="left"/>
      </w:pPr>
      <w:r>
        <w:rPr>
          <w:rFonts w:hint="eastAsia" w:cs="宋体" w:asciiTheme="majorEastAsia" w:hAnsiTheme="majorEastAsia" w:eastAsiaTheme="majorEastAsia"/>
          <w:b/>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sz w:val="28"/>
          <w:szCs w:val="28"/>
        </w:rPr>
        <w:t>以及适用于本项目相关的其他资格证明资料。</w:t>
      </w:r>
    </w:p>
    <w:p w14:paraId="696540C0">
      <w:pPr>
        <w:pStyle w:val="7"/>
        <w:rPr>
          <w:b/>
          <w:bCs/>
          <w:color w:val="000000"/>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5794"/>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19A3"/>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4686"/>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7D0F8C"/>
    <w:rsid w:val="02D74B40"/>
    <w:rsid w:val="03B53621"/>
    <w:rsid w:val="04C3537C"/>
    <w:rsid w:val="052D4EEB"/>
    <w:rsid w:val="05304180"/>
    <w:rsid w:val="05D90BDC"/>
    <w:rsid w:val="05F572F9"/>
    <w:rsid w:val="060D2627"/>
    <w:rsid w:val="06745AEC"/>
    <w:rsid w:val="06E3433B"/>
    <w:rsid w:val="06E65352"/>
    <w:rsid w:val="07047ECE"/>
    <w:rsid w:val="072440CC"/>
    <w:rsid w:val="077940E3"/>
    <w:rsid w:val="09756E61"/>
    <w:rsid w:val="098350DA"/>
    <w:rsid w:val="0A677B61"/>
    <w:rsid w:val="0AB47515"/>
    <w:rsid w:val="0BC419DA"/>
    <w:rsid w:val="0C28640C"/>
    <w:rsid w:val="0D7657CB"/>
    <w:rsid w:val="0DE545B5"/>
    <w:rsid w:val="0DF77EC7"/>
    <w:rsid w:val="0F556928"/>
    <w:rsid w:val="0F985657"/>
    <w:rsid w:val="115C1106"/>
    <w:rsid w:val="1173012A"/>
    <w:rsid w:val="121C42AC"/>
    <w:rsid w:val="12443874"/>
    <w:rsid w:val="12B0188B"/>
    <w:rsid w:val="12CF5263"/>
    <w:rsid w:val="134B71F7"/>
    <w:rsid w:val="13973D58"/>
    <w:rsid w:val="14AF4F47"/>
    <w:rsid w:val="158242C4"/>
    <w:rsid w:val="15AE1730"/>
    <w:rsid w:val="1606331B"/>
    <w:rsid w:val="16DE7DF3"/>
    <w:rsid w:val="170209AC"/>
    <w:rsid w:val="17AA11BF"/>
    <w:rsid w:val="18CA454C"/>
    <w:rsid w:val="19FB0CBC"/>
    <w:rsid w:val="1A552BD0"/>
    <w:rsid w:val="1B9969DF"/>
    <w:rsid w:val="1BE55780"/>
    <w:rsid w:val="1C493F61"/>
    <w:rsid w:val="1C56667E"/>
    <w:rsid w:val="1CDD6D9F"/>
    <w:rsid w:val="1CFC5501"/>
    <w:rsid w:val="1DE55F0B"/>
    <w:rsid w:val="20930B9C"/>
    <w:rsid w:val="212958D0"/>
    <w:rsid w:val="21A32365"/>
    <w:rsid w:val="240115C5"/>
    <w:rsid w:val="24E75118"/>
    <w:rsid w:val="25056E93"/>
    <w:rsid w:val="26C32037"/>
    <w:rsid w:val="27B91ECD"/>
    <w:rsid w:val="282D2989"/>
    <w:rsid w:val="288E1E70"/>
    <w:rsid w:val="29543F45"/>
    <w:rsid w:val="29C31342"/>
    <w:rsid w:val="2AA35184"/>
    <w:rsid w:val="2B033456"/>
    <w:rsid w:val="2BB05DAB"/>
    <w:rsid w:val="2BC01CFC"/>
    <w:rsid w:val="2C447D2D"/>
    <w:rsid w:val="2C535009"/>
    <w:rsid w:val="2C6923FD"/>
    <w:rsid w:val="2CA62D0A"/>
    <w:rsid w:val="2EB21E3A"/>
    <w:rsid w:val="2F146C9A"/>
    <w:rsid w:val="2F9A790F"/>
    <w:rsid w:val="30253490"/>
    <w:rsid w:val="30297EDA"/>
    <w:rsid w:val="30474804"/>
    <w:rsid w:val="30A25EDE"/>
    <w:rsid w:val="30F54260"/>
    <w:rsid w:val="3159659D"/>
    <w:rsid w:val="31603DCF"/>
    <w:rsid w:val="31AC4A34"/>
    <w:rsid w:val="338A1A49"/>
    <w:rsid w:val="338B2242"/>
    <w:rsid w:val="34EA39B0"/>
    <w:rsid w:val="35123632"/>
    <w:rsid w:val="361E6007"/>
    <w:rsid w:val="36587904"/>
    <w:rsid w:val="37074CED"/>
    <w:rsid w:val="378B76CC"/>
    <w:rsid w:val="380A02F4"/>
    <w:rsid w:val="38710E94"/>
    <w:rsid w:val="39677CC5"/>
    <w:rsid w:val="3B5D4EDB"/>
    <w:rsid w:val="3B7D1C7D"/>
    <w:rsid w:val="3BA743A8"/>
    <w:rsid w:val="3C356E19"/>
    <w:rsid w:val="3CFB49AC"/>
    <w:rsid w:val="3D17730C"/>
    <w:rsid w:val="3D477BF1"/>
    <w:rsid w:val="3D595B76"/>
    <w:rsid w:val="3EB219E2"/>
    <w:rsid w:val="3F06588A"/>
    <w:rsid w:val="407C22A8"/>
    <w:rsid w:val="415A73C9"/>
    <w:rsid w:val="418807D8"/>
    <w:rsid w:val="41C22885"/>
    <w:rsid w:val="41FB544E"/>
    <w:rsid w:val="42350960"/>
    <w:rsid w:val="424B0E8E"/>
    <w:rsid w:val="428B67D2"/>
    <w:rsid w:val="434D2655"/>
    <w:rsid w:val="434D7F2B"/>
    <w:rsid w:val="437B513F"/>
    <w:rsid w:val="44B738AE"/>
    <w:rsid w:val="45D05528"/>
    <w:rsid w:val="45E14C00"/>
    <w:rsid w:val="46004450"/>
    <w:rsid w:val="46FA5ECE"/>
    <w:rsid w:val="474331D5"/>
    <w:rsid w:val="49221512"/>
    <w:rsid w:val="4938460D"/>
    <w:rsid w:val="49A81A17"/>
    <w:rsid w:val="4ABA4678"/>
    <w:rsid w:val="4AC5484B"/>
    <w:rsid w:val="4B321EE0"/>
    <w:rsid w:val="4B533C05"/>
    <w:rsid w:val="4C8B75AB"/>
    <w:rsid w:val="4C9C7711"/>
    <w:rsid w:val="4CB6269D"/>
    <w:rsid w:val="4DAB5F7A"/>
    <w:rsid w:val="4DDE7620"/>
    <w:rsid w:val="4E4D0AC1"/>
    <w:rsid w:val="4EAC1FAA"/>
    <w:rsid w:val="4EFC7AB0"/>
    <w:rsid w:val="4F172F4E"/>
    <w:rsid w:val="4F98782D"/>
    <w:rsid w:val="4FEF54B5"/>
    <w:rsid w:val="507C3BFE"/>
    <w:rsid w:val="521A36CE"/>
    <w:rsid w:val="539F20DD"/>
    <w:rsid w:val="53B2424D"/>
    <w:rsid w:val="53BB5D38"/>
    <w:rsid w:val="55524B37"/>
    <w:rsid w:val="560E1519"/>
    <w:rsid w:val="56705FB3"/>
    <w:rsid w:val="58173651"/>
    <w:rsid w:val="582F4FA6"/>
    <w:rsid w:val="58896EB8"/>
    <w:rsid w:val="58D2260D"/>
    <w:rsid w:val="599D54C4"/>
    <w:rsid w:val="5A0D079A"/>
    <w:rsid w:val="5A236E98"/>
    <w:rsid w:val="5A4237C2"/>
    <w:rsid w:val="5A8C2C8F"/>
    <w:rsid w:val="5B500161"/>
    <w:rsid w:val="5B8F2A37"/>
    <w:rsid w:val="5BA84B60"/>
    <w:rsid w:val="5C394B17"/>
    <w:rsid w:val="5C447CC6"/>
    <w:rsid w:val="5D0A7BEF"/>
    <w:rsid w:val="5DB1138B"/>
    <w:rsid w:val="5DCF1811"/>
    <w:rsid w:val="5DE11544"/>
    <w:rsid w:val="5DE17FC3"/>
    <w:rsid w:val="5EB34C8F"/>
    <w:rsid w:val="5EB9616C"/>
    <w:rsid w:val="5F82010C"/>
    <w:rsid w:val="5FFB256E"/>
    <w:rsid w:val="607466A0"/>
    <w:rsid w:val="619E1C26"/>
    <w:rsid w:val="621041A6"/>
    <w:rsid w:val="624C4D00"/>
    <w:rsid w:val="63623A3E"/>
    <w:rsid w:val="63EF557C"/>
    <w:rsid w:val="64460353"/>
    <w:rsid w:val="646F7295"/>
    <w:rsid w:val="65165F77"/>
    <w:rsid w:val="65436640"/>
    <w:rsid w:val="654A5C21"/>
    <w:rsid w:val="65801643"/>
    <w:rsid w:val="65A9499A"/>
    <w:rsid w:val="65D35C16"/>
    <w:rsid w:val="66A17AC3"/>
    <w:rsid w:val="675B58FB"/>
    <w:rsid w:val="678D7D74"/>
    <w:rsid w:val="67ED77D1"/>
    <w:rsid w:val="689D5841"/>
    <w:rsid w:val="68A74317"/>
    <w:rsid w:val="699F6B67"/>
    <w:rsid w:val="6AF17C50"/>
    <w:rsid w:val="6B0010A8"/>
    <w:rsid w:val="6B542013"/>
    <w:rsid w:val="6DE71454"/>
    <w:rsid w:val="6EB149D4"/>
    <w:rsid w:val="70B60DD1"/>
    <w:rsid w:val="71AB7C66"/>
    <w:rsid w:val="72084E9A"/>
    <w:rsid w:val="72344282"/>
    <w:rsid w:val="728C7879"/>
    <w:rsid w:val="74977D47"/>
    <w:rsid w:val="74A115F5"/>
    <w:rsid w:val="750139B7"/>
    <w:rsid w:val="7535244A"/>
    <w:rsid w:val="75C15DB7"/>
    <w:rsid w:val="77642B72"/>
    <w:rsid w:val="77EF1E32"/>
    <w:rsid w:val="787D213D"/>
    <w:rsid w:val="7928227D"/>
    <w:rsid w:val="7B607AF4"/>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Char"/>
    <w:link w:val="4"/>
    <w:qFormat/>
    <w:locked/>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60DF62-88FD-4101-A942-83818EB054E0}">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6186</Words>
  <Characters>6359</Characters>
  <Lines>52</Lines>
  <Paragraphs>14</Paragraphs>
  <TotalTime>5</TotalTime>
  <ScaleCrop>false</ScaleCrop>
  <LinksUpToDate>false</LinksUpToDate>
  <CharactersWithSpaces>6746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2024-08-08T08:42:00Z</dcterms:created>
  <dc:creator>qiuxc</dc:creator>
  <cp:lastModifiedBy>dell</cp:lastModifiedBy>
  <cp:lastPrinted>2016-01-18T07:21:00Z</cp:lastPrinted>
  <dcterms:modified xsi:type="dcterms:W3CDTF">2024-08-27T01:38:17Z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DF923C571616479EAC68B5C5382CF7FE_13</vt:lpwstr>
  </property>
</Properties>
</file>