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12</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1800" w:firstLineChars="5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铝青铜非球面堵头询价采购项目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w:t>
      </w:r>
      <w:r>
        <w:rPr>
          <w:rFonts w:hint="eastAsia" w:ascii="黑体" w:eastAsia="黑体"/>
          <w:bCs/>
          <w:sz w:val="32"/>
          <w:szCs w:val="32"/>
          <w:lang w:val="en-US" w:eastAsia="zh-CN"/>
        </w:rPr>
        <w:t>部分</w:t>
      </w:r>
      <w:r>
        <w:rPr>
          <w:rFonts w:hint="eastAsia" w:ascii="黑体" w:eastAsia="黑体"/>
          <w:bCs/>
          <w:sz w:val="32"/>
          <w:szCs w:val="32"/>
        </w:rPr>
        <w:t xml:space="preserve"> </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铝青铜非球面堵头询价</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铝青铜非球面堵头询价采购项目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w:t>
      </w:r>
      <w:r>
        <w:rPr>
          <w:rFonts w:hint="eastAsia" w:ascii="仿宋_GB2312" w:eastAsia="仿宋_GB2312"/>
          <w:sz w:val="24"/>
          <w:lang w:val="en-US" w:eastAsia="zh-CN"/>
        </w:rPr>
        <w:t>4</w:t>
      </w:r>
      <w:r>
        <w:rPr>
          <w:rFonts w:hint="eastAsia" w:ascii="仿宋_GB2312" w:eastAsia="仿宋_GB2312"/>
          <w:sz w:val="24"/>
        </w:rPr>
        <w:t>-</w:t>
      </w:r>
      <w:r>
        <w:rPr>
          <w:rFonts w:hint="eastAsia" w:ascii="仿宋_GB2312" w:eastAsia="仿宋_GB2312"/>
          <w:sz w:val="24"/>
          <w:lang w:val="en-US" w:eastAsia="zh-CN"/>
        </w:rPr>
        <w:t>12</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w:t>
      </w:r>
      <w:r>
        <w:rPr>
          <w:rFonts w:hint="eastAsia" w:ascii="仿宋_GB2312" w:eastAsia="仿宋_GB2312"/>
          <w:b/>
          <w:bCs/>
          <w:sz w:val="24"/>
          <w:u w:val="single"/>
          <w:lang w:val="en-US" w:eastAsia="zh-CN"/>
        </w:rPr>
        <w:t>铝青铜非球面堵头</w:t>
      </w:r>
      <w:r>
        <w:rPr>
          <w:rFonts w:hint="eastAsia" w:ascii="仿宋_GB2312" w:eastAsia="仿宋_GB2312"/>
          <w:sz w:val="24"/>
        </w:rPr>
        <w:t>，主要包括货款，</w:t>
      </w:r>
      <w:r>
        <w:rPr>
          <w:rFonts w:hint="eastAsia" w:ascii="仿宋_GB2312" w:eastAsia="仿宋_GB2312"/>
          <w:sz w:val="24"/>
          <w:lang w:val="en-US" w:eastAsia="zh-CN"/>
        </w:rPr>
        <w:t>加工、</w:t>
      </w:r>
      <w:r>
        <w:rPr>
          <w:rFonts w:hint="eastAsia" w:ascii="仿宋_GB2312" w:eastAsia="仿宋_GB2312"/>
          <w:sz w:val="24"/>
        </w:rPr>
        <w:t>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（1）具有独立承担民事责任的能力；</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（3）非“三无”供应商。（即具有实缴资本、参保人员、生产经营场所的供应商）。</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r>
        <w:rPr>
          <w:rFonts w:hint="eastAsia" w:ascii="仿宋_GB2312" w:hAnsi="Times New Roman" w:eastAsia="仿宋_GB2312" w:cs="Times New Roman"/>
          <w:b w:val="0"/>
          <w:bCs w:val="0"/>
          <w:kern w:val="2"/>
          <w:sz w:val="24"/>
          <w:szCs w:val="24"/>
          <w:lang w:val="en-US" w:eastAsia="zh-CN" w:bidi="ar-SA"/>
        </w:rPr>
        <w:t>（4）</w:t>
      </w:r>
      <w:r>
        <w:rPr>
          <w:rFonts w:hint="eastAsia" w:ascii="仿宋_GB2312" w:hAnsi="宋体" w:eastAsia="仿宋_GB2312"/>
          <w:kern w:val="2"/>
          <w:lang w:val="en-US" w:eastAsia="zh-CN"/>
        </w:rPr>
        <w:t>营业执照包含有模具制造。</w:t>
      </w:r>
    </w:p>
    <w:p>
      <w:pPr>
        <w:pStyle w:val="16"/>
        <w:keepNext w:val="0"/>
        <w:keepLines w:val="0"/>
        <w:suppressLineNumbers w:val="0"/>
        <w:spacing w:before="0" w:beforeAutospacing="0" w:afterAutospacing="0"/>
        <w:ind w:left="0" w:right="0" w:firstLine="480" w:firstLineChars="200"/>
        <w:rPr>
          <w:rFonts w:hint="eastAsia" w:ascii="仿宋_GB2312" w:hAnsi="宋体" w:eastAsia="仿宋_GB2312"/>
          <w:kern w:val="2"/>
          <w:lang w:val="en-US" w:eastAsia="zh-CN"/>
        </w:rPr>
      </w:pPr>
    </w:p>
    <w:p>
      <w:pPr>
        <w:pStyle w:val="16"/>
        <w:keepNext w:val="0"/>
        <w:keepLines w:val="0"/>
        <w:suppressLineNumbers w:val="0"/>
        <w:spacing w:before="0" w:beforeAutospacing="0" w:afterAutospacing="0"/>
        <w:ind w:left="0"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（5）具有制作</w:t>
      </w:r>
      <w:r>
        <w:rPr>
          <w:rFonts w:hint="eastAsia" w:ascii="仿宋_GB2312" w:eastAsia="仿宋_GB2312"/>
          <w:b/>
          <w:bCs/>
          <w:sz w:val="24"/>
          <w:u w:val="single"/>
          <w:lang w:val="en-US" w:eastAsia="zh-CN"/>
        </w:rPr>
        <w:t>铝青铜模具</w:t>
      </w:r>
      <w:r>
        <w:rPr>
          <w:rFonts w:hint="eastAsia" w:ascii="仿宋_GB2312" w:eastAsia="仿宋_GB2312"/>
          <w:sz w:val="24"/>
          <w:lang w:val="en-US" w:eastAsia="zh-CN"/>
        </w:rPr>
        <w:t>业绩。</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24</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31</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31</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24日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b/>
                <w:bCs/>
                <w:sz w:val="24"/>
                <w:u w:val="single"/>
                <w:lang w:val="en-US" w:eastAsia="zh-CN"/>
              </w:rPr>
              <w:t>铝青铜非球面堵头</w:t>
            </w:r>
            <w:r>
              <w:rPr>
                <w:rFonts w:hint="eastAsia" w:ascii="仿宋_GB2312" w:eastAsia="仿宋_GB2312"/>
                <w:sz w:val="24"/>
                <w:lang w:val="en-US" w:eastAsia="zh-CN"/>
              </w:rPr>
              <w:t>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eastAsia" w:ascii="仿宋_GB2312" w:hAnsi="宋体" w:eastAsia="仿宋_GB2312"/>
                <w:kern w:val="2"/>
                <w:lang w:val="en-US" w:eastAsia="zh-CN"/>
              </w:rPr>
            </w:pPr>
            <w:r>
              <w:rPr>
                <w:rFonts w:hint="eastAsia" w:ascii="仿宋_GB2312" w:hAnsi="宋体" w:eastAsia="仿宋_GB2312"/>
                <w:kern w:val="2"/>
                <w:lang w:val="en-US" w:eastAsia="zh-CN"/>
              </w:rPr>
              <w:t>营业执照：模具制造的能力。</w:t>
            </w: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具有制作</w:t>
            </w:r>
            <w:r>
              <w:rPr>
                <w:rFonts w:hint="eastAsia" w:ascii="仿宋_GB2312" w:eastAsia="仿宋_GB2312"/>
                <w:b/>
                <w:bCs/>
                <w:kern w:val="2"/>
                <w:sz w:val="24"/>
                <w:u w:val="single"/>
                <w:lang w:val="en-US" w:eastAsia="zh-CN"/>
              </w:rPr>
              <w:t>铝青铜模具</w:t>
            </w:r>
            <w:r>
              <w:rPr>
                <w:rFonts w:hint="eastAsia" w:ascii="仿宋_GB2312" w:eastAsia="仿宋_GB2312"/>
                <w:kern w:val="2"/>
                <w:sz w:val="24"/>
                <w:lang w:val="en-US" w:eastAsia="zh-CN"/>
              </w:rPr>
              <w:t>业绩。</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rPr>
              <w:t>1.装订牢固，并应编制目录和连续页码（封面和扉页除外）</w:t>
            </w:r>
            <w:r>
              <w:rPr>
                <w:rFonts w:hint="eastAsia" w:ascii="仿宋_GB2312" w:eastAsia="仿宋_GB2312"/>
                <w:kern w:val="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w:t>
            </w:r>
            <w:r>
              <w:rPr>
                <w:rFonts w:hint="eastAsia" w:ascii="仿宋_GB2312" w:eastAsia="仿宋_GB2312" w:cs="仿宋_GB2312"/>
                <w:kern w:val="2"/>
                <w:lang w:val="en-US" w:eastAsia="zh-CN"/>
              </w:rPr>
              <w:t xml:space="preserve">  </w:t>
            </w:r>
            <w:r>
              <w:rPr>
                <w:rFonts w:hint="eastAsia" w:ascii="仿宋_GB2312" w:eastAsia="仿宋_GB2312" w:cs="仿宋_GB2312"/>
                <w:kern w:val="2"/>
              </w:rPr>
              <w:t>成都奥格光学玻璃有限公司</w:t>
            </w:r>
          </w:p>
          <w:p>
            <w:pPr>
              <w:pStyle w:val="16"/>
              <w:keepNext w:val="0"/>
              <w:keepLines w:val="0"/>
              <w:suppressLineNumbers w:val="0"/>
              <w:spacing w:before="0" w:beforeAutospacing="0" w:afterAutospacing="0"/>
              <w:ind w:left="0" w:right="0" w:firstLine="1687" w:firstLineChars="700"/>
              <w:jc w:val="both"/>
              <w:rPr>
                <w:rFonts w:hint="default" w:ascii="仿宋_GB2312" w:eastAsia="仿宋_GB2312" w:cs="仿宋_GB2312"/>
                <w:kern w:val="2"/>
              </w:rPr>
            </w:pPr>
            <w:r>
              <w:rPr>
                <w:rFonts w:hint="eastAsia" w:ascii="仿宋_GB2312" w:eastAsia="仿宋_GB2312"/>
                <w:b/>
                <w:bCs/>
                <w:kern w:val="2"/>
                <w:sz w:val="24"/>
                <w:u w:val="single"/>
                <w:lang w:val="en-US" w:eastAsia="zh-CN"/>
              </w:rPr>
              <w:t>铝青铜非球面堵头</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24</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7</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31</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themeColor="text1"/>
                <w:kern w:val="2"/>
                <w:sz w:val="24"/>
              </w:rPr>
              <w:t>有效期</w:t>
            </w:r>
            <w:r>
              <w:rPr>
                <w:rFonts w:hint="eastAsia" w:ascii="仿宋_GB2312" w:eastAsia="仿宋_GB2312" w:cs="仿宋_GB2312"/>
                <w:color w:val="000000" w:themeColor="text1"/>
                <w:kern w:val="2"/>
                <w:sz w:val="24"/>
                <w:lang w:val="en-US" w:eastAsia="zh-CN"/>
              </w:rPr>
              <w:t>8</w:t>
            </w:r>
            <w:r>
              <w:rPr>
                <w:rFonts w:hint="eastAsia" w:ascii="仿宋_GB2312" w:eastAsia="仿宋_GB2312" w:cs="仿宋_GB2312"/>
                <w:color w:val="000000" w:themeColor="text1"/>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w:t>
      </w:r>
      <w:r>
        <w:rPr>
          <w:rFonts w:hint="eastAsia" w:ascii="仿宋_GB2312" w:eastAsia="仿宋_GB2312"/>
          <w:sz w:val="24"/>
          <w:lang w:val="en-US" w:eastAsia="zh-CN"/>
        </w:rPr>
        <w:t>加工</w:t>
      </w:r>
      <w:r>
        <w:rPr>
          <w:rFonts w:hint="eastAsia" w:ascii="仿宋_GB2312" w:eastAsia="仿宋_GB2312"/>
          <w:sz w:val="24"/>
        </w:rPr>
        <w:t>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31</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w:t>
      </w:r>
      <w:r>
        <w:rPr>
          <w:rFonts w:hint="eastAsia" w:ascii="仿宋_GB2312" w:eastAsia="仿宋_GB2312"/>
          <w:sz w:val="24"/>
          <w:lang w:val="en-US" w:eastAsia="zh-CN"/>
        </w:rPr>
        <w:t>采购</w:t>
      </w:r>
      <w:r>
        <w:rPr>
          <w:rFonts w:hint="default" w:ascii="仿宋_GB2312" w:eastAsia="仿宋_GB2312"/>
          <w:sz w:val="24"/>
          <w:lang w:val="en-US" w:eastAsia="zh-CN"/>
        </w:rPr>
        <w:t>中标通知</w:t>
      </w:r>
      <w:r>
        <w:rPr>
          <w:rFonts w:hint="eastAsia" w:ascii="仿宋_GB2312" w:eastAsia="仿宋_GB2312"/>
          <w:sz w:val="24"/>
        </w:rPr>
        <w:t>》。确认通知单是合同的一个组成部分，对采购人和供应商均具有法律约束力。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tbl>
      <w:tblPr>
        <w:tblStyle w:val="9"/>
        <w:tblW w:w="9072" w:type="dxa"/>
        <w:tblInd w:w="213" w:type="dxa"/>
        <w:tblLayout w:type="fixed"/>
        <w:tblCellMar>
          <w:top w:w="0" w:type="dxa"/>
          <w:left w:w="108" w:type="dxa"/>
          <w:bottom w:w="0" w:type="dxa"/>
          <w:right w:w="108" w:type="dxa"/>
        </w:tblCellMar>
      </w:tblPr>
      <w:tblGrid>
        <w:gridCol w:w="1560"/>
        <w:gridCol w:w="880"/>
        <w:gridCol w:w="828"/>
        <w:gridCol w:w="1426"/>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val="0"/>
                <w:bCs w:val="0"/>
                <w:color w:val="000000"/>
                <w:kern w:val="0"/>
                <w:sz w:val="36"/>
                <w:szCs w:val="36"/>
              </w:rPr>
            </w:pPr>
            <w:r>
              <w:rPr>
                <w:rFonts w:hint="eastAsia" w:ascii="宋体" w:hAnsi="宋体" w:cs="宋体"/>
                <w:b w:val="0"/>
                <w:bCs w:val="0"/>
                <w:color w:val="000000"/>
                <w:kern w:val="0"/>
                <w:sz w:val="36"/>
                <w:szCs w:val="36"/>
              </w:rPr>
              <w:t>订货合同</w:t>
            </w:r>
          </w:p>
          <w:p>
            <w:pPr>
              <w:keepNext w:val="0"/>
              <w:keepLines w:val="0"/>
              <w:widowControl/>
              <w:suppressLineNumbers w:val="0"/>
              <w:spacing w:before="0" w:beforeAutospacing="0" w:after="0" w:afterAutospacing="0"/>
              <w:ind w:left="0" w:right="0"/>
              <w:jc w:val="center"/>
              <w:rPr>
                <w:rFonts w:hint="default"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kern w:val="2"/>
                <w:sz w:val="24"/>
                <w:szCs w:val="24"/>
                <w:u w:val="single"/>
                <w:lang w:val="en-US" w:eastAsia="zh-CN"/>
              </w:rPr>
              <w:t xml:space="preserve">成都奥格光学玻璃有限公司  </w:t>
            </w:r>
            <w:r>
              <w:rPr>
                <w:rFonts w:hint="eastAsia" w:ascii="仿宋_GB2312" w:hAnsi="宋体" w:eastAsia="仿宋_GB2312" w:cs="宋体"/>
                <w:bCs/>
                <w:color w:val="000000"/>
                <w:kern w:val="0"/>
                <w:sz w:val="24"/>
                <w:szCs w:val="24"/>
              </w:rPr>
              <w:t xml:space="preserve">                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88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828"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694"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件</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lang w:val="en-US" w:eastAsia="zh-CN"/>
              </w:rPr>
              <w:t>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88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828"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694"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本合同数量以实际验收数量为准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746"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%增值税专用发票价）</w:t>
            </w:r>
          </w:p>
        </w:tc>
      </w:tr>
      <w:tr>
        <w:tblPrEx>
          <w:tblCellMar>
            <w:top w:w="0" w:type="dxa"/>
            <w:left w:w="108" w:type="dxa"/>
            <w:bottom w:w="0" w:type="dxa"/>
            <w:right w:w="108" w:type="dxa"/>
          </w:tblCellMar>
        </w:tblPrEx>
        <w:trPr>
          <w:trHeight w:val="871" w:hRule="atLeast"/>
        </w:trPr>
        <w:tc>
          <w:tcPr>
            <w:tcW w:w="9072" w:type="dxa"/>
            <w:gridSpan w:val="8"/>
            <w:tcBorders>
              <w:top w:val="single" w:color="auto" w:sz="4" w:space="0"/>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需方图纸要求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三、交（提）货地点、方式：成都龙泉需方仓库</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kern w:val="2"/>
                <w:sz w:val="24"/>
                <w:szCs w:val="24"/>
                <w:lang w:val="en-US" w:eastAsia="zh-CN"/>
              </w:rPr>
              <w:t>成都奥格光学玻璃有限公司要求</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pStyle w:val="5"/>
              <w:keepNext w:val="0"/>
              <w:keepLines w:val="0"/>
              <w:suppressLineNumbers w:val="0"/>
              <w:spacing w:before="0" w:beforeAutospacing="0" w:after="0" w:afterAutospacing="0"/>
              <w:ind w:left="240" w:right="0" w:hanging="240" w:hangingChars="100"/>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w:t>
            </w:r>
            <w:r>
              <w:rPr>
                <w:rFonts w:hint="eastAsia" w:ascii="仿宋_GB2312" w:hAnsi="Times New Roman" w:eastAsia="仿宋_GB2312" w:cs="宋体"/>
                <w:bCs/>
                <w:color w:val="000000"/>
                <w:kern w:val="0"/>
                <w:sz w:val="24"/>
                <w:szCs w:val="24"/>
                <w:lang w:val="en-US" w:eastAsia="zh-CN" w:bidi="ar-SA"/>
              </w:rPr>
              <w:t>货到验收合格后开具**%全额增值税专用发票，需方在15个工作日内付清货款。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180</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kern w:val="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4</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5"/>
        <w:gridCol w:w="2280"/>
        <w:gridCol w:w="2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345"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规 格mm</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铝青铜非球面堵头</w:t>
            </w:r>
          </w:p>
        </w:tc>
        <w:tc>
          <w:tcPr>
            <w:tcW w:w="228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160*164*35</w:t>
            </w:r>
          </w:p>
        </w:tc>
        <w:tc>
          <w:tcPr>
            <w:tcW w:w="2460"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20件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5" w:type="dxa"/>
            <w:noWrap w:val="0"/>
            <w:vAlign w:val="top"/>
          </w:tcPr>
          <w:p>
            <w:pPr>
              <w:keepNext w:val="0"/>
              <w:keepLines w:val="0"/>
              <w:widowControl/>
              <w:suppressLineNumbers w:val="0"/>
              <w:spacing w:before="0" w:beforeAutospacing="0" w:afterAutospacing="0"/>
              <w:ind w:left="0" w:right="0"/>
              <w:jc w:val="left"/>
              <w:rPr>
                <w:rFonts w:hint="default"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铝青铜非球面堵头</w:t>
            </w:r>
          </w:p>
        </w:tc>
        <w:tc>
          <w:tcPr>
            <w:tcW w:w="228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160*164*45</w:t>
            </w:r>
          </w:p>
        </w:tc>
        <w:tc>
          <w:tcPr>
            <w:tcW w:w="2460" w:type="dxa"/>
            <w:noWrap w:val="0"/>
            <w:vAlign w:val="top"/>
          </w:tcPr>
          <w:p>
            <w:pPr>
              <w:keepNext w:val="0"/>
              <w:keepLines w:val="0"/>
              <w:widowControl/>
              <w:suppressLineNumbers w:val="0"/>
              <w:spacing w:before="0" w:beforeAutospacing="0" w:afterAutospacing="0"/>
              <w:ind w:left="0" w:right="0"/>
              <w:jc w:val="left"/>
              <w:rPr>
                <w:rFonts w:hint="eastAsia" w:ascii="仿宋_GB2312" w:hAnsi="宋体" w:eastAsia="仿宋_GB2312"/>
                <w:b/>
                <w:kern w:val="2"/>
                <w:sz w:val="30"/>
                <w:szCs w:val="30"/>
                <w:lang w:val="en-US" w:eastAsia="zh-CN"/>
              </w:rPr>
            </w:pPr>
            <w:r>
              <w:rPr>
                <w:rFonts w:hint="eastAsia" w:ascii="仿宋_GB2312" w:hAnsi="宋体" w:eastAsia="仿宋_GB2312"/>
                <w:b/>
                <w:kern w:val="2"/>
                <w:sz w:val="30"/>
                <w:szCs w:val="30"/>
                <w:lang w:val="en-US" w:eastAsia="zh-CN"/>
              </w:rPr>
              <w:t>10件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5" w:type="dxa"/>
            <w:gridSpan w:val="3"/>
            <w:tcBorders>
              <w:left w:val="nil"/>
              <w:bottom w:val="nil"/>
              <w:right w:val="nil"/>
            </w:tcBorders>
            <w:noWrap w:val="0"/>
            <w:vAlign w:val="top"/>
          </w:tcPr>
          <w:p>
            <w:pPr>
              <w:keepNext w:val="0"/>
              <w:keepLines w:val="0"/>
              <w:widowControl/>
              <w:suppressLineNumbers w:val="0"/>
              <w:spacing w:before="0" w:beforeAutospacing="0" w:afterAutospacing="0"/>
              <w:ind w:left="1880" w:leftChars="568" w:right="0" w:hanging="630" w:hangingChars="225"/>
              <w:jc w:val="left"/>
              <w:rPr>
                <w:rFonts w:hint="eastAsia" w:ascii="宋体" w:hAnsi="宋体"/>
                <w:kern w:val="2"/>
                <w:sz w:val="28"/>
                <w:szCs w:val="28"/>
                <w:u w:val="none"/>
                <w:lang w:val="en-US" w:eastAsia="zh-CN"/>
              </w:rPr>
            </w:pPr>
          </w:p>
        </w:tc>
      </w:tr>
    </w:tbl>
    <w:p>
      <w:pPr>
        <w:pStyle w:val="2"/>
        <w:rPr>
          <w:rFonts w:hint="eastAsia"/>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由于该图纸涉密定于2024年7月</w:t>
      </w:r>
      <w:r>
        <w:rPr>
          <w:rFonts w:hint="eastAsia" w:ascii="仿宋_GB2312" w:hAnsi="宋体" w:eastAsia="仿宋_GB2312"/>
          <w:b/>
          <w:bCs/>
          <w:color w:val="FF0000"/>
          <w:sz w:val="30"/>
          <w:szCs w:val="30"/>
          <w:lang w:val="en-US" w:eastAsia="zh-CN"/>
        </w:rPr>
        <w:t>26</w:t>
      </w:r>
      <w:r>
        <w:rPr>
          <w:rFonts w:hint="eastAsia" w:ascii="仿宋_GB2312" w:hAnsi="宋体" w:eastAsia="仿宋_GB2312"/>
          <w:b/>
          <w:bCs/>
          <w:color w:val="000000"/>
          <w:sz w:val="30"/>
          <w:szCs w:val="30"/>
          <w:lang w:val="en-US" w:eastAsia="zh-CN"/>
        </w:rPr>
        <w:t>日上午10点现场看图纸</w:t>
      </w:r>
      <w:bookmarkStart w:id="2" w:name="_GoBack"/>
      <w:r>
        <w:rPr>
          <w:rFonts w:hint="eastAsia" w:ascii="仿宋_GB2312" w:hAnsi="宋体" w:eastAsia="仿宋_GB2312"/>
          <w:b/>
          <w:bCs/>
          <w:color w:val="000000"/>
          <w:sz w:val="30"/>
          <w:szCs w:val="30"/>
          <w:lang w:val="en-US" w:eastAsia="zh-CN"/>
        </w:rPr>
        <w:t>后报价</w:t>
      </w:r>
      <w:bookmarkEnd w:id="2"/>
      <w:r>
        <w:rPr>
          <w:rFonts w:hint="eastAsia" w:ascii="仿宋_GB2312" w:hAnsi="宋体" w:eastAsia="仿宋_GB2312"/>
          <w:b/>
          <w:bCs/>
          <w:color w:val="000000"/>
          <w:sz w:val="30"/>
          <w:szCs w:val="30"/>
          <w:lang w:val="en-US" w:eastAsia="zh-CN"/>
        </w:rPr>
        <w:t xml:space="preserve">。 </w:t>
      </w:r>
    </w:p>
    <w:p>
      <w:pPr>
        <w:pStyle w:val="2"/>
        <w:numPr>
          <w:ilvl w:val="0"/>
          <w:numId w:val="1"/>
        </w:numPr>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成都市龙泉驿区成龙大道三段530号，成都奥格光学玻璃有限公司。</w:t>
      </w:r>
    </w:p>
    <w:p>
      <w:pPr>
        <w:pStyle w:val="2"/>
        <w:numPr>
          <w:ilvl w:val="0"/>
          <w:numId w:val="1"/>
        </w:numPr>
        <w:rPr>
          <w:rFonts w:hint="default"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联系人：王先生    18628386339</w:t>
      </w:r>
    </w:p>
    <w:p>
      <w:pPr>
        <w:pStyle w:val="2"/>
        <w:numPr>
          <w:ilvl w:val="0"/>
          <w:numId w:val="1"/>
        </w:numPr>
        <w:rPr>
          <w:rFonts w:hint="default"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图纸咨询：邢先生   13880061679</w:t>
      </w:r>
    </w:p>
    <w:p>
      <w:pPr>
        <w:keepNext w:val="0"/>
        <w:keepLines w:val="0"/>
        <w:widowControl/>
        <w:suppressLineNumbers w:val="0"/>
        <w:jc w:val="left"/>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pStyle w:val="2"/>
        <w:rPr>
          <w:rFonts w:hint="eastAsia" w:ascii="仿宋_GB2312" w:hAnsi="宋体" w:eastAsia="仿宋_GB2312"/>
          <w:b/>
          <w:bCs/>
          <w:color w:val="000000"/>
          <w:sz w:val="30"/>
          <w:szCs w:val="30"/>
          <w:lang w:val="en-US" w:eastAsia="zh-CN"/>
        </w:rPr>
      </w:pPr>
    </w:p>
    <w:p>
      <w:pPr>
        <w:spacing w:line="500" w:lineRule="exact"/>
        <w:rPr>
          <w:rFonts w:hint="eastAsia" w:ascii="黑体" w:eastAsia="黑体"/>
          <w:bCs/>
          <w:sz w:val="32"/>
          <w:szCs w:val="32"/>
        </w:rPr>
      </w:pP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宋体" w:hAnsi="宋体" w:eastAsia="宋体"/>
                <w:b/>
                <w:bCs/>
                <w:kern w:val="2"/>
                <w:sz w:val="32"/>
                <w:u w:val="single"/>
                <w:lang w:val="en-US" w:eastAsia="zh-CN"/>
              </w:rPr>
              <w:t>铝青铜非球面堵头询价采购</w:t>
            </w:r>
            <w:r>
              <w:rPr>
                <w:rFonts w:hint="eastAsia" w:ascii="仿宋_GB2312" w:eastAsia="仿宋_GB2312"/>
                <w:kern w:val="2"/>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AFA9B9"/>
    <w:multiLevelType w:val="singleLevel"/>
    <w:tmpl w:val="AFAFA9B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5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2144BFA"/>
    <w:rsid w:val="03404029"/>
    <w:rsid w:val="0341667A"/>
    <w:rsid w:val="034F000F"/>
    <w:rsid w:val="03F05975"/>
    <w:rsid w:val="04360284"/>
    <w:rsid w:val="04675A50"/>
    <w:rsid w:val="054A633B"/>
    <w:rsid w:val="05563D80"/>
    <w:rsid w:val="05DE7F94"/>
    <w:rsid w:val="061E126E"/>
    <w:rsid w:val="06826059"/>
    <w:rsid w:val="074B6245"/>
    <w:rsid w:val="08394D85"/>
    <w:rsid w:val="09044BA2"/>
    <w:rsid w:val="096F0F54"/>
    <w:rsid w:val="09C545F1"/>
    <w:rsid w:val="09C917B0"/>
    <w:rsid w:val="0AC864CD"/>
    <w:rsid w:val="0B342445"/>
    <w:rsid w:val="0EAE1EA5"/>
    <w:rsid w:val="0EB21FBD"/>
    <w:rsid w:val="0F8B4CE8"/>
    <w:rsid w:val="10200A82"/>
    <w:rsid w:val="10C77611"/>
    <w:rsid w:val="10CF5391"/>
    <w:rsid w:val="1110733D"/>
    <w:rsid w:val="1131365B"/>
    <w:rsid w:val="11665568"/>
    <w:rsid w:val="11686DBE"/>
    <w:rsid w:val="119F1921"/>
    <w:rsid w:val="11C76C30"/>
    <w:rsid w:val="126E1D26"/>
    <w:rsid w:val="129B7938"/>
    <w:rsid w:val="12D302B4"/>
    <w:rsid w:val="147B530D"/>
    <w:rsid w:val="156C0D20"/>
    <w:rsid w:val="165D6CEA"/>
    <w:rsid w:val="177140C7"/>
    <w:rsid w:val="17861706"/>
    <w:rsid w:val="17894BA0"/>
    <w:rsid w:val="18193A21"/>
    <w:rsid w:val="18305897"/>
    <w:rsid w:val="18BF5497"/>
    <w:rsid w:val="19F57DE4"/>
    <w:rsid w:val="1A92240F"/>
    <w:rsid w:val="1B256297"/>
    <w:rsid w:val="1BC43817"/>
    <w:rsid w:val="1BFD04F9"/>
    <w:rsid w:val="1C384D89"/>
    <w:rsid w:val="1C89758B"/>
    <w:rsid w:val="1DAA72EF"/>
    <w:rsid w:val="1DC76DE1"/>
    <w:rsid w:val="1E76128E"/>
    <w:rsid w:val="1E7F11F2"/>
    <w:rsid w:val="1EDC1743"/>
    <w:rsid w:val="20746A5E"/>
    <w:rsid w:val="21012606"/>
    <w:rsid w:val="214751EC"/>
    <w:rsid w:val="21AD61D1"/>
    <w:rsid w:val="227F6650"/>
    <w:rsid w:val="229C1BA5"/>
    <w:rsid w:val="22AA72EE"/>
    <w:rsid w:val="233147B9"/>
    <w:rsid w:val="234A45AF"/>
    <w:rsid w:val="23F52C20"/>
    <w:rsid w:val="26A1116C"/>
    <w:rsid w:val="26DE1B49"/>
    <w:rsid w:val="288E4162"/>
    <w:rsid w:val="28971627"/>
    <w:rsid w:val="28981765"/>
    <w:rsid w:val="29F02177"/>
    <w:rsid w:val="29F31BAA"/>
    <w:rsid w:val="2B745F53"/>
    <w:rsid w:val="2C320B0E"/>
    <w:rsid w:val="2C397BF0"/>
    <w:rsid w:val="2C953A72"/>
    <w:rsid w:val="2CB61D3D"/>
    <w:rsid w:val="2CE21D7A"/>
    <w:rsid w:val="2D785E30"/>
    <w:rsid w:val="2DEB1164"/>
    <w:rsid w:val="2DF87D3F"/>
    <w:rsid w:val="2E4F7C8B"/>
    <w:rsid w:val="2EBC7FA8"/>
    <w:rsid w:val="305B594B"/>
    <w:rsid w:val="307A0079"/>
    <w:rsid w:val="3094675E"/>
    <w:rsid w:val="30D02A59"/>
    <w:rsid w:val="30FA0482"/>
    <w:rsid w:val="31484526"/>
    <w:rsid w:val="31870C9D"/>
    <w:rsid w:val="323F1A1D"/>
    <w:rsid w:val="32F4689E"/>
    <w:rsid w:val="333D1E64"/>
    <w:rsid w:val="334B0167"/>
    <w:rsid w:val="33F1569E"/>
    <w:rsid w:val="348E2456"/>
    <w:rsid w:val="35DA5B0F"/>
    <w:rsid w:val="36273F67"/>
    <w:rsid w:val="370F6B21"/>
    <w:rsid w:val="37A93AEF"/>
    <w:rsid w:val="38321708"/>
    <w:rsid w:val="39F712C4"/>
    <w:rsid w:val="3AE4026E"/>
    <w:rsid w:val="3B195DC2"/>
    <w:rsid w:val="3B2F420F"/>
    <w:rsid w:val="3B3874BA"/>
    <w:rsid w:val="3BFF235F"/>
    <w:rsid w:val="3C85162B"/>
    <w:rsid w:val="3D1F2212"/>
    <w:rsid w:val="3DE20CAA"/>
    <w:rsid w:val="3E3B75EF"/>
    <w:rsid w:val="3EA13686"/>
    <w:rsid w:val="3EF45B57"/>
    <w:rsid w:val="3F6A7B58"/>
    <w:rsid w:val="405014B2"/>
    <w:rsid w:val="40A50A25"/>
    <w:rsid w:val="4153527B"/>
    <w:rsid w:val="41622104"/>
    <w:rsid w:val="41C84591"/>
    <w:rsid w:val="42775F1B"/>
    <w:rsid w:val="42B17BD4"/>
    <w:rsid w:val="4403252A"/>
    <w:rsid w:val="45AA4758"/>
    <w:rsid w:val="47D85991"/>
    <w:rsid w:val="48983AA4"/>
    <w:rsid w:val="48DD7BF7"/>
    <w:rsid w:val="49A041C3"/>
    <w:rsid w:val="49B541A2"/>
    <w:rsid w:val="4A2D5208"/>
    <w:rsid w:val="4A49723B"/>
    <w:rsid w:val="4A762A79"/>
    <w:rsid w:val="4AA7327F"/>
    <w:rsid w:val="4AF3130C"/>
    <w:rsid w:val="4BA81794"/>
    <w:rsid w:val="4C1166DC"/>
    <w:rsid w:val="4C3856D5"/>
    <w:rsid w:val="4C79711B"/>
    <w:rsid w:val="4D202E4B"/>
    <w:rsid w:val="4D3B2D43"/>
    <w:rsid w:val="4F37325B"/>
    <w:rsid w:val="502547F9"/>
    <w:rsid w:val="54246D95"/>
    <w:rsid w:val="55FA184D"/>
    <w:rsid w:val="561B26B0"/>
    <w:rsid w:val="57BC7EBF"/>
    <w:rsid w:val="597A115C"/>
    <w:rsid w:val="598E457A"/>
    <w:rsid w:val="59D217EB"/>
    <w:rsid w:val="5A3141A2"/>
    <w:rsid w:val="5A5752C7"/>
    <w:rsid w:val="5A8E6F6F"/>
    <w:rsid w:val="5AD634AF"/>
    <w:rsid w:val="5B272E49"/>
    <w:rsid w:val="5B2D7DA1"/>
    <w:rsid w:val="5BC44ABA"/>
    <w:rsid w:val="5C0276AD"/>
    <w:rsid w:val="5CCC3412"/>
    <w:rsid w:val="5D293E00"/>
    <w:rsid w:val="5E6F4048"/>
    <w:rsid w:val="5F13239F"/>
    <w:rsid w:val="5F8D3C0A"/>
    <w:rsid w:val="60340051"/>
    <w:rsid w:val="61390E6A"/>
    <w:rsid w:val="61870E92"/>
    <w:rsid w:val="62110CC0"/>
    <w:rsid w:val="630B320C"/>
    <w:rsid w:val="63437B17"/>
    <w:rsid w:val="65675E96"/>
    <w:rsid w:val="65DA5751"/>
    <w:rsid w:val="65FB5072"/>
    <w:rsid w:val="660B00D3"/>
    <w:rsid w:val="662A05B2"/>
    <w:rsid w:val="66590328"/>
    <w:rsid w:val="67DF1C98"/>
    <w:rsid w:val="67EE1C9E"/>
    <w:rsid w:val="68E73F70"/>
    <w:rsid w:val="6A0E500E"/>
    <w:rsid w:val="6AAE2DBB"/>
    <w:rsid w:val="6ADC2D65"/>
    <w:rsid w:val="6AFE4916"/>
    <w:rsid w:val="6B7E315F"/>
    <w:rsid w:val="6BB22A33"/>
    <w:rsid w:val="6C270A6A"/>
    <w:rsid w:val="6C48088C"/>
    <w:rsid w:val="6E764989"/>
    <w:rsid w:val="6E7C5D34"/>
    <w:rsid w:val="6E842D33"/>
    <w:rsid w:val="6E927CF6"/>
    <w:rsid w:val="6ECC4D0C"/>
    <w:rsid w:val="6F402D2D"/>
    <w:rsid w:val="6F7A4B1E"/>
    <w:rsid w:val="700B106A"/>
    <w:rsid w:val="702C526E"/>
    <w:rsid w:val="703B6733"/>
    <w:rsid w:val="71E800C7"/>
    <w:rsid w:val="71EE4A43"/>
    <w:rsid w:val="724A3F6D"/>
    <w:rsid w:val="72BC285C"/>
    <w:rsid w:val="73155AC0"/>
    <w:rsid w:val="74913C6D"/>
    <w:rsid w:val="74F60CF4"/>
    <w:rsid w:val="77BD10F1"/>
    <w:rsid w:val="78D13B3F"/>
    <w:rsid w:val="78F07987"/>
    <w:rsid w:val="79603293"/>
    <w:rsid w:val="79664D3B"/>
    <w:rsid w:val="7A9B6AAC"/>
    <w:rsid w:val="7BE93476"/>
    <w:rsid w:val="7C08594B"/>
    <w:rsid w:val="7C5810E1"/>
    <w:rsid w:val="7D011820"/>
    <w:rsid w:val="7D62010B"/>
    <w:rsid w:val="7D93521C"/>
    <w:rsid w:val="7DFD20AA"/>
    <w:rsid w:val="7E8870B2"/>
    <w:rsid w:val="7ED763A7"/>
    <w:rsid w:val="7F356A4E"/>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1</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2024-07-24T00:24:10Z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