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78AE6">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14:paraId="3894420B">
      <w:pPr>
        <w:spacing w:line="800" w:lineRule="exact"/>
        <w:jc w:val="center"/>
        <w:rPr>
          <w:rFonts w:asciiTheme="majorEastAsia" w:hAnsiTheme="majorEastAsia" w:eastAsiaTheme="majorEastAsia"/>
          <w:b/>
          <w:bCs/>
          <w:spacing w:val="38"/>
          <w:sz w:val="72"/>
          <w:szCs w:val="72"/>
        </w:rPr>
      </w:pPr>
    </w:p>
    <w:p w14:paraId="057AE0D6">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14:paraId="0A8EBB2A">
      <w:pPr>
        <w:spacing w:line="500" w:lineRule="exact"/>
        <w:rPr>
          <w:rFonts w:asciiTheme="majorEastAsia" w:hAnsiTheme="majorEastAsia" w:eastAsiaTheme="majorEastAsia"/>
          <w:b/>
          <w:bCs/>
          <w:spacing w:val="38"/>
          <w:sz w:val="24"/>
        </w:rPr>
      </w:pPr>
    </w:p>
    <w:p w14:paraId="0D0ED950">
      <w:pPr>
        <w:autoSpaceDE w:val="0"/>
        <w:autoSpaceDN w:val="0"/>
        <w:adjustRightInd w:val="0"/>
        <w:spacing w:line="660" w:lineRule="exact"/>
        <w:ind w:firstLine="1260" w:firstLineChars="350"/>
        <w:rPr>
          <w:rFonts w:asciiTheme="majorEastAsia" w:hAnsiTheme="majorEastAsia" w:eastAsiaTheme="majorEastAsia"/>
          <w:sz w:val="36"/>
          <w:szCs w:val="36"/>
        </w:rPr>
      </w:pPr>
    </w:p>
    <w:p w14:paraId="0EB3CF1A">
      <w:pPr>
        <w:ind w:right="31" w:rightChars="15"/>
        <w:jc w:val="center"/>
        <w:rPr>
          <w:rFonts w:asciiTheme="majorEastAsia" w:hAnsiTheme="majorEastAsia" w:eastAsiaTheme="majorEastAsia"/>
          <w:sz w:val="36"/>
          <w:szCs w:val="36"/>
          <w:u w:val="single"/>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2024年职业健康体检服务项目</w:t>
      </w:r>
    </w:p>
    <w:p w14:paraId="6DB8EF5C">
      <w:pPr>
        <w:autoSpaceDE w:val="0"/>
        <w:autoSpaceDN w:val="0"/>
        <w:adjustRightInd w:val="0"/>
        <w:spacing w:line="500" w:lineRule="exact"/>
        <w:ind w:firstLine="3240" w:firstLineChars="900"/>
        <w:rPr>
          <w:rFonts w:asciiTheme="majorEastAsia" w:hAnsiTheme="majorEastAsia" w:eastAsiaTheme="majorEastAsia"/>
          <w:sz w:val="36"/>
          <w:szCs w:val="36"/>
        </w:rPr>
      </w:pPr>
    </w:p>
    <w:p w14:paraId="37ED6408">
      <w:pPr>
        <w:autoSpaceDE w:val="0"/>
        <w:autoSpaceDN w:val="0"/>
        <w:adjustRightInd w:val="0"/>
        <w:spacing w:line="660" w:lineRule="exact"/>
        <w:ind w:firstLine="2256" w:firstLineChars="600"/>
        <w:rPr>
          <w:rFonts w:hint="default" w:eastAsia="仿宋" w:asciiTheme="majorEastAsia" w:hAnsiTheme="majorEastAsia"/>
          <w:sz w:val="36"/>
          <w:szCs w:val="36"/>
          <w:lang w:val="en-US" w:eastAsia="zh-CN"/>
        </w:rPr>
      </w:pPr>
      <w:r>
        <w:rPr>
          <w:rFonts w:hint="eastAsia" w:ascii="仿宋" w:hAnsi="仿宋" w:eastAsia="仿宋"/>
          <w:b/>
          <w:bCs/>
          <w:spacing w:val="38"/>
          <w:sz w:val="30"/>
          <w:szCs w:val="30"/>
        </w:rPr>
        <w:t>项目编号：</w:t>
      </w:r>
      <w:r>
        <w:rPr>
          <w:rFonts w:ascii="仿宋" w:hAnsi="仿宋" w:eastAsia="仿宋"/>
          <w:b/>
          <w:bCs/>
          <w:spacing w:val="38"/>
          <w:sz w:val="30"/>
          <w:szCs w:val="30"/>
          <w:highlight w:val="none"/>
        </w:rPr>
        <w:t>HDGX-</w:t>
      </w:r>
      <w:r>
        <w:rPr>
          <w:rFonts w:ascii="仿宋" w:hAnsi="仿宋" w:eastAsia="仿宋"/>
          <w:b/>
          <w:bCs/>
          <w:spacing w:val="38"/>
          <w:sz w:val="30"/>
          <w:szCs w:val="30"/>
          <w:highlight w:val="none"/>
          <w:u w:val="single"/>
        </w:rPr>
        <w:t>2024</w:t>
      </w:r>
      <w:r>
        <w:rPr>
          <w:rFonts w:ascii="仿宋" w:hAnsi="仿宋" w:eastAsia="仿宋"/>
          <w:b/>
          <w:bCs/>
          <w:spacing w:val="38"/>
          <w:sz w:val="30"/>
          <w:szCs w:val="30"/>
          <w:highlight w:val="none"/>
        </w:rPr>
        <w:t>-</w:t>
      </w:r>
      <w:r>
        <w:rPr>
          <w:rFonts w:hint="eastAsia" w:ascii="仿宋" w:hAnsi="仿宋" w:eastAsia="仿宋"/>
          <w:b/>
          <w:bCs/>
          <w:spacing w:val="38"/>
          <w:sz w:val="30"/>
          <w:szCs w:val="30"/>
          <w:highlight w:val="none"/>
          <w:lang w:val="en-US" w:eastAsia="zh-CN"/>
        </w:rPr>
        <w:t>40</w:t>
      </w:r>
    </w:p>
    <w:p w14:paraId="3C4D9A75">
      <w:pPr>
        <w:spacing w:line="500" w:lineRule="exact"/>
        <w:rPr>
          <w:rFonts w:asciiTheme="majorEastAsia" w:hAnsiTheme="majorEastAsia" w:eastAsiaTheme="majorEastAsia"/>
          <w:sz w:val="36"/>
          <w:szCs w:val="36"/>
        </w:rPr>
      </w:pPr>
    </w:p>
    <w:p w14:paraId="4EB7AAB1">
      <w:pPr>
        <w:spacing w:line="500" w:lineRule="exact"/>
        <w:rPr>
          <w:rFonts w:asciiTheme="majorEastAsia" w:hAnsiTheme="majorEastAsia" w:eastAsiaTheme="majorEastAsia"/>
          <w:sz w:val="36"/>
          <w:szCs w:val="36"/>
        </w:rPr>
      </w:pPr>
    </w:p>
    <w:p w14:paraId="55F11EEC">
      <w:pPr>
        <w:spacing w:line="500" w:lineRule="exact"/>
        <w:ind w:firstLine="2640" w:firstLineChars="600"/>
        <w:rPr>
          <w:rFonts w:asciiTheme="majorEastAsia" w:hAnsiTheme="majorEastAsia" w:eastAsiaTheme="majorEastAsia"/>
          <w:sz w:val="44"/>
          <w:szCs w:val="44"/>
        </w:rPr>
      </w:pPr>
    </w:p>
    <w:p w14:paraId="2BD41BFF">
      <w:pPr>
        <w:spacing w:line="500" w:lineRule="exact"/>
        <w:ind w:firstLine="2640" w:firstLineChars="600"/>
        <w:rPr>
          <w:rFonts w:asciiTheme="majorEastAsia" w:hAnsiTheme="majorEastAsia" w:eastAsiaTheme="majorEastAsia"/>
          <w:sz w:val="44"/>
          <w:szCs w:val="44"/>
        </w:rPr>
      </w:pPr>
    </w:p>
    <w:p w14:paraId="6DD0413C">
      <w:pPr>
        <w:pStyle w:val="9"/>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成都恒达光学有限公司</w:t>
      </w:r>
    </w:p>
    <w:p w14:paraId="7B43F7DB">
      <w:pPr>
        <w:pStyle w:val="9"/>
        <w:spacing w:line="500" w:lineRule="exact"/>
        <w:ind w:firstLine="560"/>
        <w:jc w:val="center"/>
        <w:rPr>
          <w:rFonts w:asciiTheme="majorEastAsia" w:hAnsiTheme="majorEastAsia" w:eastAsiaTheme="majorEastAsia"/>
          <w:b/>
          <w:sz w:val="28"/>
          <w:szCs w:val="28"/>
        </w:rPr>
      </w:pPr>
    </w:p>
    <w:p w14:paraId="285F025D">
      <w:pPr>
        <w:pStyle w:val="9"/>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highlight w:val="none"/>
        </w:rPr>
        <w:t>二</w:t>
      </w:r>
      <w:r>
        <w:rPr>
          <w:rFonts w:asciiTheme="majorEastAsia" w:hAnsiTheme="majorEastAsia" w:eastAsiaTheme="majorEastAsia"/>
          <w:b/>
          <w:sz w:val="36"/>
          <w:szCs w:val="36"/>
          <w:highlight w:val="none"/>
        </w:rPr>
        <w:t>0</w:t>
      </w:r>
      <w:r>
        <w:rPr>
          <w:rFonts w:hint="eastAsia" w:asciiTheme="majorEastAsia" w:hAnsiTheme="majorEastAsia" w:eastAsiaTheme="majorEastAsia"/>
          <w:b/>
          <w:sz w:val="36"/>
          <w:szCs w:val="36"/>
          <w:highlight w:val="none"/>
        </w:rPr>
        <w:t>二四年</w:t>
      </w:r>
      <w:r>
        <w:rPr>
          <w:rFonts w:hint="eastAsia" w:asciiTheme="majorEastAsia" w:hAnsiTheme="majorEastAsia" w:eastAsiaTheme="majorEastAsia"/>
          <w:b/>
          <w:sz w:val="36"/>
          <w:szCs w:val="36"/>
          <w:highlight w:val="none"/>
          <w:lang w:val="en-US" w:eastAsia="zh-CN"/>
        </w:rPr>
        <w:t>七</w:t>
      </w:r>
      <w:r>
        <w:rPr>
          <w:rFonts w:hint="eastAsia" w:asciiTheme="majorEastAsia" w:hAnsiTheme="majorEastAsia" w:eastAsiaTheme="majorEastAsia"/>
          <w:b/>
          <w:sz w:val="36"/>
          <w:szCs w:val="36"/>
          <w:highlight w:val="none"/>
        </w:rPr>
        <w:t>月</w:t>
      </w:r>
    </w:p>
    <w:p w14:paraId="431A2D5F">
      <w:pPr>
        <w:rPr>
          <w:rFonts w:asciiTheme="majorEastAsia" w:hAnsiTheme="majorEastAsia" w:eastAsiaTheme="majorEastAsia"/>
        </w:rPr>
      </w:pPr>
    </w:p>
    <w:p w14:paraId="4EECFDB8">
      <w:pPr>
        <w:rPr>
          <w:rFonts w:asciiTheme="majorEastAsia" w:hAnsiTheme="majorEastAsia" w:eastAsiaTheme="majorEastAsia"/>
        </w:rPr>
      </w:pPr>
    </w:p>
    <w:p w14:paraId="1A75981F">
      <w:pPr>
        <w:rPr>
          <w:rFonts w:asciiTheme="majorEastAsia" w:hAnsiTheme="majorEastAsia" w:eastAsiaTheme="majorEastAsia"/>
        </w:rPr>
      </w:pPr>
    </w:p>
    <w:p w14:paraId="3F35E54A">
      <w:pPr>
        <w:rPr>
          <w:rFonts w:asciiTheme="majorEastAsia" w:hAnsiTheme="majorEastAsia" w:eastAsiaTheme="majorEastAsia"/>
        </w:rPr>
      </w:pPr>
    </w:p>
    <w:p w14:paraId="392EBCF3">
      <w:pPr>
        <w:rPr>
          <w:rFonts w:asciiTheme="majorEastAsia" w:hAnsiTheme="majorEastAsia" w:eastAsiaTheme="majorEastAsia"/>
        </w:rPr>
      </w:pPr>
    </w:p>
    <w:p w14:paraId="13A2EF84">
      <w:pPr>
        <w:rPr>
          <w:rFonts w:asciiTheme="majorEastAsia" w:hAnsiTheme="majorEastAsia" w:eastAsiaTheme="majorEastAsia"/>
        </w:rPr>
      </w:pPr>
    </w:p>
    <w:p w14:paraId="5374D186">
      <w:pPr>
        <w:rPr>
          <w:rFonts w:asciiTheme="majorEastAsia" w:hAnsiTheme="majorEastAsia" w:eastAsiaTheme="majorEastAsia"/>
        </w:rPr>
      </w:pPr>
    </w:p>
    <w:p w14:paraId="76379D35">
      <w:pPr>
        <w:spacing w:line="500" w:lineRule="exact"/>
        <w:jc w:val="center"/>
        <w:rPr>
          <w:rFonts w:asciiTheme="majorEastAsia" w:hAnsiTheme="majorEastAsia" w:eastAsiaTheme="majorEastAsia"/>
          <w:sz w:val="52"/>
        </w:rPr>
      </w:pPr>
    </w:p>
    <w:p w14:paraId="50BC6ED2">
      <w:pPr>
        <w:spacing w:line="500" w:lineRule="exact"/>
        <w:jc w:val="center"/>
        <w:rPr>
          <w:rFonts w:asciiTheme="majorEastAsia" w:hAnsiTheme="majorEastAsia" w:eastAsiaTheme="majorEastAsia"/>
          <w:sz w:val="52"/>
        </w:rPr>
      </w:pPr>
    </w:p>
    <w:p w14:paraId="5363FA09">
      <w:pPr>
        <w:spacing w:line="500" w:lineRule="exact"/>
        <w:jc w:val="center"/>
        <w:rPr>
          <w:rFonts w:asciiTheme="majorEastAsia" w:hAnsiTheme="majorEastAsia" w:eastAsiaTheme="majorEastAsia"/>
          <w:sz w:val="52"/>
        </w:rPr>
      </w:pPr>
    </w:p>
    <w:p w14:paraId="2210D4B1">
      <w:pPr>
        <w:spacing w:line="500" w:lineRule="exact"/>
        <w:jc w:val="center"/>
        <w:rPr>
          <w:rFonts w:asciiTheme="majorEastAsia" w:hAnsiTheme="majorEastAsia" w:eastAsiaTheme="majorEastAsia"/>
          <w:sz w:val="52"/>
        </w:rPr>
      </w:pPr>
    </w:p>
    <w:p w14:paraId="414E6F2B">
      <w:pPr>
        <w:spacing w:line="500" w:lineRule="exact"/>
        <w:jc w:val="center"/>
        <w:rPr>
          <w:rFonts w:asciiTheme="majorEastAsia" w:hAnsiTheme="majorEastAsia" w:eastAsiaTheme="majorEastAsia"/>
          <w:sz w:val="44"/>
          <w:szCs w:val="44"/>
        </w:rPr>
      </w:pPr>
    </w:p>
    <w:p w14:paraId="6DA5EA08">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14:paraId="1314B58E">
      <w:pPr>
        <w:spacing w:line="500" w:lineRule="exact"/>
        <w:jc w:val="center"/>
        <w:rPr>
          <w:rFonts w:asciiTheme="majorEastAsia" w:hAnsiTheme="majorEastAsia" w:eastAsiaTheme="majorEastAsia"/>
          <w:sz w:val="44"/>
        </w:rPr>
      </w:pPr>
    </w:p>
    <w:p w14:paraId="07BC75C3">
      <w:pPr>
        <w:spacing w:line="500" w:lineRule="exact"/>
        <w:jc w:val="center"/>
        <w:rPr>
          <w:rFonts w:asciiTheme="majorEastAsia" w:hAnsiTheme="majorEastAsia" w:eastAsiaTheme="majorEastAsia"/>
          <w:sz w:val="44"/>
        </w:rPr>
      </w:pPr>
    </w:p>
    <w:p w14:paraId="21A10DCE">
      <w:pPr>
        <w:spacing w:line="500" w:lineRule="exact"/>
        <w:jc w:val="center"/>
        <w:rPr>
          <w:rFonts w:asciiTheme="majorEastAsia" w:hAnsiTheme="majorEastAsia" w:eastAsiaTheme="majorEastAsia"/>
          <w:sz w:val="44"/>
        </w:rPr>
      </w:pPr>
    </w:p>
    <w:p w14:paraId="6EF03DD5">
      <w:pPr>
        <w:spacing w:line="500" w:lineRule="exact"/>
        <w:jc w:val="center"/>
        <w:rPr>
          <w:rFonts w:asciiTheme="majorEastAsia" w:hAnsiTheme="majorEastAsia" w:eastAsiaTheme="majorEastAsia"/>
          <w:sz w:val="44"/>
        </w:rPr>
      </w:pPr>
    </w:p>
    <w:p w14:paraId="5828A3A9">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5D45DF90">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12F45887">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 xml:space="preserve">服务内容…………………… </w:t>
      </w:r>
    </w:p>
    <w:p w14:paraId="6DE5FA2D">
      <w:pPr>
        <w:spacing w:before="100" w:beforeAutospacing="1" w:line="360" w:lineRule="auto"/>
        <w:ind w:firstLine="557" w:firstLineChars="199"/>
        <w:rPr>
          <w:rFonts w:hint="eastAsia" w:asciiTheme="majorEastAsia" w:hAnsiTheme="majorEastAsia" w:eastAsiaTheme="majorEastAsia"/>
          <w:sz w:val="28"/>
        </w:rPr>
      </w:pPr>
      <w:r>
        <w:rPr>
          <w:rFonts w:hint="eastAsia" w:asciiTheme="majorEastAsia" w:hAnsiTheme="majorEastAsia" w:eastAsiaTheme="majorEastAsia"/>
          <w:sz w:val="28"/>
        </w:rPr>
        <w:t>第四部分  服务技术要求…………………</w:t>
      </w:r>
    </w:p>
    <w:p w14:paraId="72F539BF">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第五部分  商务部分…………………</w:t>
      </w:r>
    </w:p>
    <w:p w14:paraId="356BAEB8">
      <w:pPr>
        <w:pStyle w:val="7"/>
        <w:spacing w:before="100" w:beforeAutospacing="1" w:line="360" w:lineRule="auto"/>
        <w:ind w:firstLine="560" w:firstLineChars="200"/>
        <w:rPr>
          <w:rFonts w:hint="eastAsia" w:asciiTheme="majorEastAsia" w:hAnsiTheme="majorEastAsia" w:eastAsiaTheme="majorEastAsia"/>
          <w:sz w:val="28"/>
        </w:rPr>
      </w:pPr>
      <w:r>
        <w:rPr>
          <w:rFonts w:hint="eastAsia" w:asciiTheme="majorEastAsia" w:hAnsiTheme="majorEastAsia" w:eastAsiaTheme="majorEastAsia"/>
          <w:sz w:val="28"/>
        </w:rPr>
        <w:t>第六部分  评分标准…………………………</w:t>
      </w:r>
    </w:p>
    <w:p w14:paraId="460936B8">
      <w:pPr>
        <w:pStyle w:val="7"/>
        <w:spacing w:before="100" w:beforeAutospacing="1" w:line="360" w:lineRule="auto"/>
        <w:ind w:firstLine="560" w:firstLineChars="200"/>
        <w:rPr>
          <w:rFonts w:asciiTheme="majorEastAsia" w:hAnsiTheme="majorEastAsia" w:eastAsiaTheme="majorEastAsia"/>
          <w:sz w:val="28"/>
        </w:rPr>
      </w:pPr>
      <w:r>
        <w:rPr>
          <w:rFonts w:hint="eastAsia" w:asciiTheme="majorEastAsia" w:hAnsiTheme="majorEastAsia" w:eastAsiaTheme="majorEastAsia"/>
          <w:sz w:val="28"/>
        </w:rPr>
        <w:t>第七部分</w:t>
      </w:r>
      <w:r>
        <w:rPr>
          <w:rFonts w:asciiTheme="majorEastAsia" w:hAnsiTheme="majorEastAsia" w:eastAsiaTheme="majorEastAsia"/>
          <w:sz w:val="28"/>
        </w:rPr>
        <w:t xml:space="preserve">  </w:t>
      </w:r>
      <w:r>
        <w:rPr>
          <w:rFonts w:hint="eastAsia" w:asciiTheme="majorEastAsia" w:hAnsiTheme="majorEastAsia" w:eastAsiaTheme="majorEastAsia"/>
          <w:sz w:val="28"/>
        </w:rPr>
        <w:t>报价文件组成…………………………</w:t>
      </w:r>
    </w:p>
    <w:p w14:paraId="5B688E80">
      <w:pPr>
        <w:rPr>
          <w:rFonts w:asciiTheme="majorEastAsia" w:hAnsiTheme="majorEastAsia" w:eastAsiaTheme="majorEastAsia"/>
          <w:sz w:val="20"/>
        </w:rPr>
      </w:pPr>
    </w:p>
    <w:p w14:paraId="4525326F">
      <w:pPr>
        <w:rPr>
          <w:rFonts w:asciiTheme="majorEastAsia" w:hAnsiTheme="majorEastAsia" w:eastAsiaTheme="majorEastAsia"/>
          <w:sz w:val="20"/>
        </w:rPr>
      </w:pPr>
    </w:p>
    <w:p w14:paraId="24DE7007">
      <w:pPr>
        <w:rPr>
          <w:rFonts w:asciiTheme="majorEastAsia" w:hAnsiTheme="majorEastAsia" w:eastAsiaTheme="majorEastAsia"/>
          <w:sz w:val="20"/>
        </w:rPr>
      </w:pPr>
    </w:p>
    <w:p w14:paraId="7D9F163B">
      <w:pPr>
        <w:rPr>
          <w:rFonts w:asciiTheme="majorEastAsia" w:hAnsiTheme="majorEastAsia" w:eastAsiaTheme="majorEastAsia"/>
          <w:sz w:val="20"/>
        </w:rPr>
      </w:pPr>
    </w:p>
    <w:p w14:paraId="0226B07C">
      <w:pPr>
        <w:rPr>
          <w:rFonts w:asciiTheme="majorEastAsia" w:hAnsiTheme="majorEastAsia" w:eastAsiaTheme="majorEastAsia"/>
          <w:sz w:val="20"/>
        </w:rPr>
      </w:pPr>
    </w:p>
    <w:p w14:paraId="142668C6">
      <w:pPr>
        <w:rPr>
          <w:rFonts w:asciiTheme="majorEastAsia" w:hAnsiTheme="majorEastAsia" w:eastAsiaTheme="majorEastAsia"/>
          <w:sz w:val="20"/>
        </w:rPr>
      </w:pPr>
    </w:p>
    <w:p w14:paraId="5BB8BD15">
      <w:pPr>
        <w:rPr>
          <w:rFonts w:asciiTheme="majorEastAsia" w:hAnsiTheme="majorEastAsia" w:eastAsiaTheme="majorEastAsia"/>
          <w:sz w:val="20"/>
        </w:rPr>
      </w:pPr>
    </w:p>
    <w:p w14:paraId="525F807E">
      <w:pPr>
        <w:rPr>
          <w:rFonts w:asciiTheme="majorEastAsia" w:hAnsiTheme="majorEastAsia" w:eastAsiaTheme="majorEastAsia"/>
          <w:sz w:val="20"/>
        </w:rPr>
      </w:pPr>
    </w:p>
    <w:p w14:paraId="5E2A4EF6">
      <w:pPr>
        <w:rPr>
          <w:rFonts w:asciiTheme="majorEastAsia" w:hAnsiTheme="majorEastAsia" w:eastAsiaTheme="majorEastAsia"/>
          <w:sz w:val="20"/>
        </w:rPr>
      </w:pPr>
    </w:p>
    <w:p w14:paraId="1F6EA9F5">
      <w:pPr>
        <w:rPr>
          <w:rFonts w:asciiTheme="majorEastAsia" w:hAnsiTheme="majorEastAsia" w:eastAsiaTheme="majorEastAsia"/>
          <w:sz w:val="20"/>
        </w:rPr>
      </w:pPr>
    </w:p>
    <w:p w14:paraId="0544B1C4">
      <w:pPr>
        <w:rPr>
          <w:rFonts w:asciiTheme="majorEastAsia" w:hAnsiTheme="majorEastAsia" w:eastAsiaTheme="majorEastAsia"/>
          <w:sz w:val="20"/>
        </w:rPr>
      </w:pPr>
    </w:p>
    <w:p w14:paraId="187D260B">
      <w:pPr>
        <w:rPr>
          <w:rFonts w:hint="eastAsia" w:asciiTheme="majorEastAsia" w:hAnsiTheme="majorEastAsia" w:eastAsiaTheme="majorEastAsia"/>
          <w:sz w:val="20"/>
        </w:rPr>
      </w:pPr>
    </w:p>
    <w:p w14:paraId="7336BA71">
      <w:pPr>
        <w:rPr>
          <w:rFonts w:hint="eastAsia" w:asciiTheme="majorEastAsia" w:hAnsiTheme="majorEastAsia" w:eastAsiaTheme="majorEastAsia"/>
          <w:sz w:val="20"/>
        </w:rPr>
      </w:pPr>
    </w:p>
    <w:p w14:paraId="14A1FEFA">
      <w:pPr>
        <w:rPr>
          <w:rFonts w:hint="eastAsia" w:asciiTheme="majorEastAsia" w:hAnsiTheme="majorEastAsia" w:eastAsiaTheme="majorEastAsia"/>
          <w:sz w:val="20"/>
        </w:rPr>
      </w:pPr>
    </w:p>
    <w:p w14:paraId="2737FD5F">
      <w:pPr>
        <w:rPr>
          <w:rFonts w:asciiTheme="majorEastAsia" w:hAnsiTheme="majorEastAsia" w:eastAsiaTheme="majorEastAsia"/>
          <w:sz w:val="20"/>
        </w:rPr>
      </w:pPr>
    </w:p>
    <w:p w14:paraId="5A1AD25A">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14:paraId="3848BF0B">
      <w:pPr>
        <w:spacing w:line="540" w:lineRule="exact"/>
        <w:jc w:val="left"/>
        <w:rPr>
          <w:rFonts w:asciiTheme="majorEastAsia" w:hAnsiTheme="majorEastAsia" w:eastAsiaTheme="majorEastAsia" w:cstheme="majorEastAsia"/>
          <w:bCs/>
          <w:sz w:val="28"/>
          <w:szCs w:val="28"/>
        </w:rPr>
      </w:pPr>
      <w:r>
        <w:rPr>
          <w:rFonts w:hint="eastAsia" w:asciiTheme="majorEastAsia" w:hAnsiTheme="majorEastAsia" w:eastAsiaTheme="majorEastAsia"/>
          <w:bCs/>
          <w:sz w:val="28"/>
          <w:szCs w:val="28"/>
        </w:rPr>
        <w:t>各</w:t>
      </w:r>
      <w:r>
        <w:rPr>
          <w:rFonts w:hint="eastAsia" w:asciiTheme="majorEastAsia" w:hAnsiTheme="majorEastAsia" w:eastAsiaTheme="majorEastAsia" w:cstheme="majorEastAsia"/>
          <w:bCs/>
          <w:sz w:val="28"/>
          <w:szCs w:val="28"/>
        </w:rPr>
        <w:t>供应商：</w:t>
      </w:r>
    </w:p>
    <w:p w14:paraId="273497C2">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成都恒达光学有限公司就本公司</w:t>
      </w:r>
      <w:r>
        <w:rPr>
          <w:rFonts w:hint="eastAsia" w:asciiTheme="majorEastAsia" w:hAnsiTheme="majorEastAsia" w:eastAsiaTheme="majorEastAsia" w:cstheme="majorEastAsia"/>
          <w:sz w:val="28"/>
          <w:szCs w:val="28"/>
          <w:u w:val="single"/>
        </w:rPr>
        <w:t>2024年度职业健康体检服务项目</w:t>
      </w:r>
      <w:r>
        <w:rPr>
          <w:rFonts w:hint="eastAsia" w:asciiTheme="majorEastAsia" w:hAnsiTheme="majorEastAsia" w:eastAsiaTheme="majorEastAsia" w:cstheme="majorEastAsia"/>
          <w:sz w:val="28"/>
          <w:szCs w:val="28"/>
        </w:rPr>
        <w:t>进行询价采购，欢迎具备相应资质的单位前来报价。</w:t>
      </w:r>
      <w:r>
        <w:rPr>
          <w:rFonts w:hint="eastAsia" w:asciiTheme="majorEastAsia" w:hAnsiTheme="majorEastAsia" w:eastAsiaTheme="majorEastAsia" w:cstheme="majorEastAsia"/>
          <w:bCs/>
          <w:sz w:val="28"/>
          <w:szCs w:val="28"/>
        </w:rPr>
        <w:t>公司本着“公开、公平、公正”的原则和“互利共赢、共同发展”的理念，热忱欢迎有意愿与我公司合作的潜在供应商积极参与报价。</w:t>
      </w:r>
    </w:p>
    <w:p w14:paraId="7890172C">
      <w:pPr>
        <w:spacing w:line="540" w:lineRule="exact"/>
        <w:rPr>
          <w:rFonts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一、询价采购项目说明：</w:t>
      </w:r>
    </w:p>
    <w:p w14:paraId="5E8DC2CA">
      <w:pPr>
        <w:spacing w:line="540" w:lineRule="exact"/>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项目内容如下：</w:t>
      </w:r>
    </w:p>
    <w:tbl>
      <w:tblPr>
        <w:tblStyle w:val="1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9"/>
        <w:gridCol w:w="4305"/>
        <w:gridCol w:w="3686"/>
      </w:tblGrid>
      <w:tr w14:paraId="2B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49" w:type="dxa"/>
          </w:tcPr>
          <w:p w14:paraId="6E57FF03">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服务项目</w:t>
            </w:r>
          </w:p>
        </w:tc>
        <w:tc>
          <w:tcPr>
            <w:tcW w:w="4305" w:type="dxa"/>
          </w:tcPr>
          <w:p w14:paraId="5F86D37E">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服务内容</w:t>
            </w:r>
          </w:p>
        </w:tc>
        <w:tc>
          <w:tcPr>
            <w:tcW w:w="3686" w:type="dxa"/>
          </w:tcPr>
          <w:p w14:paraId="23095D60">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技术标准</w:t>
            </w:r>
          </w:p>
        </w:tc>
      </w:tr>
      <w:tr w14:paraId="6C818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9" w:type="dxa"/>
          </w:tcPr>
          <w:p w14:paraId="241254AE">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2024年度职业健康体检服务项目</w:t>
            </w:r>
          </w:p>
        </w:tc>
        <w:tc>
          <w:tcPr>
            <w:tcW w:w="4305" w:type="dxa"/>
          </w:tcPr>
          <w:p w14:paraId="37F4BB2F">
            <w:pPr>
              <w:pStyle w:val="7"/>
              <w:spacing w:after="0"/>
              <w:ind w:firstLine="560" w:firstLineChars="200"/>
              <w:rPr>
                <w:rFonts w:eastAsia="微软雅黑" w:asciiTheme="majorEastAsia" w:hAnsiTheme="majorEastAsia" w:cstheme="majorEastAsia"/>
                <w:bCs/>
                <w:sz w:val="28"/>
                <w:szCs w:val="28"/>
              </w:rPr>
            </w:pPr>
            <w:r>
              <w:rPr>
                <w:rFonts w:hint="eastAsia"/>
                <w:sz w:val="28"/>
              </w:rPr>
              <w:t>根据我司提供的检查人员名册（含检查项目）及相关文件、资料</w:t>
            </w:r>
            <w:r>
              <w:rPr>
                <w:rFonts w:hint="eastAsia" w:asciiTheme="majorEastAsia" w:hAnsiTheme="majorEastAsia" w:eastAsiaTheme="majorEastAsia" w:cstheme="majorEastAsia"/>
                <w:bCs/>
                <w:sz w:val="28"/>
                <w:szCs w:val="28"/>
              </w:rPr>
              <w:t>，</w:t>
            </w:r>
            <w:r>
              <w:rPr>
                <w:rFonts w:hint="eastAsia"/>
                <w:sz w:val="28"/>
              </w:rPr>
              <w:t>提供年度内入职、在岗、离岗职业健康检查、复查服务，按时出具检查报告书等相关资料。</w:t>
            </w:r>
          </w:p>
        </w:tc>
        <w:tc>
          <w:tcPr>
            <w:tcW w:w="3686" w:type="dxa"/>
          </w:tcPr>
          <w:p w14:paraId="48F92CB5">
            <w:pPr>
              <w:spacing w:line="540" w:lineRule="exact"/>
              <w:rPr>
                <w:rFonts w:asciiTheme="majorEastAsia" w:hAnsiTheme="majorEastAsia" w:eastAsiaTheme="majorEastAsia" w:cstheme="majorEastAsia"/>
                <w:bCs/>
                <w:sz w:val="28"/>
                <w:szCs w:val="28"/>
              </w:rPr>
            </w:pPr>
            <w:r>
              <w:rPr>
                <w:rFonts w:hint="eastAsia"/>
                <w:sz w:val="28"/>
              </w:rPr>
              <w:t>依照《职业健康监护技术规范》（GBZ188-2014）、《放射工作人员职业健康监护技术规范》（GBZ235）等国家职业卫生标准的要求</w:t>
            </w:r>
          </w:p>
        </w:tc>
      </w:tr>
    </w:tbl>
    <w:p w14:paraId="0D71EA28">
      <w:pPr>
        <w:autoSpaceDE w:val="0"/>
        <w:autoSpaceDN w:val="0"/>
        <w:adjustRightInd w:val="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备注：一切涉及服务的费用均包含在总费用内！</w:t>
      </w:r>
    </w:p>
    <w:p w14:paraId="3DDFCE9D">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本服务项目有效期自合同签订之日起一年内有效。</w:t>
      </w:r>
    </w:p>
    <w:p w14:paraId="484D8FCF">
      <w:pPr>
        <w:spacing w:line="540" w:lineRule="exact"/>
        <w:rPr>
          <w:rFonts w:hint="default" w:asciiTheme="majorEastAsia" w:hAnsiTheme="majorEastAsia" w:eastAsiaTheme="majorEastAsia"/>
          <w:bCs/>
          <w:sz w:val="28"/>
          <w:szCs w:val="28"/>
          <w:lang w:val="en-US" w:eastAsia="zh-CN"/>
        </w:rPr>
      </w:pPr>
      <w:r>
        <w:rPr>
          <w:rFonts w:hint="eastAsia" w:asciiTheme="majorEastAsia" w:hAnsiTheme="majorEastAsia" w:eastAsiaTheme="majorEastAsia"/>
          <w:bCs/>
          <w:sz w:val="28"/>
          <w:szCs w:val="28"/>
        </w:rPr>
        <w:t>项目编号：</w:t>
      </w:r>
      <w:r>
        <w:rPr>
          <w:rFonts w:hint="eastAsia" w:asciiTheme="majorEastAsia" w:hAnsiTheme="majorEastAsia" w:eastAsiaTheme="majorEastAsia"/>
          <w:bCs/>
          <w:sz w:val="28"/>
          <w:szCs w:val="28"/>
          <w:highlight w:val="none"/>
        </w:rPr>
        <w:t>HDGX-</w:t>
      </w:r>
      <w:r>
        <w:rPr>
          <w:rFonts w:asciiTheme="majorEastAsia" w:hAnsiTheme="majorEastAsia" w:eastAsiaTheme="majorEastAsia"/>
          <w:bCs/>
          <w:sz w:val="28"/>
          <w:szCs w:val="28"/>
          <w:highlight w:val="none"/>
        </w:rPr>
        <w:t>2024</w:t>
      </w:r>
      <w:r>
        <w:rPr>
          <w:rFonts w:hint="eastAsia" w:asciiTheme="majorEastAsia" w:hAnsiTheme="majorEastAsia" w:eastAsiaTheme="majorEastAsia"/>
          <w:bCs/>
          <w:sz w:val="28"/>
          <w:szCs w:val="28"/>
          <w:highlight w:val="none"/>
        </w:rPr>
        <w:t>-</w:t>
      </w:r>
      <w:r>
        <w:rPr>
          <w:rFonts w:hint="eastAsia" w:asciiTheme="majorEastAsia" w:hAnsiTheme="majorEastAsia" w:eastAsiaTheme="majorEastAsia"/>
          <w:bCs/>
          <w:sz w:val="28"/>
          <w:szCs w:val="28"/>
          <w:highlight w:val="none"/>
          <w:lang w:val="en-US" w:eastAsia="zh-CN"/>
        </w:rPr>
        <w:t>40</w:t>
      </w:r>
    </w:p>
    <w:p w14:paraId="55895CF9">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二、供应商要求</w:t>
      </w:r>
    </w:p>
    <w:p w14:paraId="2604432B">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14:paraId="1A3EC4C0">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14:paraId="03332DB4">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rPr>
        <w:t>资质</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14:paraId="146BBD74">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14:paraId="265EA847">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询价采购项目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14:paraId="7435193A">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（五）考虑到服务的及时性，供应商办公地址应在大成都市范围内（12区5市3县）</w:t>
      </w:r>
    </w:p>
    <w:p w14:paraId="3BF1C96F">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highlight w:val="none"/>
        </w:rPr>
        <w:t xml:space="preserve">2024年 </w:t>
      </w:r>
      <w:r>
        <w:rPr>
          <w:rFonts w:hint="eastAsia" w:asciiTheme="majorEastAsia" w:hAnsiTheme="majorEastAsia" w:eastAsiaTheme="majorEastAsia"/>
          <w:sz w:val="28"/>
          <w:szCs w:val="28"/>
          <w:highlight w:val="none"/>
          <w:lang w:val="en-US" w:eastAsia="zh-CN"/>
        </w:rPr>
        <w:t>7</w:t>
      </w:r>
      <w:r>
        <w:rPr>
          <w:rFonts w:hint="eastAsia" w:asciiTheme="majorEastAsia" w:hAnsiTheme="majorEastAsia" w:eastAsiaTheme="majorEastAsia"/>
          <w:sz w:val="28"/>
          <w:szCs w:val="28"/>
          <w:highlight w:val="none"/>
        </w:rPr>
        <w:t>月</w:t>
      </w:r>
      <w:r>
        <w:rPr>
          <w:rFonts w:hint="eastAsia" w:asciiTheme="majorEastAsia" w:hAnsiTheme="majorEastAsia" w:eastAsiaTheme="majorEastAsia"/>
          <w:sz w:val="28"/>
          <w:szCs w:val="28"/>
          <w:highlight w:val="none"/>
          <w:lang w:val="en-US" w:eastAsia="zh-CN"/>
        </w:rPr>
        <w:t>23</w:t>
      </w:r>
      <w:r>
        <w:rPr>
          <w:rFonts w:hint="eastAsia" w:asciiTheme="majorEastAsia" w:hAnsiTheme="majorEastAsia" w:eastAsiaTheme="majorEastAsia"/>
          <w:sz w:val="28"/>
          <w:szCs w:val="28"/>
          <w:highlight w:val="none"/>
        </w:rPr>
        <w:t>日</w:t>
      </w:r>
      <w:r>
        <w:rPr>
          <w:rFonts w:asciiTheme="majorEastAsia" w:hAnsiTheme="majorEastAsia" w:eastAsiaTheme="majorEastAsia"/>
          <w:sz w:val="28"/>
          <w:szCs w:val="28"/>
          <w:highlight w:val="none"/>
        </w:rPr>
        <w:t>—</w:t>
      </w:r>
      <w:r>
        <w:rPr>
          <w:rFonts w:hint="eastAsia" w:asciiTheme="majorEastAsia" w:hAnsiTheme="majorEastAsia" w:eastAsiaTheme="majorEastAsia"/>
          <w:sz w:val="28"/>
          <w:szCs w:val="28"/>
          <w:highlight w:val="none"/>
        </w:rPr>
        <w:t xml:space="preserve"> 2024年</w:t>
      </w:r>
      <w:r>
        <w:rPr>
          <w:rFonts w:hint="eastAsia" w:asciiTheme="majorEastAsia" w:hAnsiTheme="majorEastAsia" w:eastAsiaTheme="majorEastAsia"/>
          <w:sz w:val="28"/>
          <w:szCs w:val="28"/>
          <w:highlight w:val="none"/>
          <w:lang w:val="en-US" w:eastAsia="zh-CN"/>
        </w:rPr>
        <w:t>7</w:t>
      </w:r>
      <w:r>
        <w:rPr>
          <w:rFonts w:hint="eastAsia" w:asciiTheme="majorEastAsia" w:hAnsiTheme="majorEastAsia" w:eastAsiaTheme="majorEastAsia"/>
          <w:sz w:val="28"/>
          <w:szCs w:val="28"/>
          <w:highlight w:val="none"/>
        </w:rPr>
        <w:t>月</w:t>
      </w:r>
      <w:r>
        <w:rPr>
          <w:rFonts w:hint="eastAsia" w:asciiTheme="majorEastAsia" w:hAnsiTheme="majorEastAsia" w:eastAsiaTheme="majorEastAsia"/>
          <w:sz w:val="28"/>
          <w:szCs w:val="28"/>
          <w:highlight w:val="none"/>
          <w:lang w:val="en-US" w:eastAsia="zh-CN"/>
        </w:rPr>
        <w:t>31</w:t>
      </w:r>
      <w:r>
        <w:rPr>
          <w:rFonts w:hint="eastAsia" w:asciiTheme="majorEastAsia" w:hAnsiTheme="majorEastAsia" w:eastAsiaTheme="majorEastAsia"/>
          <w:sz w:val="28"/>
          <w:szCs w:val="28"/>
          <w:highlight w:val="none"/>
        </w:rPr>
        <w:t>日</w:t>
      </w:r>
    </w:p>
    <w:p w14:paraId="73CB6860">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四、报价资料及递交要求</w:t>
      </w:r>
    </w:p>
    <w:p w14:paraId="03B6CE60">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bCs/>
          <w:sz w:val="28"/>
          <w:szCs w:val="28"/>
          <w:highlight w:val="none"/>
        </w:rPr>
        <w:t>（一）递交截止时间：</w:t>
      </w:r>
      <w:r>
        <w:rPr>
          <w:rFonts w:hint="eastAsia" w:asciiTheme="majorEastAsia" w:hAnsiTheme="majorEastAsia" w:eastAsiaTheme="majorEastAsia"/>
          <w:sz w:val="28"/>
          <w:szCs w:val="28"/>
          <w:highlight w:val="none"/>
        </w:rPr>
        <w:t>2024年</w:t>
      </w:r>
      <w:r>
        <w:rPr>
          <w:rFonts w:hint="eastAsia" w:asciiTheme="majorEastAsia" w:hAnsiTheme="majorEastAsia" w:eastAsiaTheme="majorEastAsia"/>
          <w:sz w:val="28"/>
          <w:szCs w:val="28"/>
          <w:highlight w:val="none"/>
          <w:lang w:val="en-US" w:eastAsia="zh-CN"/>
        </w:rPr>
        <w:t>7</w:t>
      </w:r>
      <w:r>
        <w:rPr>
          <w:rFonts w:hint="eastAsia" w:asciiTheme="majorEastAsia" w:hAnsiTheme="majorEastAsia" w:eastAsiaTheme="majorEastAsia"/>
          <w:sz w:val="28"/>
          <w:szCs w:val="28"/>
          <w:highlight w:val="none"/>
        </w:rPr>
        <w:t>月</w:t>
      </w:r>
      <w:r>
        <w:rPr>
          <w:rFonts w:hint="eastAsia" w:asciiTheme="majorEastAsia" w:hAnsiTheme="majorEastAsia" w:eastAsiaTheme="majorEastAsia"/>
          <w:sz w:val="28"/>
          <w:szCs w:val="28"/>
          <w:highlight w:val="none"/>
          <w:lang w:val="en-US" w:eastAsia="zh-CN"/>
        </w:rPr>
        <w:t>31</w:t>
      </w:r>
      <w:r>
        <w:rPr>
          <w:rFonts w:hint="eastAsia" w:asciiTheme="majorEastAsia" w:hAnsiTheme="majorEastAsia" w:eastAsiaTheme="majorEastAsia"/>
          <w:sz w:val="28"/>
          <w:szCs w:val="28"/>
          <w:highlight w:val="none"/>
        </w:rPr>
        <w:t>日</w:t>
      </w:r>
      <w:r>
        <w:rPr>
          <w:rFonts w:hint="eastAsia" w:asciiTheme="majorEastAsia" w:hAnsiTheme="majorEastAsia" w:eastAsiaTheme="majorEastAsia"/>
          <w:bCs/>
          <w:sz w:val="28"/>
          <w:szCs w:val="28"/>
          <w:highlight w:val="none"/>
        </w:rPr>
        <w:t>17：00 时前。</w:t>
      </w:r>
    </w:p>
    <w:p w14:paraId="732FEE7C">
      <w:pPr>
        <w:spacing w:line="540" w:lineRule="exact"/>
        <w:rPr>
          <w:rFonts w:ascii="宋体" w:hAnsi="宋体" w:cs="宋体"/>
          <w:sz w:val="28"/>
          <w:szCs w:val="28"/>
        </w:rPr>
      </w:pPr>
      <w:r>
        <w:rPr>
          <w:rFonts w:hint="eastAsia" w:asciiTheme="majorEastAsia" w:hAnsiTheme="majorEastAsia" w:eastAsiaTheme="majorEastAsia"/>
          <w:bCs/>
          <w:sz w:val="28"/>
          <w:szCs w:val="28"/>
        </w:rPr>
        <w:t>（二）</w:t>
      </w:r>
      <w:r>
        <w:rPr>
          <w:rFonts w:hint="eastAsia" w:ascii="宋体" w:hAnsi="宋体" w:cs="宋体"/>
          <w:bCs/>
          <w:sz w:val="28"/>
          <w:szCs w:val="28"/>
        </w:rPr>
        <w:t>递交地点：</w:t>
      </w:r>
      <w:r>
        <w:rPr>
          <w:rFonts w:hint="eastAsia" w:ascii="宋体" w:hAnsi="宋体" w:cs="宋体"/>
          <w:spacing w:val="12"/>
          <w:sz w:val="28"/>
          <w:szCs w:val="28"/>
        </w:rPr>
        <w:t>都江堰市经济开发区光泰路12号（成都恒达光学有限公司）</w:t>
      </w:r>
    </w:p>
    <w:p w14:paraId="0A59A2A1">
      <w:pPr>
        <w:spacing w:line="360" w:lineRule="auto"/>
        <w:rPr>
          <w:rFonts w:hint="default" w:ascii="宋体" w:hAnsi="宋体" w:eastAsia="宋体" w:cs="宋体"/>
          <w:spacing w:val="12"/>
          <w:sz w:val="28"/>
          <w:szCs w:val="28"/>
          <w:highlight w:val="none"/>
          <w:lang w:val="en-US" w:eastAsia="zh-CN"/>
        </w:rPr>
      </w:pPr>
      <w:r>
        <w:rPr>
          <w:rFonts w:hint="eastAsia" w:ascii="宋体" w:hAnsi="宋体" w:cs="宋体"/>
          <w:spacing w:val="12"/>
          <w:sz w:val="28"/>
          <w:szCs w:val="28"/>
          <w:highlight w:val="none"/>
        </w:rPr>
        <w:t>（三）询价咨询人：黄</w:t>
      </w:r>
      <w:r>
        <w:rPr>
          <w:rFonts w:hint="eastAsia" w:ascii="宋体" w:hAnsi="宋体" w:cs="宋体"/>
          <w:spacing w:val="12"/>
          <w:sz w:val="28"/>
          <w:szCs w:val="28"/>
          <w:highlight w:val="none"/>
          <w:lang w:val="en-US" w:eastAsia="zh-CN"/>
        </w:rPr>
        <w:t>益</w:t>
      </w:r>
      <w:r>
        <w:rPr>
          <w:rFonts w:hint="eastAsia" w:ascii="宋体" w:hAnsi="宋体" w:cs="宋体"/>
          <w:spacing w:val="12"/>
          <w:sz w:val="28"/>
          <w:szCs w:val="28"/>
          <w:highlight w:val="none"/>
        </w:rPr>
        <w:t xml:space="preserve"> </w:t>
      </w:r>
      <w:r>
        <w:rPr>
          <w:rFonts w:hint="eastAsia" w:ascii="宋体" w:hAnsi="宋体" w:cs="宋体"/>
          <w:spacing w:val="12"/>
          <w:sz w:val="28"/>
          <w:szCs w:val="28"/>
          <w:highlight w:val="none"/>
          <w:lang w:val="en-US" w:eastAsia="zh-CN"/>
        </w:rPr>
        <w:t>13056680047</w:t>
      </w:r>
    </w:p>
    <w:p w14:paraId="31500DB4">
      <w:pPr>
        <w:spacing w:line="360" w:lineRule="auto"/>
        <w:rPr>
          <w:rFonts w:hint="eastAsia" w:ascii="宋体" w:hAnsi="宋体" w:cs="宋体"/>
          <w:spacing w:val="12"/>
          <w:sz w:val="28"/>
          <w:szCs w:val="28"/>
          <w:highlight w:val="none"/>
        </w:rPr>
      </w:pPr>
      <w:r>
        <w:rPr>
          <w:rFonts w:hint="eastAsia" w:ascii="宋体" w:hAnsi="宋体" w:cs="宋体"/>
          <w:spacing w:val="12"/>
          <w:sz w:val="28"/>
          <w:szCs w:val="28"/>
          <w:highlight w:val="none"/>
        </w:rPr>
        <w:t>（四）询价采购监督人：刘瑾 13991095706</w:t>
      </w:r>
    </w:p>
    <w:p w14:paraId="1E6D9860">
      <w:pPr>
        <w:spacing w:line="360" w:lineRule="auto"/>
        <w:rPr>
          <w:rFonts w:ascii="宋体" w:hAnsi="宋体" w:cs="宋体"/>
          <w:spacing w:val="12"/>
          <w:sz w:val="28"/>
          <w:szCs w:val="28"/>
          <w:highlight w:val="none"/>
        </w:rPr>
      </w:pPr>
      <w:r>
        <w:rPr>
          <w:rFonts w:hint="eastAsia" w:ascii="宋体" w:hAnsi="宋体" w:cs="宋体"/>
          <w:spacing w:val="12"/>
          <w:sz w:val="28"/>
          <w:szCs w:val="28"/>
          <w:highlight w:val="none"/>
        </w:rPr>
        <w:t>（五）报价文件接</w:t>
      </w:r>
      <w:r>
        <w:rPr>
          <w:rFonts w:hint="eastAsia" w:ascii="宋体" w:hAnsi="宋体" w:cs="宋体"/>
          <w:spacing w:val="12"/>
          <w:sz w:val="28"/>
          <w:szCs w:val="28"/>
          <w:highlight w:val="none"/>
          <w:lang w:val="en-US" w:eastAsia="zh-CN"/>
        </w:rPr>
        <w:t>收</w:t>
      </w:r>
      <w:r>
        <w:rPr>
          <w:rFonts w:hint="eastAsia" w:ascii="宋体" w:hAnsi="宋体" w:cs="宋体"/>
          <w:spacing w:val="12"/>
          <w:sz w:val="28"/>
          <w:szCs w:val="28"/>
          <w:highlight w:val="none"/>
        </w:rPr>
        <w:t>人：赵姿然13699482248</w:t>
      </w:r>
    </w:p>
    <w:p w14:paraId="51F18C22">
      <w:pPr>
        <w:spacing w:line="540" w:lineRule="exact"/>
        <w:rPr>
          <w:rFonts w:ascii="宋体" w:hAnsi="宋体" w:cs="宋体"/>
          <w:sz w:val="28"/>
          <w:szCs w:val="28"/>
        </w:rPr>
      </w:pPr>
      <w:r>
        <w:rPr>
          <w:rFonts w:hint="eastAsia" w:ascii="宋体" w:hAnsi="宋体" w:cs="宋体"/>
          <w:bCs/>
          <w:sz w:val="28"/>
          <w:szCs w:val="28"/>
        </w:rPr>
        <w:t>（六）</w:t>
      </w:r>
      <w:r>
        <w:rPr>
          <w:rFonts w:hint="eastAsia" w:ascii="宋体" w:hAnsi="宋体" w:cs="宋体"/>
          <w:sz w:val="28"/>
          <w:szCs w:val="28"/>
        </w:rPr>
        <w:t>所提供的各类资料须分别加盖本企业鲜章</w:t>
      </w:r>
      <w:bookmarkStart w:id="12" w:name="_GoBack"/>
      <w:bookmarkEnd w:id="12"/>
    </w:p>
    <w:p w14:paraId="548DECB2">
      <w:pPr>
        <w:spacing w:line="540" w:lineRule="exact"/>
        <w:rPr>
          <w:rFonts w:asciiTheme="majorEastAsia" w:hAnsiTheme="majorEastAsia" w:eastAsiaTheme="majorEastAsia"/>
          <w:sz w:val="28"/>
          <w:szCs w:val="28"/>
        </w:rPr>
      </w:pPr>
      <w:r>
        <w:rPr>
          <w:rFonts w:hint="eastAsia" w:ascii="宋体" w:hAnsi="宋体" w:cs="宋体"/>
          <w:sz w:val="28"/>
          <w:szCs w:val="28"/>
        </w:rPr>
        <w:t>（七）全部报价文件资料需装订成册、密封，并</w:t>
      </w:r>
      <w:r>
        <w:rPr>
          <w:rFonts w:hint="eastAsia" w:asciiTheme="majorEastAsia" w:hAnsiTheme="majorEastAsia" w:eastAsiaTheme="majorEastAsia"/>
          <w:sz w:val="28"/>
          <w:szCs w:val="28"/>
        </w:rPr>
        <w:t>在密封处加盖本企业鲜章</w:t>
      </w:r>
    </w:p>
    <w:p w14:paraId="4FD5EF51">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（八）误发、迟发、非纸质方式发送报价文件或报价文件无公章的，视为无效资料。</w:t>
      </w:r>
    </w:p>
    <w:p w14:paraId="354AA32E">
      <w:pPr>
        <w:spacing w:line="540" w:lineRule="exact"/>
        <w:ind w:firstLine="560" w:firstLineChars="200"/>
        <w:rPr>
          <w:rFonts w:asciiTheme="majorEastAsia" w:hAnsiTheme="majorEastAsia" w:eastAsiaTheme="majorEastAsia"/>
          <w:sz w:val="28"/>
          <w:szCs w:val="28"/>
        </w:rPr>
      </w:pPr>
    </w:p>
    <w:p w14:paraId="1AC60DD9">
      <w:pPr>
        <w:spacing w:line="540" w:lineRule="exact"/>
        <w:ind w:firstLine="560" w:firstLineChars="200"/>
        <w:rPr>
          <w:rFonts w:asciiTheme="majorEastAsia" w:hAnsiTheme="majorEastAsia" w:eastAsiaTheme="majorEastAsia"/>
          <w:sz w:val="28"/>
          <w:szCs w:val="28"/>
        </w:rPr>
      </w:pPr>
    </w:p>
    <w:p w14:paraId="7ED548AC">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3691D241">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成都恒达光学有限公司</w:t>
      </w:r>
    </w:p>
    <w:p w14:paraId="26ED123F">
      <w:pPr>
        <w:spacing w:line="54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highlight w:val="none"/>
        </w:rPr>
        <w:t>二0二四年</w:t>
      </w:r>
      <w:r>
        <w:rPr>
          <w:rFonts w:hint="eastAsia" w:asciiTheme="majorEastAsia" w:hAnsiTheme="majorEastAsia" w:eastAsiaTheme="majorEastAsia"/>
          <w:sz w:val="28"/>
          <w:szCs w:val="28"/>
          <w:highlight w:val="none"/>
          <w:lang w:val="en-US" w:eastAsia="zh-CN"/>
        </w:rPr>
        <w:t>七</w:t>
      </w:r>
      <w:r>
        <w:rPr>
          <w:rFonts w:hint="eastAsia" w:asciiTheme="majorEastAsia" w:hAnsiTheme="majorEastAsia" w:eastAsiaTheme="majorEastAsia"/>
          <w:sz w:val="28"/>
          <w:szCs w:val="28"/>
          <w:highlight w:val="none"/>
        </w:rPr>
        <w:t>月</w:t>
      </w:r>
      <w:r>
        <w:rPr>
          <w:rFonts w:hint="eastAsia" w:asciiTheme="majorEastAsia" w:hAnsiTheme="majorEastAsia" w:eastAsiaTheme="majorEastAsia"/>
          <w:sz w:val="28"/>
          <w:szCs w:val="28"/>
          <w:highlight w:val="none"/>
          <w:lang w:val="en-US" w:eastAsia="zh-CN"/>
        </w:rPr>
        <w:t>二十三</w:t>
      </w:r>
      <w:r>
        <w:rPr>
          <w:rFonts w:hint="eastAsia" w:asciiTheme="majorEastAsia" w:hAnsiTheme="majorEastAsia" w:eastAsiaTheme="majorEastAsia"/>
          <w:sz w:val="28"/>
          <w:szCs w:val="28"/>
          <w:highlight w:val="none"/>
        </w:rPr>
        <w:t>日</w:t>
      </w:r>
    </w:p>
    <w:p w14:paraId="07B04AD3">
      <w:pPr>
        <w:spacing w:line="540" w:lineRule="exact"/>
        <w:ind w:firstLine="560" w:firstLineChars="200"/>
        <w:rPr>
          <w:rFonts w:asciiTheme="majorEastAsia" w:hAnsiTheme="majorEastAsia" w:eastAsiaTheme="majorEastAsia"/>
          <w:bCs/>
          <w:sz w:val="28"/>
          <w:szCs w:val="28"/>
        </w:rPr>
      </w:pPr>
    </w:p>
    <w:p w14:paraId="628DF36F">
      <w:pPr>
        <w:pStyle w:val="7"/>
        <w:rPr>
          <w:rFonts w:asciiTheme="majorEastAsia" w:hAnsiTheme="majorEastAsia" w:eastAsiaTheme="majorEastAsia"/>
          <w:bCs/>
          <w:sz w:val="28"/>
          <w:szCs w:val="28"/>
        </w:rPr>
      </w:pPr>
    </w:p>
    <w:p w14:paraId="141F653A">
      <w:pPr>
        <w:pStyle w:val="7"/>
      </w:pPr>
    </w:p>
    <w:p w14:paraId="3205F1B2">
      <w:pPr>
        <w:spacing w:line="540" w:lineRule="exact"/>
        <w:rPr>
          <w:rFonts w:asciiTheme="majorEastAsia" w:hAnsiTheme="majorEastAsia" w:eastAsiaTheme="majorEastAsia"/>
          <w:sz w:val="44"/>
          <w:szCs w:val="44"/>
        </w:rPr>
      </w:pPr>
    </w:p>
    <w:p w14:paraId="2430D612">
      <w:pPr>
        <w:spacing w:line="540" w:lineRule="exact"/>
        <w:rPr>
          <w:rFonts w:asciiTheme="majorEastAsia" w:hAnsiTheme="majorEastAsia" w:eastAsiaTheme="majorEastAsia"/>
          <w:sz w:val="44"/>
          <w:szCs w:val="44"/>
        </w:rPr>
      </w:pPr>
    </w:p>
    <w:p w14:paraId="53F88935">
      <w:pPr>
        <w:spacing w:line="540" w:lineRule="exact"/>
        <w:rPr>
          <w:rFonts w:hint="eastAsia" w:asciiTheme="majorEastAsia" w:hAnsiTheme="majorEastAsia" w:eastAsiaTheme="majorEastAsia"/>
          <w:sz w:val="44"/>
          <w:szCs w:val="44"/>
        </w:rPr>
      </w:pPr>
    </w:p>
    <w:p w14:paraId="239FC09E">
      <w:pPr>
        <w:spacing w:line="540" w:lineRule="exact"/>
        <w:rPr>
          <w:rFonts w:asciiTheme="majorEastAsia" w:hAnsiTheme="majorEastAsia" w:eastAsiaTheme="majorEastAsia"/>
          <w:sz w:val="44"/>
          <w:szCs w:val="44"/>
        </w:rPr>
      </w:pPr>
    </w:p>
    <w:p w14:paraId="11A26015">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14:paraId="3F7673F2">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6CCF2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20F5689E">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5D3536C3">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14:paraId="55C867E4">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14:paraId="66305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5D353B28">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08C61EDE">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4F7C20F0">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14:paraId="184C6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15004127">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60C6C07">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14:paraId="54633C19">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30D6CF88">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14:paraId="2D101D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1C0F64E9">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449D7DF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14:paraId="77B2F847">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009F7F70">
            <w:pPr>
              <w:pStyle w:val="26"/>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14:paraId="1050F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5CD164AD">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310CC2DD">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14:paraId="1EE2A79C">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233194F2">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14:paraId="3F7D65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413AA25F">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07FE6D7F">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14:paraId="17CB25F2">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14:paraId="00C06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02D9FD0">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2483414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14:paraId="71E1B894">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14:paraId="29373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69A4564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121817E3">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47B9CA3D">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14:paraId="3B7DB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DE206BA">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67603E10">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5843A8D7">
            <w:pPr>
              <w:pStyle w:val="26"/>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采用综合评标法确定最终供应商。</w:t>
            </w:r>
            <w:r>
              <w:rPr>
                <w:rFonts w:cs="仿宋_GB2312" w:asciiTheme="majorEastAsia" w:hAnsiTheme="majorEastAsia" w:eastAsiaTheme="majorEastAsia"/>
                <w:color w:val="FF0000"/>
                <w:sz w:val="28"/>
                <w:szCs w:val="28"/>
              </w:rPr>
              <w:t xml:space="preserve"> </w:t>
            </w:r>
          </w:p>
        </w:tc>
      </w:tr>
      <w:tr w14:paraId="3FE2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018D958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26812A32">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14:paraId="46DBC75C">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14:paraId="15A55F8B">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14:paraId="5EB9B295">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14:paraId="18122B4D">
            <w:pPr>
              <w:autoSpaceDE w:val="0"/>
              <w:autoSpaceDN w:val="0"/>
              <w:adjustRightInd w:val="0"/>
              <w:spacing w:line="440" w:lineRule="exact"/>
              <w:ind w:left="198"/>
              <w:jc w:val="left"/>
              <w:rPr>
                <w:rFonts w:hint="eastAsia"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4、报价人需提供属地卫生行政部门许可的职业健康检查有效资质。</w:t>
            </w:r>
          </w:p>
          <w:p w14:paraId="23C51DE8">
            <w:pPr>
              <w:autoSpaceDE w:val="0"/>
              <w:autoSpaceDN w:val="0"/>
              <w:adjustRightInd w:val="0"/>
              <w:spacing w:line="440" w:lineRule="exact"/>
              <w:ind w:left="198"/>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5、供应商营业执照(提供天眼查官网查询的“工商信息”页面截图，页面须清晰完整地体现“实缴资本”、“参保人员”、“生产经营场所”等详细信息。)</w:t>
            </w:r>
          </w:p>
          <w:p w14:paraId="029A98F9">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6、相关服务承诺。</w:t>
            </w:r>
          </w:p>
        </w:tc>
      </w:tr>
    </w:tbl>
    <w:p w14:paraId="7B29AFC4">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14:paraId="571795D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二、各供应商填报的单价均以人民币元为计价单位。</w:t>
      </w:r>
    </w:p>
    <w:p w14:paraId="2B32F16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14:paraId="107685EE">
      <w:pPr>
        <w:spacing w:line="540" w:lineRule="exact"/>
        <w:rPr>
          <w:rFonts w:asciiTheme="majorEastAsia" w:hAnsiTheme="majorEastAsia" w:eastAsiaTheme="majorEastAsia"/>
          <w:sz w:val="28"/>
          <w:szCs w:val="28"/>
        </w:rPr>
      </w:pPr>
      <w:r>
        <w:rPr>
          <w:rFonts w:hint="eastAsia" w:asciiTheme="majorEastAsia" w:hAnsiTheme="majorEastAsia" w:eastAsiaTheme="majorEastAsia"/>
          <w:b/>
          <w:bCs/>
          <w:sz w:val="28"/>
          <w:szCs w:val="28"/>
        </w:rPr>
        <w:t>四、下列情况将被视为无效报价文件：</w:t>
      </w:r>
    </w:p>
    <w:p w14:paraId="74D5ACF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14:paraId="7F2935E9">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14:paraId="7BCB5F0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14:paraId="750F2C90">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14:paraId="3720BB2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14:paraId="19AF4B2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14:paraId="2B0F67EF">
      <w:pPr>
        <w:spacing w:line="540" w:lineRule="exact"/>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14:paraId="03D68FB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五、评审工作按照成都恒达光学有限公司</w:t>
      </w:r>
      <w:bookmarkStart w:id="0" w:name="_Hlk33695163"/>
      <w:r>
        <w:rPr>
          <w:rFonts w:hint="eastAsia" w:asciiTheme="majorEastAsia" w:hAnsiTheme="majorEastAsia" w:eastAsiaTheme="majorEastAsia"/>
          <w:sz w:val="28"/>
          <w:szCs w:val="28"/>
        </w:rPr>
        <w:t>采购评审</w:t>
      </w:r>
      <w:bookmarkEnd w:id="0"/>
      <w:r>
        <w:rPr>
          <w:rFonts w:hint="eastAsia" w:asciiTheme="majorEastAsia" w:hAnsiTheme="majorEastAsia" w:eastAsiaTheme="majorEastAsia"/>
          <w:sz w:val="28"/>
          <w:szCs w:val="28"/>
        </w:rPr>
        <w:t>管理相关规定执行。</w:t>
      </w:r>
    </w:p>
    <w:p w14:paraId="1C9A7C7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AAEEB7">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供应商拒不进行澄清、说明、补正的，或者不能在规定时间内作出书面澄清、说明、补正的，报价文件将被视为无效报价文件。</w:t>
      </w:r>
    </w:p>
    <w:p w14:paraId="09A03F4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七、出现下列情形之一的，评审小组有权否决供应商的报价或取消采购活动：</w:t>
      </w:r>
    </w:p>
    <w:p w14:paraId="09E3DD4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14:paraId="25F1D23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14:paraId="4430EDD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14:paraId="370645A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（四）经评审认为所有报价文件都不符合询价文件要求的。</w:t>
      </w:r>
    </w:p>
    <w:p w14:paraId="5DE88D7F">
      <w:pPr>
        <w:spacing w:line="540" w:lineRule="exact"/>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14:paraId="155D760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（一）评审前对所有报价文件进行初审，确定其是否有效。</w:t>
      </w:r>
    </w:p>
    <w:p w14:paraId="39922BE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14:paraId="6AC9D0C0">
      <w:pPr>
        <w:spacing w:line="540" w:lineRule="exact"/>
        <w:rPr>
          <w:rFonts w:asciiTheme="majorEastAsia" w:hAnsiTheme="majorEastAsia" w:eastAsiaTheme="majorEastAsia"/>
          <w:b/>
          <w:bCs w:val="0"/>
          <w:sz w:val="28"/>
          <w:szCs w:val="28"/>
          <w:highlight w:val="none"/>
        </w:rPr>
      </w:pPr>
      <w:r>
        <w:rPr>
          <w:rFonts w:hint="eastAsia" w:asciiTheme="majorEastAsia" w:hAnsiTheme="majorEastAsia" w:eastAsiaTheme="majorEastAsia"/>
          <w:b/>
          <w:bCs w:val="0"/>
          <w:sz w:val="28"/>
          <w:szCs w:val="28"/>
          <w:highlight w:val="none"/>
        </w:rPr>
        <w:t>（三）评审标准：综合评分法</w:t>
      </w:r>
    </w:p>
    <w:p w14:paraId="0F24C5A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（四）在确定评审结果后，采购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将以《供应商确认通知单》通知参与此次采购的成交供应商。</w:t>
      </w:r>
    </w:p>
    <w:p w14:paraId="51E6E0F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14:paraId="7C0793F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所发出的《供应商确认通知单》10个工作日内与采购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签订正式采购合同；</w:t>
      </w:r>
    </w:p>
    <w:p w14:paraId="14AC377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和供应商均具有法律约束力；</w:t>
      </w:r>
    </w:p>
    <w:p w14:paraId="3AB93CD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改变成交结果的，或者供应商放弃成交项目的，应当依法承担法律责任。</w:t>
      </w:r>
    </w:p>
    <w:p w14:paraId="621513B5">
      <w:pPr>
        <w:spacing w:line="540" w:lineRule="exact"/>
        <w:rPr>
          <w:rFonts w:asciiTheme="majorEastAsia" w:hAnsiTheme="majorEastAsia" w:eastAsiaTheme="majorEastAsia"/>
          <w:b/>
          <w:bCs/>
          <w:sz w:val="32"/>
          <w:szCs w:val="32"/>
        </w:rPr>
      </w:pPr>
    </w:p>
    <w:p w14:paraId="02673590">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第三部分   服务内容</w:t>
      </w:r>
    </w:p>
    <w:p w14:paraId="365BECDC">
      <w:pPr>
        <w:pStyle w:val="7"/>
        <w:spacing w:after="0"/>
        <w:rPr>
          <w:sz w:val="28"/>
        </w:rPr>
      </w:pPr>
      <w:r>
        <w:rPr>
          <w:rFonts w:hint="eastAsia"/>
          <w:sz w:val="28"/>
        </w:rPr>
        <w:t>一、服务内容</w:t>
      </w:r>
    </w:p>
    <w:p w14:paraId="15F877F3">
      <w:pPr>
        <w:pStyle w:val="7"/>
        <w:spacing w:after="0"/>
        <w:ind w:firstLine="560" w:firstLineChars="200"/>
        <w:rPr>
          <w:sz w:val="28"/>
        </w:rPr>
      </w:pPr>
      <w:r>
        <w:rPr>
          <w:rFonts w:hint="eastAsia"/>
          <w:sz w:val="28"/>
        </w:rPr>
        <w:t>按采购</w:t>
      </w:r>
      <w:r>
        <w:rPr>
          <w:rFonts w:hint="eastAsia" w:asciiTheme="majorEastAsia" w:hAnsiTheme="majorEastAsia" w:eastAsiaTheme="majorEastAsia"/>
          <w:sz w:val="28"/>
          <w:szCs w:val="28"/>
          <w:lang w:val="en-US" w:eastAsia="zh-CN"/>
        </w:rPr>
        <w:t>方</w:t>
      </w:r>
      <w:r>
        <w:rPr>
          <w:rFonts w:hint="eastAsia"/>
          <w:sz w:val="28"/>
        </w:rPr>
        <w:t>需求，提供入职、在岗、离岗职业健康检查、复查服务，按时出具相应报告书等资料。服务时间为合同签订之日起1年有效。</w:t>
      </w:r>
    </w:p>
    <w:p w14:paraId="2E1CFA19">
      <w:pPr>
        <w:pStyle w:val="7"/>
        <w:spacing w:after="0"/>
        <w:ind w:firstLine="560" w:firstLineChars="200"/>
        <w:rPr>
          <w:rFonts w:hint="eastAsia"/>
          <w:sz w:val="28"/>
        </w:rPr>
      </w:pPr>
      <w:r>
        <w:rPr>
          <w:rFonts w:hint="eastAsia"/>
          <w:sz w:val="28"/>
        </w:rPr>
        <w:t>采购</w:t>
      </w:r>
      <w:r>
        <w:rPr>
          <w:rFonts w:hint="eastAsia" w:asciiTheme="majorEastAsia" w:hAnsiTheme="majorEastAsia" w:eastAsiaTheme="majorEastAsia"/>
          <w:sz w:val="28"/>
          <w:szCs w:val="28"/>
          <w:lang w:val="en-US" w:eastAsia="zh-CN"/>
        </w:rPr>
        <w:t>方</w:t>
      </w:r>
      <w:r>
        <w:rPr>
          <w:rFonts w:hint="eastAsia"/>
          <w:sz w:val="28"/>
        </w:rPr>
        <w:t>职业健康检查项目主要有</w:t>
      </w:r>
      <w:r>
        <w:rPr>
          <w:rFonts w:hint="eastAsia"/>
          <w:b/>
          <w:color w:val="000000" w:themeColor="text1"/>
          <w:sz w:val="28"/>
          <w14:textFill>
            <w14:solidFill>
              <w14:schemeClr w14:val="tx1"/>
            </w14:solidFill>
          </w14:textFill>
        </w:rPr>
        <w:t>其他粉尘、噪声、高温、手传振动、紫外辐射</w:t>
      </w:r>
      <w:r>
        <w:rPr>
          <w:rFonts w:hint="eastAsia"/>
          <w:color w:val="000000" w:themeColor="text1"/>
          <w:sz w:val="28"/>
          <w14:textFill>
            <w14:solidFill>
              <w14:schemeClr w14:val="tx1"/>
            </w14:solidFill>
          </w14:textFill>
        </w:rPr>
        <w:t>等，涉及岗位、人员数量具体见表1</w:t>
      </w:r>
      <w:r>
        <w:rPr>
          <w:rFonts w:hint="eastAsia"/>
          <w:sz w:val="28"/>
        </w:rPr>
        <w:t>。</w:t>
      </w:r>
    </w:p>
    <w:p w14:paraId="3FCA5C4A">
      <w:pPr>
        <w:pStyle w:val="7"/>
        <w:spacing w:after="0" w:line="400" w:lineRule="exact"/>
        <w:jc w:val="center"/>
        <w:rPr>
          <w:sz w:val="28"/>
        </w:rPr>
      </w:pPr>
      <w:r>
        <w:rPr>
          <w:rFonts w:hint="eastAsia"/>
          <w:sz w:val="28"/>
        </w:rPr>
        <w:t>附表1：  职业健康体检项目及人数表（仅供参考）</w:t>
      </w:r>
    </w:p>
    <w:tbl>
      <w:tblPr>
        <w:tblStyle w:val="18"/>
        <w:tblpPr w:leftFromText="180" w:rightFromText="180" w:vertAnchor="page" w:horzAnchor="margin" w:tblpY="1921"/>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134"/>
        <w:gridCol w:w="3402"/>
        <w:gridCol w:w="3402"/>
      </w:tblGrid>
      <w:tr w14:paraId="3E45C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04489820">
            <w:pPr>
              <w:jc w:val="center"/>
              <w:rPr>
                <w:b/>
                <w:bCs/>
                <w:sz w:val="24"/>
                <w:szCs w:val="32"/>
                <w:highlight w:val="none"/>
              </w:rPr>
            </w:pPr>
            <w:r>
              <w:rPr>
                <w:rFonts w:hint="eastAsia"/>
                <w:b/>
                <w:bCs/>
                <w:sz w:val="24"/>
                <w:szCs w:val="32"/>
                <w:highlight w:val="none"/>
              </w:rPr>
              <w:t>岗位</w:t>
            </w:r>
          </w:p>
        </w:tc>
        <w:tc>
          <w:tcPr>
            <w:tcW w:w="1134" w:type="dxa"/>
            <w:vAlign w:val="center"/>
          </w:tcPr>
          <w:p w14:paraId="03AF5746">
            <w:pPr>
              <w:jc w:val="center"/>
              <w:rPr>
                <w:b/>
                <w:bCs/>
                <w:sz w:val="24"/>
                <w:szCs w:val="32"/>
                <w:highlight w:val="none"/>
              </w:rPr>
            </w:pPr>
            <w:r>
              <w:rPr>
                <w:rFonts w:hint="eastAsia"/>
                <w:b/>
                <w:bCs/>
                <w:sz w:val="24"/>
                <w:szCs w:val="32"/>
                <w:highlight w:val="none"/>
              </w:rPr>
              <w:t>人数</w:t>
            </w:r>
          </w:p>
        </w:tc>
        <w:tc>
          <w:tcPr>
            <w:tcW w:w="3402" w:type="dxa"/>
            <w:vAlign w:val="center"/>
          </w:tcPr>
          <w:p w14:paraId="40246C7C">
            <w:pPr>
              <w:jc w:val="center"/>
              <w:rPr>
                <w:b/>
                <w:bCs/>
                <w:sz w:val="24"/>
                <w:szCs w:val="32"/>
                <w:highlight w:val="none"/>
              </w:rPr>
            </w:pPr>
            <w:r>
              <w:rPr>
                <w:rFonts w:hint="eastAsia"/>
                <w:b/>
                <w:bCs/>
                <w:sz w:val="24"/>
                <w:szCs w:val="32"/>
                <w:highlight w:val="none"/>
              </w:rPr>
              <w:t>接触职业病危害因素</w:t>
            </w:r>
          </w:p>
        </w:tc>
        <w:tc>
          <w:tcPr>
            <w:tcW w:w="3402" w:type="dxa"/>
            <w:vAlign w:val="center"/>
          </w:tcPr>
          <w:p w14:paraId="04C0D3E4">
            <w:pPr>
              <w:jc w:val="center"/>
              <w:rPr>
                <w:b/>
                <w:bCs/>
                <w:sz w:val="24"/>
                <w:szCs w:val="32"/>
                <w:highlight w:val="none"/>
              </w:rPr>
            </w:pPr>
            <w:r>
              <w:rPr>
                <w:rFonts w:hint="eastAsia"/>
                <w:b/>
                <w:bCs/>
                <w:sz w:val="24"/>
                <w:szCs w:val="32"/>
                <w:highlight w:val="none"/>
              </w:rPr>
              <w:t>应体检的项目</w:t>
            </w:r>
          </w:p>
        </w:tc>
      </w:tr>
      <w:tr w14:paraId="162B3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205581C6">
            <w:pPr>
              <w:jc w:val="center"/>
              <w:rPr>
                <w:sz w:val="24"/>
                <w:szCs w:val="32"/>
                <w:highlight w:val="none"/>
              </w:rPr>
            </w:pPr>
            <w:r>
              <w:rPr>
                <w:rFonts w:hint="eastAsia"/>
                <w:sz w:val="24"/>
                <w:szCs w:val="32"/>
                <w:highlight w:val="none"/>
              </w:rPr>
              <w:t>机切</w:t>
            </w:r>
          </w:p>
        </w:tc>
        <w:tc>
          <w:tcPr>
            <w:tcW w:w="1134" w:type="dxa"/>
            <w:vAlign w:val="center"/>
          </w:tcPr>
          <w:p w14:paraId="31FA9635">
            <w:pPr>
              <w:jc w:val="center"/>
              <w:rPr>
                <w:sz w:val="24"/>
                <w:szCs w:val="32"/>
                <w:highlight w:val="none"/>
              </w:rPr>
            </w:pPr>
            <w:r>
              <w:rPr>
                <w:rFonts w:hint="eastAsia"/>
                <w:sz w:val="24"/>
                <w:szCs w:val="32"/>
                <w:highlight w:val="none"/>
              </w:rPr>
              <w:t>1</w:t>
            </w:r>
          </w:p>
        </w:tc>
        <w:tc>
          <w:tcPr>
            <w:tcW w:w="3402" w:type="dxa"/>
            <w:vAlign w:val="center"/>
          </w:tcPr>
          <w:p w14:paraId="33EF91AD">
            <w:pPr>
              <w:jc w:val="center"/>
              <w:rPr>
                <w:sz w:val="24"/>
                <w:szCs w:val="32"/>
                <w:highlight w:val="none"/>
              </w:rPr>
            </w:pPr>
            <w:r>
              <w:rPr>
                <w:rFonts w:hint="eastAsia"/>
                <w:sz w:val="24"/>
                <w:szCs w:val="32"/>
                <w:highlight w:val="none"/>
              </w:rPr>
              <w:t>噪声</w:t>
            </w:r>
          </w:p>
        </w:tc>
        <w:tc>
          <w:tcPr>
            <w:tcW w:w="3402" w:type="dxa"/>
            <w:vAlign w:val="center"/>
          </w:tcPr>
          <w:p w14:paraId="6E85AF46">
            <w:pPr>
              <w:jc w:val="center"/>
              <w:rPr>
                <w:sz w:val="24"/>
                <w:szCs w:val="32"/>
                <w:highlight w:val="none"/>
              </w:rPr>
            </w:pPr>
            <w:r>
              <w:rPr>
                <w:rFonts w:hint="eastAsia"/>
                <w:sz w:val="24"/>
                <w:szCs w:val="32"/>
                <w:highlight w:val="none"/>
              </w:rPr>
              <w:t>噪声</w:t>
            </w:r>
          </w:p>
        </w:tc>
      </w:tr>
      <w:tr w14:paraId="2745D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5279C9F5">
            <w:pPr>
              <w:jc w:val="center"/>
              <w:rPr>
                <w:sz w:val="24"/>
                <w:szCs w:val="32"/>
                <w:highlight w:val="none"/>
              </w:rPr>
            </w:pPr>
            <w:r>
              <w:rPr>
                <w:rFonts w:hint="eastAsia"/>
                <w:sz w:val="24"/>
                <w:szCs w:val="32"/>
                <w:highlight w:val="none"/>
              </w:rPr>
              <w:t>压断</w:t>
            </w:r>
          </w:p>
        </w:tc>
        <w:tc>
          <w:tcPr>
            <w:tcW w:w="1134" w:type="dxa"/>
            <w:vAlign w:val="center"/>
          </w:tcPr>
          <w:p w14:paraId="1AAC6510">
            <w:pPr>
              <w:jc w:val="center"/>
              <w:rPr>
                <w:sz w:val="24"/>
                <w:szCs w:val="32"/>
                <w:highlight w:val="none"/>
              </w:rPr>
            </w:pPr>
            <w:r>
              <w:rPr>
                <w:rFonts w:hint="eastAsia"/>
                <w:sz w:val="24"/>
                <w:szCs w:val="32"/>
                <w:highlight w:val="none"/>
              </w:rPr>
              <w:t>1</w:t>
            </w:r>
          </w:p>
        </w:tc>
        <w:tc>
          <w:tcPr>
            <w:tcW w:w="3402" w:type="dxa"/>
            <w:vAlign w:val="center"/>
          </w:tcPr>
          <w:p w14:paraId="735BE4B6">
            <w:pPr>
              <w:jc w:val="center"/>
              <w:rPr>
                <w:sz w:val="24"/>
                <w:szCs w:val="32"/>
                <w:highlight w:val="none"/>
              </w:rPr>
            </w:pPr>
            <w:r>
              <w:rPr>
                <w:rFonts w:hint="eastAsia"/>
                <w:sz w:val="24"/>
                <w:szCs w:val="32"/>
                <w:highlight w:val="none"/>
              </w:rPr>
              <w:t>噪声</w:t>
            </w:r>
          </w:p>
        </w:tc>
        <w:tc>
          <w:tcPr>
            <w:tcW w:w="3402" w:type="dxa"/>
            <w:vAlign w:val="center"/>
          </w:tcPr>
          <w:p w14:paraId="37C8D02B">
            <w:pPr>
              <w:jc w:val="center"/>
              <w:rPr>
                <w:sz w:val="24"/>
                <w:szCs w:val="32"/>
                <w:highlight w:val="none"/>
              </w:rPr>
            </w:pPr>
            <w:r>
              <w:rPr>
                <w:rFonts w:hint="eastAsia"/>
                <w:sz w:val="24"/>
                <w:szCs w:val="32"/>
                <w:highlight w:val="none"/>
              </w:rPr>
              <w:t>噪声</w:t>
            </w:r>
          </w:p>
        </w:tc>
      </w:tr>
      <w:tr w14:paraId="40F0A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239ACBC7">
            <w:pPr>
              <w:jc w:val="center"/>
              <w:rPr>
                <w:sz w:val="24"/>
                <w:szCs w:val="32"/>
                <w:highlight w:val="none"/>
              </w:rPr>
            </w:pPr>
            <w:r>
              <w:rPr>
                <w:rFonts w:hint="eastAsia"/>
                <w:sz w:val="24"/>
                <w:szCs w:val="32"/>
                <w:highlight w:val="none"/>
              </w:rPr>
              <w:t>激光</w:t>
            </w:r>
          </w:p>
        </w:tc>
        <w:tc>
          <w:tcPr>
            <w:tcW w:w="1134" w:type="dxa"/>
            <w:vAlign w:val="center"/>
          </w:tcPr>
          <w:p w14:paraId="429C5658">
            <w:pPr>
              <w:jc w:val="center"/>
              <w:rPr>
                <w:sz w:val="24"/>
                <w:szCs w:val="32"/>
                <w:highlight w:val="none"/>
              </w:rPr>
            </w:pPr>
            <w:r>
              <w:rPr>
                <w:rFonts w:hint="eastAsia"/>
                <w:sz w:val="24"/>
                <w:szCs w:val="32"/>
                <w:highlight w:val="none"/>
              </w:rPr>
              <w:t>8</w:t>
            </w:r>
          </w:p>
        </w:tc>
        <w:tc>
          <w:tcPr>
            <w:tcW w:w="3402" w:type="dxa"/>
            <w:vAlign w:val="center"/>
          </w:tcPr>
          <w:p w14:paraId="01153ACB">
            <w:pPr>
              <w:jc w:val="center"/>
              <w:rPr>
                <w:rFonts w:hint="eastAsia" w:eastAsia="宋体"/>
                <w:sz w:val="24"/>
                <w:szCs w:val="32"/>
                <w:highlight w:val="none"/>
                <w:lang w:eastAsia="zh-CN"/>
              </w:rPr>
            </w:pPr>
            <w:r>
              <w:rPr>
                <w:rFonts w:hint="eastAsia"/>
                <w:sz w:val="24"/>
                <w:szCs w:val="32"/>
                <w:highlight w:val="none"/>
              </w:rPr>
              <w:t>噪声、</w:t>
            </w:r>
            <w:r>
              <w:rPr>
                <w:rFonts w:hint="eastAsia"/>
                <w:sz w:val="24"/>
                <w:szCs w:val="32"/>
                <w:highlight w:val="none"/>
                <w:lang w:val="en-US" w:eastAsia="zh-CN"/>
              </w:rPr>
              <w:t>激光辐射</w:t>
            </w:r>
          </w:p>
        </w:tc>
        <w:tc>
          <w:tcPr>
            <w:tcW w:w="3402" w:type="dxa"/>
            <w:vAlign w:val="center"/>
          </w:tcPr>
          <w:p w14:paraId="3BAE60BE">
            <w:pPr>
              <w:jc w:val="center"/>
              <w:rPr>
                <w:sz w:val="24"/>
                <w:szCs w:val="32"/>
                <w:highlight w:val="none"/>
              </w:rPr>
            </w:pPr>
            <w:r>
              <w:rPr>
                <w:rFonts w:hint="eastAsia"/>
                <w:sz w:val="24"/>
                <w:szCs w:val="32"/>
                <w:highlight w:val="none"/>
              </w:rPr>
              <w:t>噪声</w:t>
            </w:r>
          </w:p>
        </w:tc>
      </w:tr>
      <w:tr w14:paraId="60C92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7950030B">
            <w:pPr>
              <w:jc w:val="center"/>
              <w:rPr>
                <w:sz w:val="24"/>
                <w:szCs w:val="32"/>
                <w:highlight w:val="none"/>
              </w:rPr>
            </w:pPr>
            <w:r>
              <w:rPr>
                <w:rFonts w:hint="eastAsia"/>
                <w:sz w:val="24"/>
                <w:szCs w:val="32"/>
                <w:highlight w:val="none"/>
              </w:rPr>
              <w:t>切割</w:t>
            </w:r>
          </w:p>
        </w:tc>
        <w:tc>
          <w:tcPr>
            <w:tcW w:w="1134" w:type="dxa"/>
            <w:vAlign w:val="center"/>
          </w:tcPr>
          <w:p w14:paraId="09D5F448">
            <w:pPr>
              <w:jc w:val="center"/>
              <w:rPr>
                <w:sz w:val="24"/>
                <w:szCs w:val="32"/>
                <w:highlight w:val="none"/>
              </w:rPr>
            </w:pPr>
            <w:r>
              <w:rPr>
                <w:rFonts w:hint="eastAsia"/>
                <w:sz w:val="24"/>
                <w:szCs w:val="32"/>
                <w:highlight w:val="none"/>
              </w:rPr>
              <w:t>24</w:t>
            </w:r>
          </w:p>
        </w:tc>
        <w:tc>
          <w:tcPr>
            <w:tcW w:w="3402" w:type="dxa"/>
            <w:vAlign w:val="center"/>
          </w:tcPr>
          <w:p w14:paraId="0EF88E08">
            <w:pPr>
              <w:jc w:val="center"/>
              <w:rPr>
                <w:sz w:val="24"/>
                <w:szCs w:val="32"/>
                <w:highlight w:val="none"/>
              </w:rPr>
            </w:pPr>
            <w:r>
              <w:rPr>
                <w:rFonts w:hint="eastAsia"/>
                <w:sz w:val="24"/>
                <w:szCs w:val="32"/>
                <w:highlight w:val="none"/>
              </w:rPr>
              <w:t>噪声、手传振动、其他粉尘</w:t>
            </w:r>
          </w:p>
        </w:tc>
        <w:tc>
          <w:tcPr>
            <w:tcW w:w="3402" w:type="dxa"/>
            <w:vAlign w:val="center"/>
          </w:tcPr>
          <w:p w14:paraId="490E947F">
            <w:pPr>
              <w:jc w:val="center"/>
              <w:rPr>
                <w:sz w:val="24"/>
                <w:szCs w:val="32"/>
                <w:highlight w:val="none"/>
              </w:rPr>
            </w:pPr>
            <w:r>
              <w:rPr>
                <w:rFonts w:hint="eastAsia"/>
                <w:sz w:val="24"/>
                <w:szCs w:val="32"/>
                <w:highlight w:val="none"/>
                <w:lang w:val="en-US" w:eastAsia="zh-CN"/>
              </w:rPr>
              <w:t>噪声、</w:t>
            </w:r>
            <w:r>
              <w:rPr>
                <w:rFonts w:hint="eastAsia"/>
                <w:sz w:val="24"/>
                <w:szCs w:val="32"/>
                <w:highlight w:val="none"/>
              </w:rPr>
              <w:t>手传振动、其他粉尘</w:t>
            </w:r>
          </w:p>
        </w:tc>
      </w:tr>
      <w:tr w14:paraId="02230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659DCA17">
            <w:pPr>
              <w:jc w:val="center"/>
              <w:rPr>
                <w:sz w:val="24"/>
                <w:szCs w:val="32"/>
                <w:highlight w:val="none"/>
              </w:rPr>
            </w:pPr>
            <w:r>
              <w:rPr>
                <w:rFonts w:hint="eastAsia"/>
                <w:sz w:val="24"/>
                <w:szCs w:val="32"/>
                <w:highlight w:val="none"/>
              </w:rPr>
              <w:t>调整</w:t>
            </w:r>
          </w:p>
        </w:tc>
        <w:tc>
          <w:tcPr>
            <w:tcW w:w="1134" w:type="dxa"/>
            <w:vAlign w:val="center"/>
          </w:tcPr>
          <w:p w14:paraId="5AFE9E4F">
            <w:pPr>
              <w:jc w:val="center"/>
              <w:rPr>
                <w:sz w:val="24"/>
                <w:szCs w:val="32"/>
                <w:highlight w:val="none"/>
              </w:rPr>
            </w:pPr>
            <w:r>
              <w:rPr>
                <w:rFonts w:hint="eastAsia"/>
                <w:sz w:val="24"/>
                <w:szCs w:val="32"/>
                <w:highlight w:val="none"/>
              </w:rPr>
              <w:t>14</w:t>
            </w:r>
          </w:p>
        </w:tc>
        <w:tc>
          <w:tcPr>
            <w:tcW w:w="3402" w:type="dxa"/>
            <w:vAlign w:val="center"/>
          </w:tcPr>
          <w:p w14:paraId="3EDBBC86">
            <w:pPr>
              <w:jc w:val="center"/>
              <w:rPr>
                <w:sz w:val="24"/>
                <w:szCs w:val="32"/>
                <w:highlight w:val="none"/>
              </w:rPr>
            </w:pPr>
            <w:r>
              <w:rPr>
                <w:rFonts w:hint="eastAsia"/>
                <w:sz w:val="24"/>
                <w:szCs w:val="32"/>
                <w:highlight w:val="none"/>
              </w:rPr>
              <w:t>噪声、手传振动、其他粉尘、紫外辐射</w:t>
            </w:r>
          </w:p>
        </w:tc>
        <w:tc>
          <w:tcPr>
            <w:tcW w:w="3402" w:type="dxa"/>
            <w:vAlign w:val="center"/>
          </w:tcPr>
          <w:p w14:paraId="435ADD56">
            <w:pPr>
              <w:jc w:val="center"/>
              <w:rPr>
                <w:rFonts w:hint="default" w:eastAsia="宋体"/>
                <w:sz w:val="24"/>
                <w:szCs w:val="32"/>
                <w:highlight w:val="none"/>
                <w:lang w:val="en-US" w:eastAsia="zh-CN"/>
              </w:rPr>
            </w:pPr>
            <w:r>
              <w:rPr>
                <w:rFonts w:hint="eastAsia"/>
                <w:sz w:val="24"/>
                <w:szCs w:val="32"/>
                <w:highlight w:val="none"/>
              </w:rPr>
              <w:t>噪声、手传振动、紫外辐射</w:t>
            </w:r>
            <w:r>
              <w:rPr>
                <w:rFonts w:hint="eastAsia"/>
                <w:sz w:val="24"/>
                <w:szCs w:val="32"/>
                <w:highlight w:val="none"/>
                <w:lang w:eastAsia="zh-CN"/>
              </w:rPr>
              <w:t>、</w:t>
            </w:r>
            <w:r>
              <w:rPr>
                <w:rFonts w:hint="eastAsia"/>
                <w:sz w:val="24"/>
                <w:szCs w:val="32"/>
                <w:highlight w:val="none"/>
                <w:lang w:val="en-US" w:eastAsia="zh-CN"/>
              </w:rPr>
              <w:t>其他粉尘</w:t>
            </w:r>
          </w:p>
        </w:tc>
      </w:tr>
      <w:tr w14:paraId="516C3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01F00992">
            <w:pPr>
              <w:jc w:val="center"/>
              <w:rPr>
                <w:sz w:val="24"/>
                <w:szCs w:val="32"/>
                <w:highlight w:val="none"/>
              </w:rPr>
            </w:pPr>
            <w:r>
              <w:rPr>
                <w:rFonts w:hint="eastAsia"/>
                <w:sz w:val="24"/>
                <w:szCs w:val="32"/>
                <w:highlight w:val="none"/>
              </w:rPr>
              <w:t>滚料</w:t>
            </w:r>
          </w:p>
        </w:tc>
        <w:tc>
          <w:tcPr>
            <w:tcW w:w="1134" w:type="dxa"/>
            <w:vAlign w:val="center"/>
          </w:tcPr>
          <w:p w14:paraId="49B1B0BC">
            <w:pPr>
              <w:jc w:val="center"/>
              <w:rPr>
                <w:sz w:val="24"/>
                <w:szCs w:val="32"/>
                <w:highlight w:val="none"/>
              </w:rPr>
            </w:pPr>
            <w:r>
              <w:rPr>
                <w:rFonts w:hint="eastAsia"/>
                <w:sz w:val="24"/>
                <w:szCs w:val="32"/>
                <w:highlight w:val="none"/>
              </w:rPr>
              <w:t>6</w:t>
            </w:r>
          </w:p>
        </w:tc>
        <w:tc>
          <w:tcPr>
            <w:tcW w:w="3402" w:type="dxa"/>
            <w:vAlign w:val="center"/>
          </w:tcPr>
          <w:p w14:paraId="21518A13">
            <w:pPr>
              <w:jc w:val="center"/>
              <w:rPr>
                <w:sz w:val="24"/>
                <w:szCs w:val="32"/>
                <w:highlight w:val="none"/>
              </w:rPr>
            </w:pPr>
            <w:r>
              <w:rPr>
                <w:rFonts w:hint="eastAsia"/>
                <w:sz w:val="24"/>
                <w:szCs w:val="32"/>
                <w:highlight w:val="none"/>
              </w:rPr>
              <w:t>噪声、碳化硅粉尘</w:t>
            </w:r>
          </w:p>
        </w:tc>
        <w:tc>
          <w:tcPr>
            <w:tcW w:w="3402" w:type="dxa"/>
            <w:vAlign w:val="center"/>
          </w:tcPr>
          <w:p w14:paraId="21962F04">
            <w:pPr>
              <w:jc w:val="center"/>
              <w:rPr>
                <w:rFonts w:hint="default" w:eastAsia="宋体"/>
                <w:sz w:val="24"/>
                <w:szCs w:val="32"/>
                <w:highlight w:val="none"/>
                <w:lang w:val="en-US" w:eastAsia="zh-CN"/>
              </w:rPr>
            </w:pPr>
            <w:r>
              <w:rPr>
                <w:rFonts w:hint="eastAsia"/>
                <w:sz w:val="24"/>
                <w:szCs w:val="32"/>
                <w:highlight w:val="none"/>
              </w:rPr>
              <w:t>噪声</w:t>
            </w:r>
            <w:r>
              <w:rPr>
                <w:rFonts w:hint="eastAsia"/>
                <w:sz w:val="24"/>
                <w:szCs w:val="32"/>
                <w:highlight w:val="none"/>
                <w:lang w:eastAsia="zh-CN"/>
              </w:rPr>
              <w:t>、</w:t>
            </w:r>
            <w:r>
              <w:rPr>
                <w:rFonts w:hint="eastAsia"/>
                <w:sz w:val="24"/>
                <w:szCs w:val="32"/>
                <w:highlight w:val="none"/>
                <w:lang w:val="en-US" w:eastAsia="zh-CN"/>
              </w:rPr>
              <w:t>无机粉尘</w:t>
            </w:r>
          </w:p>
        </w:tc>
      </w:tr>
      <w:tr w14:paraId="524FC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7EB86ECE">
            <w:pPr>
              <w:jc w:val="center"/>
              <w:rPr>
                <w:sz w:val="24"/>
                <w:szCs w:val="32"/>
                <w:highlight w:val="none"/>
              </w:rPr>
            </w:pPr>
            <w:r>
              <w:rPr>
                <w:rFonts w:hint="eastAsia"/>
                <w:sz w:val="24"/>
                <w:szCs w:val="32"/>
                <w:highlight w:val="none"/>
              </w:rPr>
              <w:t>涂粉</w:t>
            </w:r>
          </w:p>
        </w:tc>
        <w:tc>
          <w:tcPr>
            <w:tcW w:w="1134" w:type="dxa"/>
            <w:vAlign w:val="center"/>
          </w:tcPr>
          <w:p w14:paraId="0F7567E9">
            <w:pPr>
              <w:jc w:val="center"/>
              <w:rPr>
                <w:sz w:val="24"/>
                <w:szCs w:val="32"/>
                <w:highlight w:val="none"/>
              </w:rPr>
            </w:pPr>
            <w:r>
              <w:rPr>
                <w:rFonts w:hint="eastAsia" w:cstheme="minorBidi"/>
                <w:sz w:val="24"/>
                <w:szCs w:val="32"/>
                <w:highlight w:val="none"/>
              </w:rPr>
              <w:t>2</w:t>
            </w:r>
          </w:p>
        </w:tc>
        <w:tc>
          <w:tcPr>
            <w:tcW w:w="3402" w:type="dxa"/>
            <w:vAlign w:val="center"/>
          </w:tcPr>
          <w:p w14:paraId="7EE66804">
            <w:pPr>
              <w:jc w:val="center"/>
              <w:rPr>
                <w:sz w:val="24"/>
                <w:szCs w:val="32"/>
                <w:highlight w:val="none"/>
              </w:rPr>
            </w:pPr>
            <w:r>
              <w:rPr>
                <w:rFonts w:hint="eastAsia"/>
                <w:sz w:val="24"/>
                <w:szCs w:val="32"/>
                <w:highlight w:val="none"/>
              </w:rPr>
              <w:t>噪声、其他粉尘、氮化硼</w:t>
            </w:r>
          </w:p>
        </w:tc>
        <w:tc>
          <w:tcPr>
            <w:tcW w:w="3402" w:type="dxa"/>
            <w:vAlign w:val="center"/>
          </w:tcPr>
          <w:p w14:paraId="6C1A4692">
            <w:pPr>
              <w:jc w:val="center"/>
              <w:rPr>
                <w:sz w:val="24"/>
                <w:szCs w:val="32"/>
                <w:highlight w:val="none"/>
              </w:rPr>
            </w:pPr>
            <w:r>
              <w:rPr>
                <w:rFonts w:hint="eastAsia"/>
                <w:sz w:val="24"/>
                <w:szCs w:val="32"/>
                <w:highlight w:val="none"/>
                <w:lang w:val="en-US" w:eastAsia="zh-CN"/>
              </w:rPr>
              <w:t>噪声、无机</w:t>
            </w:r>
            <w:r>
              <w:rPr>
                <w:rFonts w:hint="eastAsia"/>
                <w:sz w:val="24"/>
                <w:szCs w:val="32"/>
                <w:highlight w:val="none"/>
              </w:rPr>
              <w:t>粉尘</w:t>
            </w:r>
          </w:p>
        </w:tc>
      </w:tr>
      <w:tr w14:paraId="02512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182A6518">
            <w:pPr>
              <w:jc w:val="center"/>
              <w:rPr>
                <w:sz w:val="24"/>
                <w:szCs w:val="32"/>
                <w:highlight w:val="none"/>
              </w:rPr>
            </w:pPr>
            <w:r>
              <w:rPr>
                <w:rFonts w:hint="eastAsia"/>
                <w:sz w:val="24"/>
                <w:szCs w:val="32"/>
                <w:highlight w:val="none"/>
              </w:rPr>
              <w:t>压型</w:t>
            </w:r>
          </w:p>
        </w:tc>
        <w:tc>
          <w:tcPr>
            <w:tcW w:w="1134" w:type="dxa"/>
            <w:vAlign w:val="center"/>
          </w:tcPr>
          <w:p w14:paraId="0AB9E209">
            <w:pPr>
              <w:jc w:val="center"/>
              <w:rPr>
                <w:sz w:val="24"/>
                <w:szCs w:val="32"/>
                <w:highlight w:val="none"/>
              </w:rPr>
            </w:pPr>
            <w:r>
              <w:rPr>
                <w:rFonts w:hint="eastAsia" w:cstheme="minorBidi"/>
                <w:sz w:val="24"/>
                <w:szCs w:val="32"/>
                <w:highlight w:val="none"/>
              </w:rPr>
              <w:t>61</w:t>
            </w:r>
          </w:p>
        </w:tc>
        <w:tc>
          <w:tcPr>
            <w:tcW w:w="3402" w:type="dxa"/>
            <w:vAlign w:val="center"/>
          </w:tcPr>
          <w:p w14:paraId="5BE064BF">
            <w:pPr>
              <w:jc w:val="center"/>
              <w:rPr>
                <w:rFonts w:hint="default" w:eastAsia="宋体"/>
                <w:sz w:val="24"/>
                <w:szCs w:val="32"/>
                <w:highlight w:val="none"/>
                <w:lang w:val="en-US" w:eastAsia="zh-CN"/>
              </w:rPr>
            </w:pPr>
            <w:r>
              <w:rPr>
                <w:rFonts w:hint="eastAsia"/>
                <w:sz w:val="24"/>
                <w:szCs w:val="32"/>
                <w:highlight w:val="none"/>
                <w:lang w:val="en-US" w:eastAsia="zh-CN"/>
              </w:rPr>
              <w:t>噪声、高温、甲烷、一氧化碳、二氧化碳、红外辐射、氢氧化铝</w:t>
            </w:r>
          </w:p>
        </w:tc>
        <w:tc>
          <w:tcPr>
            <w:tcW w:w="3402" w:type="dxa"/>
            <w:vAlign w:val="center"/>
          </w:tcPr>
          <w:p w14:paraId="4D6B7E3E">
            <w:pPr>
              <w:jc w:val="center"/>
              <w:rPr>
                <w:sz w:val="24"/>
                <w:szCs w:val="32"/>
                <w:highlight w:val="none"/>
              </w:rPr>
            </w:pPr>
            <w:r>
              <w:rPr>
                <w:rFonts w:hint="eastAsia"/>
                <w:sz w:val="24"/>
                <w:szCs w:val="32"/>
                <w:highlight w:val="none"/>
              </w:rPr>
              <w:t>噪声、高温、一氧化碳、其他粉尘</w:t>
            </w:r>
          </w:p>
        </w:tc>
      </w:tr>
      <w:tr w14:paraId="4B5AC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3E30926B">
            <w:pPr>
              <w:jc w:val="center"/>
              <w:rPr>
                <w:sz w:val="24"/>
                <w:szCs w:val="32"/>
                <w:highlight w:val="none"/>
              </w:rPr>
            </w:pPr>
            <w:r>
              <w:rPr>
                <w:rFonts w:hint="eastAsia"/>
                <w:sz w:val="24"/>
                <w:szCs w:val="32"/>
                <w:highlight w:val="none"/>
              </w:rPr>
              <w:t>回火</w:t>
            </w:r>
          </w:p>
        </w:tc>
        <w:tc>
          <w:tcPr>
            <w:tcW w:w="1134" w:type="dxa"/>
            <w:vAlign w:val="center"/>
          </w:tcPr>
          <w:p w14:paraId="306C1D56">
            <w:pPr>
              <w:jc w:val="center"/>
              <w:rPr>
                <w:sz w:val="24"/>
                <w:szCs w:val="32"/>
                <w:highlight w:val="none"/>
              </w:rPr>
            </w:pPr>
            <w:r>
              <w:rPr>
                <w:rFonts w:hint="eastAsia" w:cstheme="minorBidi"/>
                <w:sz w:val="24"/>
                <w:szCs w:val="32"/>
                <w:highlight w:val="none"/>
              </w:rPr>
              <w:t>4</w:t>
            </w:r>
          </w:p>
        </w:tc>
        <w:tc>
          <w:tcPr>
            <w:tcW w:w="3402" w:type="dxa"/>
            <w:vAlign w:val="center"/>
          </w:tcPr>
          <w:p w14:paraId="5519D8CF">
            <w:pPr>
              <w:jc w:val="center"/>
              <w:rPr>
                <w:sz w:val="24"/>
                <w:szCs w:val="32"/>
                <w:highlight w:val="none"/>
              </w:rPr>
            </w:pPr>
            <w:r>
              <w:rPr>
                <w:rFonts w:hint="eastAsia"/>
                <w:sz w:val="24"/>
                <w:szCs w:val="32"/>
                <w:highlight w:val="none"/>
              </w:rPr>
              <w:t>噪声、高温</w:t>
            </w:r>
          </w:p>
        </w:tc>
        <w:tc>
          <w:tcPr>
            <w:tcW w:w="3402" w:type="dxa"/>
            <w:vAlign w:val="center"/>
          </w:tcPr>
          <w:p w14:paraId="6B5A6BAB">
            <w:pPr>
              <w:jc w:val="center"/>
              <w:rPr>
                <w:sz w:val="24"/>
                <w:szCs w:val="32"/>
                <w:highlight w:val="none"/>
              </w:rPr>
            </w:pPr>
            <w:r>
              <w:rPr>
                <w:rFonts w:hint="eastAsia"/>
                <w:sz w:val="24"/>
                <w:szCs w:val="32"/>
                <w:highlight w:val="none"/>
                <w:lang w:val="en-US" w:eastAsia="zh-CN"/>
              </w:rPr>
              <w:t>噪声、</w:t>
            </w:r>
            <w:r>
              <w:rPr>
                <w:rFonts w:hint="eastAsia"/>
                <w:sz w:val="24"/>
                <w:szCs w:val="32"/>
                <w:highlight w:val="none"/>
              </w:rPr>
              <w:t>高温</w:t>
            </w:r>
          </w:p>
        </w:tc>
      </w:tr>
      <w:tr w14:paraId="4F33A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42" w:type="dxa"/>
            <w:vAlign w:val="center"/>
          </w:tcPr>
          <w:p w14:paraId="5D72FE1E">
            <w:pPr>
              <w:jc w:val="center"/>
              <w:rPr>
                <w:sz w:val="24"/>
                <w:szCs w:val="32"/>
                <w:highlight w:val="none"/>
              </w:rPr>
            </w:pPr>
            <w:r>
              <w:rPr>
                <w:rFonts w:hint="eastAsia"/>
                <w:sz w:val="24"/>
                <w:szCs w:val="32"/>
                <w:highlight w:val="none"/>
              </w:rPr>
              <w:t>包装</w:t>
            </w:r>
          </w:p>
        </w:tc>
        <w:tc>
          <w:tcPr>
            <w:tcW w:w="1134" w:type="dxa"/>
            <w:vAlign w:val="center"/>
          </w:tcPr>
          <w:p w14:paraId="706DE449">
            <w:pPr>
              <w:jc w:val="center"/>
              <w:rPr>
                <w:sz w:val="24"/>
                <w:szCs w:val="32"/>
                <w:highlight w:val="none"/>
              </w:rPr>
            </w:pPr>
            <w:r>
              <w:rPr>
                <w:rFonts w:hint="eastAsia" w:cstheme="minorBidi"/>
                <w:sz w:val="24"/>
                <w:szCs w:val="32"/>
                <w:highlight w:val="none"/>
              </w:rPr>
              <w:t>8</w:t>
            </w:r>
          </w:p>
        </w:tc>
        <w:tc>
          <w:tcPr>
            <w:tcW w:w="3402" w:type="dxa"/>
            <w:vAlign w:val="center"/>
          </w:tcPr>
          <w:p w14:paraId="698FFFD0">
            <w:pPr>
              <w:jc w:val="center"/>
              <w:rPr>
                <w:sz w:val="24"/>
                <w:szCs w:val="32"/>
                <w:highlight w:val="none"/>
              </w:rPr>
            </w:pPr>
            <w:r>
              <w:rPr>
                <w:rFonts w:hint="eastAsia"/>
                <w:sz w:val="24"/>
                <w:szCs w:val="32"/>
                <w:highlight w:val="none"/>
              </w:rPr>
              <w:t>噪声、紫外辐射</w:t>
            </w:r>
          </w:p>
        </w:tc>
        <w:tc>
          <w:tcPr>
            <w:tcW w:w="3402" w:type="dxa"/>
            <w:vAlign w:val="center"/>
          </w:tcPr>
          <w:p w14:paraId="391E15FE">
            <w:pPr>
              <w:jc w:val="center"/>
              <w:rPr>
                <w:sz w:val="24"/>
                <w:szCs w:val="32"/>
                <w:highlight w:val="none"/>
              </w:rPr>
            </w:pPr>
            <w:r>
              <w:rPr>
                <w:rFonts w:hint="eastAsia"/>
                <w:sz w:val="24"/>
                <w:szCs w:val="32"/>
                <w:highlight w:val="none"/>
                <w:lang w:val="en-US" w:eastAsia="zh-CN"/>
              </w:rPr>
              <w:t>噪声、</w:t>
            </w:r>
            <w:r>
              <w:rPr>
                <w:rFonts w:hint="eastAsia"/>
                <w:sz w:val="24"/>
                <w:szCs w:val="32"/>
                <w:highlight w:val="none"/>
              </w:rPr>
              <w:t>紫外辐射</w:t>
            </w:r>
          </w:p>
        </w:tc>
      </w:tr>
      <w:tr w14:paraId="063C7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28E849A9">
            <w:pPr>
              <w:jc w:val="center"/>
              <w:rPr>
                <w:sz w:val="24"/>
                <w:szCs w:val="32"/>
                <w:highlight w:val="none"/>
              </w:rPr>
            </w:pPr>
            <w:r>
              <w:rPr>
                <w:rFonts w:hint="eastAsia"/>
                <w:sz w:val="24"/>
                <w:szCs w:val="32"/>
                <w:highlight w:val="none"/>
              </w:rPr>
              <w:t>设备、机修</w:t>
            </w:r>
          </w:p>
        </w:tc>
        <w:tc>
          <w:tcPr>
            <w:tcW w:w="1134" w:type="dxa"/>
            <w:vAlign w:val="center"/>
          </w:tcPr>
          <w:p w14:paraId="04EBF77D">
            <w:pPr>
              <w:jc w:val="center"/>
              <w:rPr>
                <w:sz w:val="24"/>
                <w:szCs w:val="32"/>
                <w:highlight w:val="none"/>
              </w:rPr>
            </w:pPr>
            <w:r>
              <w:rPr>
                <w:rFonts w:hint="eastAsia"/>
                <w:sz w:val="24"/>
                <w:szCs w:val="32"/>
                <w:highlight w:val="none"/>
              </w:rPr>
              <w:t>7</w:t>
            </w:r>
          </w:p>
        </w:tc>
        <w:tc>
          <w:tcPr>
            <w:tcW w:w="3402" w:type="dxa"/>
            <w:vAlign w:val="center"/>
          </w:tcPr>
          <w:p w14:paraId="71600CFD">
            <w:pPr>
              <w:jc w:val="center"/>
              <w:rPr>
                <w:sz w:val="24"/>
                <w:szCs w:val="32"/>
                <w:highlight w:val="none"/>
              </w:rPr>
            </w:pPr>
            <w:r>
              <w:rPr>
                <w:rFonts w:hint="eastAsia"/>
                <w:sz w:val="24"/>
                <w:szCs w:val="32"/>
                <w:highlight w:val="none"/>
              </w:rPr>
              <w:t>噪声、电焊弧光、电焊烟尘、锰及其无机化合物、一氧化碳、二氧化碳、氮氧化物</w:t>
            </w:r>
          </w:p>
        </w:tc>
        <w:tc>
          <w:tcPr>
            <w:tcW w:w="3402" w:type="dxa"/>
            <w:vAlign w:val="center"/>
          </w:tcPr>
          <w:p w14:paraId="5E83401C">
            <w:pPr>
              <w:jc w:val="center"/>
              <w:rPr>
                <w:sz w:val="24"/>
                <w:szCs w:val="32"/>
                <w:highlight w:val="none"/>
              </w:rPr>
            </w:pPr>
            <w:r>
              <w:rPr>
                <w:rFonts w:hint="eastAsia"/>
                <w:sz w:val="24"/>
                <w:szCs w:val="32"/>
                <w:highlight w:val="none"/>
              </w:rPr>
              <w:t>噪声、电焊烟尘、紫外辐射、锰及其无机化合物、电工作业</w:t>
            </w:r>
          </w:p>
        </w:tc>
      </w:tr>
      <w:tr w14:paraId="711FD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07E1683F">
            <w:pPr>
              <w:jc w:val="center"/>
              <w:rPr>
                <w:sz w:val="24"/>
                <w:szCs w:val="32"/>
                <w:highlight w:val="none"/>
              </w:rPr>
            </w:pPr>
            <w:r>
              <w:rPr>
                <w:rFonts w:hint="eastAsia"/>
                <w:sz w:val="24"/>
                <w:szCs w:val="32"/>
                <w:highlight w:val="none"/>
              </w:rPr>
              <w:t>巡检</w:t>
            </w:r>
          </w:p>
        </w:tc>
        <w:tc>
          <w:tcPr>
            <w:tcW w:w="1134" w:type="dxa"/>
            <w:vAlign w:val="center"/>
          </w:tcPr>
          <w:p w14:paraId="438A3FD2">
            <w:pPr>
              <w:jc w:val="center"/>
              <w:rPr>
                <w:sz w:val="24"/>
                <w:szCs w:val="32"/>
                <w:highlight w:val="none"/>
              </w:rPr>
            </w:pPr>
            <w:r>
              <w:rPr>
                <w:rFonts w:hint="eastAsia" w:cstheme="minorBidi"/>
                <w:sz w:val="24"/>
                <w:szCs w:val="32"/>
                <w:highlight w:val="none"/>
              </w:rPr>
              <w:t>9</w:t>
            </w:r>
          </w:p>
        </w:tc>
        <w:tc>
          <w:tcPr>
            <w:tcW w:w="3402" w:type="dxa"/>
            <w:vAlign w:val="center"/>
          </w:tcPr>
          <w:p w14:paraId="59EDF3B4">
            <w:pPr>
              <w:jc w:val="center"/>
              <w:rPr>
                <w:sz w:val="24"/>
                <w:szCs w:val="32"/>
                <w:highlight w:val="none"/>
              </w:rPr>
            </w:pPr>
            <w:r>
              <w:rPr>
                <w:rFonts w:hint="eastAsia"/>
                <w:sz w:val="24"/>
                <w:szCs w:val="32"/>
                <w:highlight w:val="none"/>
              </w:rPr>
              <w:t>噪声、高温</w:t>
            </w:r>
          </w:p>
        </w:tc>
        <w:tc>
          <w:tcPr>
            <w:tcW w:w="3402" w:type="dxa"/>
            <w:vAlign w:val="center"/>
          </w:tcPr>
          <w:p w14:paraId="1B3D4676">
            <w:pPr>
              <w:jc w:val="center"/>
              <w:rPr>
                <w:sz w:val="24"/>
                <w:szCs w:val="32"/>
                <w:highlight w:val="none"/>
              </w:rPr>
            </w:pPr>
            <w:r>
              <w:rPr>
                <w:rFonts w:hint="eastAsia"/>
                <w:sz w:val="24"/>
                <w:szCs w:val="32"/>
                <w:highlight w:val="none"/>
                <w:lang w:val="en-US" w:eastAsia="zh-CN"/>
              </w:rPr>
              <w:t>噪声、</w:t>
            </w:r>
            <w:r>
              <w:rPr>
                <w:rFonts w:hint="eastAsia"/>
                <w:sz w:val="24"/>
                <w:szCs w:val="32"/>
                <w:highlight w:val="none"/>
              </w:rPr>
              <w:t>高温</w:t>
            </w:r>
          </w:p>
        </w:tc>
      </w:tr>
      <w:tr w14:paraId="1EE45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2AF043F4">
            <w:pPr>
              <w:jc w:val="center"/>
              <w:rPr>
                <w:sz w:val="24"/>
                <w:szCs w:val="32"/>
                <w:highlight w:val="none"/>
              </w:rPr>
            </w:pPr>
            <w:r>
              <w:rPr>
                <w:rFonts w:hint="eastAsia" w:cstheme="minorBidi"/>
                <w:sz w:val="24"/>
                <w:szCs w:val="32"/>
                <w:highlight w:val="none"/>
              </w:rPr>
              <w:t>模具加工</w:t>
            </w:r>
          </w:p>
        </w:tc>
        <w:tc>
          <w:tcPr>
            <w:tcW w:w="1134" w:type="dxa"/>
            <w:vAlign w:val="center"/>
          </w:tcPr>
          <w:p w14:paraId="594CDD1B">
            <w:pPr>
              <w:jc w:val="center"/>
              <w:rPr>
                <w:sz w:val="24"/>
                <w:szCs w:val="32"/>
                <w:highlight w:val="none"/>
              </w:rPr>
            </w:pPr>
            <w:r>
              <w:rPr>
                <w:rFonts w:hint="eastAsia" w:cstheme="minorBidi"/>
                <w:sz w:val="24"/>
                <w:szCs w:val="32"/>
                <w:highlight w:val="none"/>
              </w:rPr>
              <w:t>5</w:t>
            </w:r>
          </w:p>
        </w:tc>
        <w:tc>
          <w:tcPr>
            <w:tcW w:w="3402" w:type="dxa"/>
            <w:vAlign w:val="center"/>
          </w:tcPr>
          <w:p w14:paraId="1C077F5F">
            <w:pPr>
              <w:jc w:val="center"/>
              <w:rPr>
                <w:sz w:val="24"/>
                <w:szCs w:val="32"/>
                <w:highlight w:val="none"/>
              </w:rPr>
            </w:pPr>
            <w:r>
              <w:rPr>
                <w:rFonts w:hint="eastAsia"/>
                <w:sz w:val="24"/>
                <w:szCs w:val="32"/>
                <w:highlight w:val="none"/>
              </w:rPr>
              <w:t>噪声、其他粉尘</w:t>
            </w:r>
          </w:p>
        </w:tc>
        <w:tc>
          <w:tcPr>
            <w:tcW w:w="3402" w:type="dxa"/>
            <w:vAlign w:val="center"/>
          </w:tcPr>
          <w:p w14:paraId="14A9502E">
            <w:pPr>
              <w:jc w:val="center"/>
              <w:rPr>
                <w:sz w:val="24"/>
                <w:szCs w:val="32"/>
                <w:highlight w:val="none"/>
              </w:rPr>
            </w:pPr>
            <w:r>
              <w:rPr>
                <w:rFonts w:hint="eastAsia"/>
                <w:sz w:val="24"/>
                <w:szCs w:val="32"/>
                <w:highlight w:val="none"/>
                <w:lang w:val="en-US" w:eastAsia="zh-CN"/>
              </w:rPr>
              <w:t>噪声、</w:t>
            </w:r>
            <w:r>
              <w:rPr>
                <w:rFonts w:hint="eastAsia"/>
                <w:sz w:val="24"/>
                <w:szCs w:val="32"/>
                <w:highlight w:val="none"/>
              </w:rPr>
              <w:t>其他粉尘</w:t>
            </w:r>
          </w:p>
        </w:tc>
      </w:tr>
      <w:tr w14:paraId="06108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6BB273BD">
            <w:pPr>
              <w:jc w:val="center"/>
              <w:rPr>
                <w:rFonts w:hint="eastAsia" w:cstheme="minorBidi"/>
                <w:sz w:val="24"/>
                <w:szCs w:val="32"/>
                <w:highlight w:val="none"/>
              </w:rPr>
            </w:pPr>
            <w:r>
              <w:rPr>
                <w:rFonts w:hint="eastAsia" w:cstheme="minorBidi"/>
                <w:sz w:val="24"/>
                <w:szCs w:val="32"/>
                <w:highlight w:val="none"/>
              </w:rPr>
              <w:t>分称</w:t>
            </w:r>
          </w:p>
        </w:tc>
        <w:tc>
          <w:tcPr>
            <w:tcW w:w="1134" w:type="dxa"/>
            <w:vAlign w:val="center"/>
          </w:tcPr>
          <w:p w14:paraId="3631A45F">
            <w:pPr>
              <w:jc w:val="center"/>
              <w:rPr>
                <w:rFonts w:hint="eastAsia" w:eastAsia="宋体" w:cstheme="minorBidi"/>
                <w:sz w:val="24"/>
                <w:szCs w:val="32"/>
                <w:highlight w:val="none"/>
                <w:lang w:val="en-US" w:eastAsia="zh-CN"/>
              </w:rPr>
            </w:pPr>
            <w:r>
              <w:rPr>
                <w:rFonts w:hint="eastAsia" w:cstheme="minorBidi"/>
                <w:sz w:val="24"/>
                <w:szCs w:val="32"/>
                <w:highlight w:val="none"/>
                <w:lang w:val="en-US" w:eastAsia="zh-CN"/>
              </w:rPr>
              <w:t>7</w:t>
            </w:r>
          </w:p>
        </w:tc>
        <w:tc>
          <w:tcPr>
            <w:tcW w:w="3402" w:type="dxa"/>
            <w:vAlign w:val="center"/>
          </w:tcPr>
          <w:p w14:paraId="757136B1">
            <w:pPr>
              <w:jc w:val="center"/>
              <w:rPr>
                <w:rFonts w:hint="eastAsia"/>
                <w:sz w:val="24"/>
                <w:szCs w:val="32"/>
                <w:highlight w:val="none"/>
              </w:rPr>
            </w:pPr>
            <w:r>
              <w:rPr>
                <w:rFonts w:hint="eastAsia"/>
                <w:sz w:val="24"/>
                <w:szCs w:val="32"/>
                <w:highlight w:val="none"/>
              </w:rPr>
              <w:t>噪声</w:t>
            </w:r>
          </w:p>
        </w:tc>
        <w:tc>
          <w:tcPr>
            <w:tcW w:w="3402" w:type="dxa"/>
            <w:vAlign w:val="center"/>
          </w:tcPr>
          <w:p w14:paraId="249FF0EE">
            <w:pPr>
              <w:jc w:val="center"/>
              <w:rPr>
                <w:rFonts w:hint="eastAsia"/>
                <w:sz w:val="24"/>
                <w:szCs w:val="32"/>
                <w:highlight w:val="none"/>
              </w:rPr>
            </w:pPr>
            <w:r>
              <w:rPr>
                <w:rFonts w:hint="eastAsia"/>
                <w:sz w:val="24"/>
                <w:szCs w:val="32"/>
                <w:highlight w:val="none"/>
              </w:rPr>
              <w:t>噪声</w:t>
            </w:r>
          </w:p>
        </w:tc>
      </w:tr>
      <w:tr w14:paraId="28786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42" w:type="dxa"/>
            <w:vAlign w:val="center"/>
          </w:tcPr>
          <w:p w14:paraId="76DF26B1">
            <w:pPr>
              <w:jc w:val="center"/>
              <w:rPr>
                <w:rFonts w:hint="eastAsia" w:eastAsia="宋体" w:cstheme="minorBidi"/>
                <w:sz w:val="24"/>
                <w:szCs w:val="32"/>
                <w:highlight w:val="none"/>
                <w:lang w:val="en-US" w:eastAsia="zh-CN"/>
              </w:rPr>
            </w:pPr>
            <w:r>
              <w:rPr>
                <w:rFonts w:hint="eastAsia" w:cstheme="minorBidi"/>
                <w:sz w:val="24"/>
                <w:szCs w:val="32"/>
                <w:highlight w:val="none"/>
                <w:lang w:val="en-US" w:eastAsia="zh-CN"/>
              </w:rPr>
              <w:t>炸料</w:t>
            </w:r>
          </w:p>
        </w:tc>
        <w:tc>
          <w:tcPr>
            <w:tcW w:w="1134" w:type="dxa"/>
            <w:vAlign w:val="center"/>
          </w:tcPr>
          <w:p w14:paraId="41E593E5">
            <w:pPr>
              <w:jc w:val="center"/>
              <w:rPr>
                <w:rFonts w:hint="default" w:cstheme="minorBidi"/>
                <w:sz w:val="24"/>
                <w:szCs w:val="32"/>
                <w:highlight w:val="none"/>
                <w:lang w:val="en-US" w:eastAsia="zh-CN"/>
              </w:rPr>
            </w:pPr>
            <w:r>
              <w:rPr>
                <w:rFonts w:hint="eastAsia" w:cstheme="minorBidi"/>
                <w:sz w:val="24"/>
                <w:szCs w:val="32"/>
                <w:highlight w:val="none"/>
                <w:lang w:val="en-US" w:eastAsia="zh-CN"/>
              </w:rPr>
              <w:t>3</w:t>
            </w:r>
          </w:p>
        </w:tc>
        <w:tc>
          <w:tcPr>
            <w:tcW w:w="3402" w:type="dxa"/>
            <w:vAlign w:val="center"/>
          </w:tcPr>
          <w:p w14:paraId="092F1E2C">
            <w:pPr>
              <w:jc w:val="center"/>
              <w:rPr>
                <w:rFonts w:hint="default" w:eastAsia="宋体"/>
                <w:sz w:val="24"/>
                <w:szCs w:val="32"/>
                <w:highlight w:val="none"/>
                <w:lang w:val="en-US" w:eastAsia="zh-CN"/>
              </w:rPr>
            </w:pPr>
            <w:r>
              <w:rPr>
                <w:rFonts w:hint="eastAsia"/>
                <w:sz w:val="24"/>
                <w:szCs w:val="32"/>
                <w:highlight w:val="none"/>
                <w:lang w:val="en-US" w:eastAsia="zh-CN"/>
              </w:rPr>
              <w:t>噪声、高温</w:t>
            </w:r>
          </w:p>
        </w:tc>
        <w:tc>
          <w:tcPr>
            <w:tcW w:w="3402" w:type="dxa"/>
            <w:vAlign w:val="center"/>
          </w:tcPr>
          <w:p w14:paraId="79F00B65">
            <w:pPr>
              <w:jc w:val="center"/>
              <w:rPr>
                <w:rFonts w:hint="default" w:eastAsia="宋体"/>
                <w:sz w:val="24"/>
                <w:szCs w:val="32"/>
                <w:highlight w:val="none"/>
                <w:lang w:val="en-US" w:eastAsia="zh-CN"/>
              </w:rPr>
            </w:pPr>
            <w:r>
              <w:rPr>
                <w:rFonts w:hint="eastAsia"/>
                <w:sz w:val="24"/>
                <w:szCs w:val="32"/>
                <w:highlight w:val="none"/>
                <w:lang w:val="en-US" w:eastAsia="zh-CN"/>
              </w:rPr>
              <w:t>噪声、高温</w:t>
            </w:r>
          </w:p>
        </w:tc>
      </w:tr>
    </w:tbl>
    <w:p w14:paraId="34FE3EC7">
      <w:pPr>
        <w:spacing w:line="540" w:lineRule="exact"/>
        <w:rPr>
          <w:rFonts w:asciiTheme="majorEastAsia" w:hAnsiTheme="majorEastAsia" w:eastAsiaTheme="majorEastAsia"/>
          <w:sz w:val="44"/>
          <w:szCs w:val="44"/>
        </w:rPr>
      </w:pPr>
    </w:p>
    <w:p w14:paraId="3E65C637">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第四部   服务技术要求</w:t>
      </w:r>
    </w:p>
    <w:p w14:paraId="0BD22B57">
      <w:pPr>
        <w:pStyle w:val="7"/>
        <w:spacing w:after="0"/>
        <w:rPr>
          <w:sz w:val="28"/>
        </w:rPr>
      </w:pPr>
      <w:r>
        <w:rPr>
          <w:rFonts w:hint="eastAsia"/>
          <w:sz w:val="28"/>
        </w:rPr>
        <w:t>一、检查要求</w:t>
      </w:r>
    </w:p>
    <w:p w14:paraId="1D711A44">
      <w:pPr>
        <w:pStyle w:val="7"/>
        <w:spacing w:after="0"/>
        <w:rPr>
          <w:sz w:val="28"/>
        </w:rPr>
      </w:pPr>
      <w:r>
        <w:rPr>
          <w:rFonts w:hint="eastAsia" w:ascii="方正舒体" w:eastAsia="方正舒体"/>
          <w:sz w:val="28"/>
        </w:rPr>
        <w:t>★</w:t>
      </w:r>
      <w:r>
        <w:rPr>
          <w:rFonts w:hint="eastAsia"/>
          <w:sz w:val="28"/>
        </w:rPr>
        <w:t>（一）检查依据：供应商应当依照《职业健康监护技术规范》（GBZ188-2014）、《放射工作人员职业健康监护技术规范》（GBZ235）等国家职业卫生标准的要求，</w:t>
      </w:r>
      <w:r>
        <w:rPr>
          <w:sz w:val="28"/>
        </w:rPr>
        <w:t xml:space="preserve"> </w:t>
      </w:r>
    </w:p>
    <w:p w14:paraId="2B4C1DB8">
      <w:pPr>
        <w:rPr>
          <w:color w:val="000000" w:themeColor="text1"/>
          <w:sz w:val="28"/>
          <w14:textFill>
            <w14:solidFill>
              <w14:schemeClr w14:val="tx1"/>
            </w14:solidFill>
          </w14:textFill>
        </w:rPr>
      </w:pPr>
      <w:r>
        <w:rPr>
          <w:rFonts w:hint="eastAsia" w:ascii="方正舒体" w:eastAsia="方正舒体"/>
          <w:color w:val="000000" w:themeColor="text1"/>
          <w:sz w:val="28"/>
          <w14:textFill>
            <w14:solidFill>
              <w14:schemeClr w14:val="tx1"/>
            </w14:solidFill>
          </w14:textFill>
        </w:rPr>
        <w:t>★</w:t>
      </w:r>
      <w:r>
        <w:rPr>
          <w:rFonts w:hint="eastAsia"/>
          <w:color w:val="000000" w:themeColor="text1"/>
          <w:sz w:val="28"/>
          <w14:textFill>
            <w14:solidFill>
              <w14:schemeClr w14:val="tx1"/>
            </w14:solidFill>
          </w14:textFill>
        </w:rPr>
        <w:t>（二）检查要求：供应商自带检查设备、器材、配备医疗检查人员。</w:t>
      </w:r>
    </w:p>
    <w:p w14:paraId="072C73E9">
      <w:pPr>
        <w:rPr>
          <w:color w:val="000000" w:themeColor="text1"/>
          <w:sz w:val="28"/>
          <w14:textFill>
            <w14:solidFill>
              <w14:schemeClr w14:val="tx1"/>
            </w14:solidFill>
          </w14:textFill>
        </w:rPr>
      </w:pPr>
      <w:r>
        <w:rPr>
          <w:rFonts w:hint="eastAsia" w:ascii="方正舒体" w:eastAsia="方正舒体"/>
          <w:color w:val="000000" w:themeColor="text1"/>
          <w:sz w:val="28"/>
          <w14:textFill>
            <w14:solidFill>
              <w14:schemeClr w14:val="tx1"/>
            </w14:solidFill>
          </w14:textFill>
        </w:rPr>
        <w:t>★</w:t>
      </w:r>
      <w:r>
        <w:rPr>
          <w:rFonts w:hint="eastAsia"/>
          <w:color w:val="000000" w:themeColor="text1"/>
          <w:sz w:val="28"/>
          <w14:textFill>
            <w14:solidFill>
              <w14:schemeClr w14:val="tx1"/>
            </w14:solidFill>
          </w14:textFill>
        </w:rPr>
        <w:t>（三）检查地点：根据以下不同的检查类别确定检查地点。</w:t>
      </w:r>
    </w:p>
    <w:p w14:paraId="3F8513FB">
      <w:pP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1.入职、离岗检查：都江堰工业园区内。</w:t>
      </w:r>
    </w:p>
    <w:p w14:paraId="61EB85BA">
      <w:pP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2.在岗检查：成都恒达光学有限公司厂区内。</w:t>
      </w:r>
    </w:p>
    <w:p w14:paraId="2AE80AB0">
      <w:pPr>
        <w:rPr>
          <w:sz w:val="28"/>
        </w:rPr>
      </w:pPr>
      <w:r>
        <w:rPr>
          <w:rFonts w:hint="eastAsia"/>
          <w:sz w:val="28"/>
        </w:rPr>
        <w:t>二、检查程序</w:t>
      </w:r>
    </w:p>
    <w:p w14:paraId="7627C5C6">
      <w:pPr>
        <w:rPr>
          <w:sz w:val="28"/>
        </w:rPr>
      </w:pPr>
      <w:r>
        <w:rPr>
          <w:rFonts w:hint="eastAsia"/>
          <w:sz w:val="28"/>
        </w:rPr>
        <w:t>（一）采购</w:t>
      </w:r>
      <w:r>
        <w:rPr>
          <w:rFonts w:hint="eastAsia"/>
          <w:sz w:val="28"/>
          <w:lang w:val="en-US" w:eastAsia="zh-CN"/>
        </w:rPr>
        <w:t>方</w:t>
      </w:r>
      <w:r>
        <w:rPr>
          <w:rFonts w:hint="eastAsia"/>
          <w:sz w:val="28"/>
        </w:rPr>
        <w:t>提前向供应商提前发送通知，并按照职业健康检查要求提供纸质版待检查人员名册及相关文件、资料。</w:t>
      </w:r>
    </w:p>
    <w:p w14:paraId="7F725FCB">
      <w:pPr>
        <w:rPr>
          <w:sz w:val="28"/>
        </w:rPr>
      </w:pPr>
      <w:r>
        <w:rPr>
          <w:rFonts w:hint="eastAsia" w:ascii="方正舒体" w:eastAsia="方正舒体"/>
          <w:sz w:val="28"/>
        </w:rPr>
        <w:t>★</w:t>
      </w:r>
      <w:r>
        <w:rPr>
          <w:rFonts w:hint="eastAsia"/>
          <w:sz w:val="28"/>
        </w:rPr>
        <w:t>（二）供应商接到采购人通知，应及时对采购人提供的文件、资料信息完整性进行检查，并在5天内组织实施职业健康检查，其中存在复查的，由双方协商确定检查时间。</w:t>
      </w:r>
    </w:p>
    <w:p w14:paraId="72983F45">
      <w:pPr>
        <w:rPr>
          <w:sz w:val="28"/>
        </w:rPr>
      </w:pPr>
      <w:r>
        <w:rPr>
          <w:rFonts w:hint="eastAsia" w:ascii="方正舒体" w:eastAsia="方正舒体"/>
          <w:sz w:val="28"/>
        </w:rPr>
        <w:t>★</w:t>
      </w:r>
      <w:r>
        <w:rPr>
          <w:rFonts w:hint="eastAsia"/>
          <w:sz w:val="28"/>
        </w:rPr>
        <w:t>（三）检查完成后15天内，供应商应向采购人出具纸质版检查报告，报告应包含职业健康检查总体检查报告书、职业健康检查个人检查报告书、职业健康检查检查禁忌症通知单（若有）、职业健康检查复（补）查通知单（若有）等。</w:t>
      </w:r>
    </w:p>
    <w:p w14:paraId="536AA297">
      <w:pPr>
        <w:pStyle w:val="7"/>
        <w:spacing w:after="0"/>
        <w:rPr>
          <w:sz w:val="28"/>
        </w:rPr>
      </w:pPr>
      <w:r>
        <w:rPr>
          <w:rFonts w:hint="eastAsia"/>
          <w:sz w:val="28"/>
        </w:rPr>
        <w:t>三、疫情防控：严格按照国家、地方的卫生健康主管部门的相关要求进行，并做好各项疫情防控工作。</w:t>
      </w:r>
    </w:p>
    <w:p w14:paraId="5DE4E98C">
      <w:pPr>
        <w:pStyle w:val="7"/>
        <w:spacing w:after="0"/>
        <w:rPr>
          <w:sz w:val="28"/>
        </w:rPr>
      </w:pPr>
      <w:r>
        <w:rPr>
          <w:rFonts w:hint="eastAsia"/>
          <w:sz w:val="28"/>
        </w:rPr>
        <w:t>四、其他要求：遵守</w:t>
      </w:r>
      <w:r>
        <w:rPr>
          <w:sz w:val="28"/>
        </w:rPr>
        <w:t>成都恒达光学有限公司</w:t>
      </w:r>
      <w:r>
        <w:rPr>
          <w:rFonts w:hint="eastAsia"/>
          <w:sz w:val="28"/>
        </w:rPr>
        <w:t>的各项管理制度（包含公司安全环保协议、相关保密要求等）、承诺保守在服务过程中获取的国家秘密及企业、个人秘密。</w:t>
      </w:r>
    </w:p>
    <w:p w14:paraId="55DE2803">
      <w:pPr>
        <w:spacing w:line="540" w:lineRule="exact"/>
        <w:jc w:val="center"/>
        <w:rPr>
          <w:rFonts w:asciiTheme="majorEastAsia" w:hAnsiTheme="majorEastAsia" w:eastAsiaTheme="majorEastAsia"/>
          <w:b/>
          <w:bCs/>
          <w:sz w:val="32"/>
          <w:szCs w:val="32"/>
        </w:rPr>
      </w:pPr>
    </w:p>
    <w:p w14:paraId="6945D60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第五部分   商务部分</w:t>
      </w:r>
    </w:p>
    <w:p w14:paraId="4DAB5940">
      <w:pPr>
        <w:spacing w:line="50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一、项目实施时间：从合同签署之日起1年。</w:t>
      </w:r>
    </w:p>
    <w:p w14:paraId="045A4335">
      <w:pPr>
        <w:spacing w:line="50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二、付款方法和条件</w:t>
      </w:r>
    </w:p>
    <w:p w14:paraId="63B42B6D">
      <w:pPr>
        <w:spacing w:line="500" w:lineRule="exact"/>
        <w:rPr>
          <w:rFonts w:asciiTheme="majorEastAsia" w:hAnsiTheme="majorEastAsia" w:eastAsiaTheme="majorEastAsia"/>
          <w:sz w:val="28"/>
          <w:szCs w:val="28"/>
        </w:rPr>
      </w:pPr>
      <w:r>
        <w:rPr>
          <w:rFonts w:hint="eastAsia" w:ascii="方正舒体" w:eastAsia="方正舒体" w:hAnsiTheme="majorEastAsia"/>
          <w:sz w:val="28"/>
          <w:szCs w:val="28"/>
        </w:rPr>
        <w:t>★</w:t>
      </w:r>
      <w:r>
        <w:rPr>
          <w:rFonts w:hint="eastAsia" w:asciiTheme="majorEastAsia" w:hAnsiTheme="majorEastAsia" w:eastAsiaTheme="majorEastAsia"/>
          <w:sz w:val="28"/>
          <w:szCs w:val="28"/>
        </w:rPr>
        <w:t>（一）每月20日，采购</w:t>
      </w:r>
      <w:r>
        <w:rPr>
          <w:rFonts w:hint="eastAsia"/>
          <w:sz w:val="28"/>
          <w:lang w:val="en-US" w:eastAsia="zh-CN"/>
        </w:rPr>
        <w:t>方</w:t>
      </w:r>
      <w:r>
        <w:rPr>
          <w:rFonts w:hint="eastAsia" w:asciiTheme="majorEastAsia" w:hAnsiTheme="majorEastAsia" w:eastAsiaTheme="majorEastAsia"/>
          <w:sz w:val="28"/>
          <w:szCs w:val="28"/>
        </w:rPr>
        <w:t>根据当月（上月21日至当月20日）收到的供应商实际出具的纸质检查报告数量、参照合同标明的检查项目及检查类别的收费标准拟订月度对账单发送给供应商，供应商核对无误后3天内开具发票，随同将签字盖章确认后的对账单至采购</w:t>
      </w:r>
      <w:r>
        <w:rPr>
          <w:rFonts w:hint="eastAsia"/>
          <w:sz w:val="28"/>
          <w:lang w:val="en-US" w:eastAsia="zh-CN"/>
        </w:rPr>
        <w:t>方</w:t>
      </w:r>
      <w:r>
        <w:rPr>
          <w:rFonts w:hint="eastAsia" w:asciiTheme="majorEastAsia" w:hAnsiTheme="majorEastAsia" w:eastAsiaTheme="majorEastAsia"/>
          <w:sz w:val="28"/>
          <w:szCs w:val="28"/>
        </w:rPr>
        <w:t>，采购</w:t>
      </w:r>
      <w:r>
        <w:rPr>
          <w:rFonts w:hint="eastAsia"/>
          <w:sz w:val="28"/>
          <w:lang w:val="en-US" w:eastAsia="zh-CN"/>
        </w:rPr>
        <w:t>方</w:t>
      </w:r>
      <w:r>
        <w:rPr>
          <w:rFonts w:hint="eastAsia" w:asciiTheme="majorEastAsia" w:hAnsiTheme="majorEastAsia" w:eastAsiaTheme="majorEastAsia"/>
          <w:sz w:val="28"/>
          <w:szCs w:val="28"/>
        </w:rPr>
        <w:t>办理付款手续。</w:t>
      </w:r>
    </w:p>
    <w:p w14:paraId="2493E6E3">
      <w:pPr>
        <w:spacing w:line="500" w:lineRule="exact"/>
        <w:rPr>
          <w:rFonts w:asciiTheme="majorEastAsia" w:hAnsiTheme="majorEastAsia" w:eastAsiaTheme="majorEastAsia"/>
          <w:sz w:val="28"/>
          <w:szCs w:val="28"/>
        </w:rPr>
      </w:pPr>
      <w:r>
        <w:rPr>
          <w:rFonts w:hint="eastAsia" w:ascii="方正舒体" w:eastAsia="方正舒体" w:hAnsiTheme="majorEastAsia"/>
          <w:sz w:val="28"/>
          <w:szCs w:val="28"/>
        </w:rPr>
        <w:t>★</w:t>
      </w:r>
      <w:r>
        <w:rPr>
          <w:rFonts w:hint="eastAsia" w:asciiTheme="majorEastAsia" w:hAnsiTheme="majorEastAsia" w:eastAsiaTheme="majorEastAsia"/>
          <w:sz w:val="28"/>
          <w:szCs w:val="28"/>
        </w:rPr>
        <w:t>（二）检查费用采取当月挂账次月支付的原则支付。</w:t>
      </w:r>
    </w:p>
    <w:p w14:paraId="07F67061">
      <w:pPr>
        <w:adjustRightInd w:val="0"/>
        <w:spacing w:line="500" w:lineRule="exact"/>
        <w:textAlignment w:val="baseline"/>
        <w:rPr>
          <w:rFonts w:asciiTheme="majorEastAsia" w:hAnsiTheme="majorEastAsia" w:eastAsiaTheme="majorEastAsia"/>
          <w:sz w:val="28"/>
          <w:szCs w:val="28"/>
        </w:rPr>
      </w:pPr>
      <w:r>
        <w:rPr>
          <w:rFonts w:hint="eastAsia" w:asciiTheme="majorEastAsia" w:hAnsiTheme="majorEastAsia" w:eastAsiaTheme="majorEastAsia"/>
          <w:sz w:val="28"/>
          <w:szCs w:val="28"/>
        </w:rPr>
        <w:t>三、法律管辖及仲裁：买卖双方之合同受中华人民共和国法律之管辖并依其进行解释。如有争议，在双方友好交涉无法解决时，向供应商所在地人民法院提起公诉。</w:t>
      </w:r>
    </w:p>
    <w:p w14:paraId="0E845293">
      <w:pPr>
        <w:spacing w:line="540" w:lineRule="exact"/>
        <w:rPr>
          <w:rFonts w:hint="eastAsia" w:asciiTheme="majorEastAsia" w:hAnsiTheme="majorEastAsia" w:eastAsiaTheme="majorEastAsia"/>
          <w:bCs/>
          <w:sz w:val="32"/>
          <w:szCs w:val="32"/>
        </w:rPr>
      </w:pPr>
    </w:p>
    <w:p w14:paraId="42394A46">
      <w:pPr>
        <w:spacing w:line="540" w:lineRule="exact"/>
        <w:rPr>
          <w:rFonts w:hint="eastAsia" w:asciiTheme="majorEastAsia" w:hAnsiTheme="majorEastAsia" w:eastAsiaTheme="majorEastAsia"/>
          <w:bCs/>
          <w:sz w:val="32"/>
          <w:szCs w:val="32"/>
        </w:rPr>
      </w:pPr>
    </w:p>
    <w:p w14:paraId="2CA7C817">
      <w:pPr>
        <w:spacing w:line="540" w:lineRule="exact"/>
        <w:rPr>
          <w:rFonts w:asciiTheme="majorEastAsia" w:hAnsiTheme="majorEastAsia" w:eastAsiaTheme="majorEastAsia"/>
          <w:sz w:val="44"/>
          <w:szCs w:val="44"/>
        </w:rPr>
      </w:pPr>
    </w:p>
    <w:p w14:paraId="7FA7B05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第六部分 评分标准</w:t>
      </w:r>
    </w:p>
    <w:p w14:paraId="3CA3EE70">
      <w:pPr>
        <w:pStyle w:val="7"/>
        <w:spacing w:after="0"/>
        <w:rPr>
          <w:rFonts w:hint="eastAsia"/>
          <w:sz w:val="28"/>
        </w:rPr>
      </w:pPr>
      <w:r>
        <w:rPr>
          <w:rFonts w:hint="eastAsia"/>
          <w:sz w:val="28"/>
        </w:rPr>
        <w:t>一、评分方法与选取原则</w:t>
      </w:r>
    </w:p>
    <w:p w14:paraId="41279C40">
      <w:pPr>
        <w:pStyle w:val="7"/>
        <w:spacing w:after="0"/>
        <w:ind w:firstLine="560" w:firstLineChars="200"/>
        <w:rPr>
          <w:rFonts w:hint="eastAsia"/>
          <w:sz w:val="28"/>
        </w:rPr>
      </w:pPr>
      <w:bookmarkStart w:id="2" w:name="OLE_LINK20"/>
      <w:r>
        <w:rPr>
          <w:rFonts w:hint="eastAsia"/>
          <w:sz w:val="28"/>
        </w:rPr>
        <w:t>采购评审小组将对确定为实质性响应文件要求的报价进行评价和比较，评分采用综合评分法确定合作候选供应商。</w:t>
      </w:r>
    </w:p>
    <w:bookmarkEnd w:id="2"/>
    <w:p w14:paraId="76ECD3BE">
      <w:pPr>
        <w:pStyle w:val="7"/>
        <w:spacing w:after="0"/>
        <w:rPr>
          <w:rFonts w:hint="eastAsia"/>
          <w:sz w:val="28"/>
        </w:rPr>
      </w:pPr>
      <w:r>
        <w:rPr>
          <w:rFonts w:hint="eastAsia"/>
          <w:sz w:val="28"/>
        </w:rPr>
        <w:t>二、评分标准</w:t>
      </w:r>
    </w:p>
    <w:p w14:paraId="49D8A1C8">
      <w:pPr>
        <w:pStyle w:val="7"/>
        <w:spacing w:after="0"/>
        <w:rPr>
          <w:rFonts w:hint="eastAsia"/>
          <w:sz w:val="28"/>
        </w:rPr>
      </w:pPr>
      <w:r>
        <w:rPr>
          <w:rFonts w:hint="eastAsia"/>
          <w:sz w:val="28"/>
        </w:rPr>
        <w:t>1.评审方法</w:t>
      </w:r>
    </w:p>
    <w:p w14:paraId="30F890CD">
      <w:pPr>
        <w:pStyle w:val="7"/>
        <w:spacing w:after="0"/>
        <w:rPr>
          <w:rFonts w:hint="eastAsia"/>
          <w:sz w:val="28"/>
        </w:rPr>
      </w:pPr>
      <w:r>
        <w:rPr>
          <w:rFonts w:hint="eastAsia"/>
          <w:b/>
          <w:bCs/>
          <w:sz w:val="28"/>
        </w:rPr>
        <w:t>本项目评审方法为：综合评分法。</w:t>
      </w:r>
    </w:p>
    <w:p w14:paraId="2028C722">
      <w:pPr>
        <w:pStyle w:val="7"/>
        <w:spacing w:after="0"/>
        <w:rPr>
          <w:rFonts w:hint="eastAsia"/>
          <w:sz w:val="28"/>
        </w:rPr>
      </w:pPr>
      <w:r>
        <w:rPr>
          <w:rFonts w:hint="eastAsia"/>
          <w:sz w:val="28"/>
        </w:rPr>
        <w:t>2.初步评审</w:t>
      </w:r>
    </w:p>
    <w:p w14:paraId="51CFE16C">
      <w:pPr>
        <w:pStyle w:val="7"/>
        <w:spacing w:after="0"/>
        <w:rPr>
          <w:rFonts w:hint="eastAsia"/>
          <w:sz w:val="28"/>
        </w:rPr>
      </w:pPr>
      <w:r>
        <w:rPr>
          <w:rFonts w:hint="eastAsia"/>
          <w:sz w:val="28"/>
        </w:rPr>
        <w:t>有下列情形之一的，采购评审小组应当否决其报价：</w:t>
      </w:r>
    </w:p>
    <w:p w14:paraId="5259675E">
      <w:pPr>
        <w:pStyle w:val="7"/>
        <w:spacing w:after="0"/>
        <w:rPr>
          <w:rFonts w:hint="eastAsia"/>
          <w:sz w:val="28"/>
        </w:rPr>
      </w:pPr>
      <w:r>
        <w:rPr>
          <w:rFonts w:hint="eastAsia"/>
          <w:sz w:val="28"/>
        </w:rPr>
        <w:t>（1）响应文件格式不符合报价文件组成要求的；</w:t>
      </w:r>
    </w:p>
    <w:p w14:paraId="26C30D62">
      <w:pPr>
        <w:pStyle w:val="7"/>
        <w:spacing w:after="0"/>
        <w:rPr>
          <w:rFonts w:hint="eastAsia"/>
          <w:sz w:val="28"/>
        </w:rPr>
      </w:pPr>
      <w:r>
        <w:rPr>
          <w:rFonts w:hint="eastAsia"/>
          <w:sz w:val="28"/>
        </w:rPr>
        <w:t>（2）响应文件填报不符合要求：存在无盖章、签字、日期等重要信息以及错填、不填等情况的；</w:t>
      </w:r>
    </w:p>
    <w:p w14:paraId="2CFA91CF">
      <w:pPr>
        <w:pStyle w:val="7"/>
        <w:spacing w:after="0"/>
        <w:rPr>
          <w:rFonts w:hint="eastAsia"/>
          <w:sz w:val="28"/>
        </w:rPr>
      </w:pPr>
      <w:r>
        <w:rPr>
          <w:rFonts w:hint="eastAsia"/>
          <w:sz w:val="28"/>
        </w:rPr>
        <w:t>（3）报价单位不符合国家或者询价采购文件规定的资格条件；</w:t>
      </w:r>
    </w:p>
    <w:p w14:paraId="27F26ACE">
      <w:pPr>
        <w:pStyle w:val="7"/>
        <w:spacing w:after="0"/>
        <w:rPr>
          <w:rFonts w:hint="eastAsia"/>
          <w:sz w:val="28"/>
        </w:rPr>
      </w:pPr>
      <w:r>
        <w:rPr>
          <w:rFonts w:hint="eastAsia"/>
          <w:sz w:val="28"/>
        </w:rPr>
        <w:t>（4）同一报价单位提交两个以上不同的响应文件或者响应报价；</w:t>
      </w:r>
    </w:p>
    <w:p w14:paraId="0641186B">
      <w:pPr>
        <w:pStyle w:val="7"/>
        <w:spacing w:after="0"/>
        <w:rPr>
          <w:rFonts w:hint="eastAsia"/>
          <w:sz w:val="28"/>
        </w:rPr>
      </w:pPr>
      <w:r>
        <w:rPr>
          <w:rFonts w:hint="eastAsia"/>
          <w:sz w:val="28"/>
        </w:rPr>
        <w:t>（5）响应文件没有对询价采购文件的实质性要求和条件作出响应；</w:t>
      </w:r>
    </w:p>
    <w:p w14:paraId="02DB6FC8">
      <w:pPr>
        <w:pStyle w:val="7"/>
        <w:spacing w:after="0"/>
        <w:rPr>
          <w:rFonts w:hint="eastAsia"/>
          <w:sz w:val="28"/>
        </w:rPr>
      </w:pPr>
      <w:r>
        <w:rPr>
          <w:rFonts w:hint="eastAsia"/>
          <w:sz w:val="28"/>
        </w:rPr>
        <w:t>（6）报价单位有串通报价、弄虚作假、行贿等违法行为。</w:t>
      </w:r>
    </w:p>
    <w:p w14:paraId="4B03A00B">
      <w:pPr>
        <w:pStyle w:val="7"/>
        <w:spacing w:after="0"/>
        <w:rPr>
          <w:rFonts w:hint="eastAsia"/>
          <w:sz w:val="28"/>
        </w:rPr>
      </w:pPr>
      <w:r>
        <w:rPr>
          <w:rFonts w:hint="eastAsia"/>
          <w:sz w:val="28"/>
        </w:rPr>
        <w:t>3.评审细则</w:t>
      </w:r>
    </w:p>
    <w:tbl>
      <w:tblPr>
        <w:tblStyle w:val="17"/>
        <w:tblW w:w="97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7"/>
        <w:gridCol w:w="1027"/>
        <w:gridCol w:w="1304"/>
        <w:gridCol w:w="6565"/>
      </w:tblGrid>
      <w:tr w14:paraId="2A8D2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844" w:type="dxa"/>
            <w:gridSpan w:val="2"/>
            <w:vAlign w:val="center"/>
          </w:tcPr>
          <w:p w14:paraId="0F0A2FD9">
            <w:pPr>
              <w:pStyle w:val="7"/>
              <w:spacing w:after="0" w:line="400" w:lineRule="exact"/>
              <w:jc w:val="center"/>
              <w:rPr>
                <w:sz w:val="28"/>
              </w:rPr>
            </w:pPr>
            <w:r>
              <w:rPr>
                <w:rFonts w:hint="eastAsia"/>
                <w:sz w:val="28"/>
              </w:rPr>
              <w:t>条款号</w:t>
            </w:r>
          </w:p>
        </w:tc>
        <w:tc>
          <w:tcPr>
            <w:tcW w:w="1304" w:type="dxa"/>
            <w:vAlign w:val="center"/>
          </w:tcPr>
          <w:p w14:paraId="3AAB7A8D">
            <w:pPr>
              <w:pStyle w:val="7"/>
              <w:spacing w:after="0" w:line="400" w:lineRule="exact"/>
              <w:rPr>
                <w:sz w:val="28"/>
              </w:rPr>
            </w:pPr>
            <w:r>
              <w:rPr>
                <w:rFonts w:hint="eastAsia"/>
                <w:sz w:val="28"/>
              </w:rPr>
              <w:t>评分因素</w:t>
            </w:r>
          </w:p>
        </w:tc>
        <w:tc>
          <w:tcPr>
            <w:tcW w:w="6565" w:type="dxa"/>
            <w:vAlign w:val="center"/>
          </w:tcPr>
          <w:p w14:paraId="0D1218E7">
            <w:pPr>
              <w:pStyle w:val="7"/>
              <w:spacing w:after="0" w:line="400" w:lineRule="exact"/>
              <w:rPr>
                <w:sz w:val="28"/>
              </w:rPr>
            </w:pPr>
            <w:r>
              <w:rPr>
                <w:rFonts w:hint="eastAsia"/>
                <w:sz w:val="28"/>
              </w:rPr>
              <w:t>评分标准</w:t>
            </w:r>
          </w:p>
        </w:tc>
      </w:tr>
      <w:tr w14:paraId="3BF3A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tcPr>
          <w:p w14:paraId="0E94AC3E">
            <w:pPr>
              <w:pStyle w:val="7"/>
              <w:spacing w:after="0" w:line="400" w:lineRule="exact"/>
              <w:rPr>
                <w:sz w:val="28"/>
              </w:rPr>
            </w:pPr>
            <w:r>
              <w:rPr>
                <w:rFonts w:hint="eastAsia"/>
                <w:sz w:val="28"/>
              </w:rPr>
              <w:t>1</w:t>
            </w:r>
          </w:p>
        </w:tc>
        <w:tc>
          <w:tcPr>
            <w:tcW w:w="1027" w:type="dxa"/>
            <w:vAlign w:val="center"/>
          </w:tcPr>
          <w:p w14:paraId="0960BAF6">
            <w:pPr>
              <w:pStyle w:val="7"/>
              <w:spacing w:after="0" w:line="400" w:lineRule="exact"/>
              <w:rPr>
                <w:sz w:val="28"/>
              </w:rPr>
            </w:pPr>
            <w:r>
              <w:rPr>
                <w:rFonts w:hint="eastAsia"/>
                <w:sz w:val="28"/>
              </w:rPr>
              <w:t>服务能力（10%）</w:t>
            </w:r>
          </w:p>
        </w:tc>
        <w:tc>
          <w:tcPr>
            <w:tcW w:w="1304" w:type="dxa"/>
            <w:vAlign w:val="center"/>
          </w:tcPr>
          <w:p w14:paraId="20719B53">
            <w:pPr>
              <w:pStyle w:val="7"/>
              <w:spacing w:after="0" w:line="400" w:lineRule="exact"/>
              <w:rPr>
                <w:sz w:val="28"/>
              </w:rPr>
            </w:pPr>
            <w:r>
              <w:rPr>
                <w:rFonts w:hint="eastAsia"/>
                <w:sz w:val="28"/>
              </w:rPr>
              <w:t>投标业绩</w:t>
            </w:r>
          </w:p>
        </w:tc>
        <w:tc>
          <w:tcPr>
            <w:tcW w:w="6565" w:type="dxa"/>
          </w:tcPr>
          <w:p w14:paraId="4F2C1DCC">
            <w:pPr>
              <w:pStyle w:val="7"/>
              <w:spacing w:after="0" w:line="400" w:lineRule="exact"/>
              <w:rPr>
                <w:sz w:val="28"/>
              </w:rPr>
            </w:pPr>
            <w:r>
              <w:rPr>
                <w:rFonts w:hint="eastAsia"/>
                <w:sz w:val="28"/>
              </w:rPr>
              <w:t>供应商具有在国内中标和本次采购项目类似的过往业绩（附销售合同或中标通知书），每提供1个业绩，得2分，最高得10分。</w:t>
            </w:r>
          </w:p>
        </w:tc>
      </w:tr>
      <w:tr w14:paraId="39E21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vMerge w:val="restart"/>
          </w:tcPr>
          <w:p w14:paraId="14570E1A">
            <w:pPr>
              <w:pStyle w:val="7"/>
              <w:spacing w:after="0" w:line="400" w:lineRule="exact"/>
              <w:rPr>
                <w:sz w:val="28"/>
              </w:rPr>
            </w:pPr>
            <w:r>
              <w:rPr>
                <w:rFonts w:hint="eastAsia"/>
                <w:sz w:val="28"/>
              </w:rPr>
              <w:t>2</w:t>
            </w:r>
          </w:p>
        </w:tc>
        <w:tc>
          <w:tcPr>
            <w:tcW w:w="1027" w:type="dxa"/>
            <w:vMerge w:val="restart"/>
          </w:tcPr>
          <w:p w14:paraId="435E7B09">
            <w:pPr>
              <w:pStyle w:val="7"/>
              <w:spacing w:after="0" w:line="400" w:lineRule="exact"/>
              <w:rPr>
                <w:sz w:val="28"/>
              </w:rPr>
            </w:pPr>
            <w:r>
              <w:rPr>
                <w:rFonts w:hint="eastAsia"/>
                <w:sz w:val="28"/>
              </w:rPr>
              <w:t>服务技术要求、商务要求部分50</w:t>
            </w:r>
            <w:r>
              <w:rPr>
                <w:sz w:val="28"/>
              </w:rPr>
              <w:t>%</w:t>
            </w:r>
          </w:p>
        </w:tc>
        <w:tc>
          <w:tcPr>
            <w:tcW w:w="1304" w:type="dxa"/>
            <w:vAlign w:val="center"/>
          </w:tcPr>
          <w:p w14:paraId="3554E5A3">
            <w:pPr>
              <w:pStyle w:val="7"/>
              <w:spacing w:after="0" w:line="400" w:lineRule="exact"/>
              <w:rPr>
                <w:sz w:val="28"/>
              </w:rPr>
            </w:pPr>
            <w:r>
              <w:rPr>
                <w:rFonts w:hint="eastAsia"/>
                <w:sz w:val="28"/>
              </w:rPr>
              <w:t>商务要求</w:t>
            </w:r>
          </w:p>
        </w:tc>
        <w:tc>
          <w:tcPr>
            <w:tcW w:w="6565" w:type="dxa"/>
            <w:vAlign w:val="center"/>
          </w:tcPr>
          <w:p w14:paraId="723F45B4">
            <w:pPr>
              <w:pStyle w:val="7"/>
              <w:spacing w:after="0" w:line="400" w:lineRule="exact"/>
              <w:rPr>
                <w:sz w:val="28"/>
              </w:rPr>
            </w:pPr>
            <w:r>
              <w:rPr>
                <w:rFonts w:hint="eastAsia"/>
                <w:sz w:val="28"/>
              </w:rPr>
              <w:t>根据所响应设备对询价文件第三部分商务要求指标进行评价，满分10分。</w:t>
            </w:r>
          </w:p>
          <w:p w14:paraId="385F8274">
            <w:pPr>
              <w:pStyle w:val="7"/>
              <w:spacing w:after="0" w:line="400" w:lineRule="exact"/>
              <w:rPr>
                <w:sz w:val="28"/>
              </w:rPr>
            </w:pPr>
            <w:r>
              <w:rPr>
                <w:rFonts w:hint="eastAsia"/>
                <w:sz w:val="28"/>
              </w:rPr>
              <w:t>有</w:t>
            </w:r>
            <w:r>
              <w:rPr>
                <w:sz w:val="28"/>
              </w:rPr>
              <w:t>1</w:t>
            </w:r>
            <w:r>
              <w:rPr>
                <w:rFonts w:hint="eastAsia"/>
                <w:sz w:val="28"/>
              </w:rPr>
              <w:t>项★号条款不满足做废标处理；</w:t>
            </w:r>
          </w:p>
          <w:p w14:paraId="7124F6F8">
            <w:pPr>
              <w:pStyle w:val="7"/>
              <w:spacing w:after="0" w:line="400" w:lineRule="exact"/>
              <w:rPr>
                <w:sz w:val="28"/>
              </w:rPr>
            </w:pPr>
            <w:r>
              <w:rPr>
                <w:rFonts w:hint="eastAsia"/>
                <w:sz w:val="28"/>
              </w:rPr>
              <w:t>每有</w:t>
            </w:r>
            <w:r>
              <w:rPr>
                <w:sz w:val="28"/>
              </w:rPr>
              <w:t>1</w:t>
            </w:r>
            <w:r>
              <w:rPr>
                <w:rFonts w:hint="eastAsia"/>
                <w:sz w:val="28"/>
              </w:rPr>
              <w:t>项一般条款不满足扣4分，超过2项不满足作废标处理。</w:t>
            </w:r>
          </w:p>
        </w:tc>
      </w:tr>
      <w:tr w14:paraId="383A18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jc w:val="center"/>
        </w:trPr>
        <w:tc>
          <w:tcPr>
            <w:tcW w:w="817" w:type="dxa"/>
            <w:vMerge w:val="continue"/>
          </w:tcPr>
          <w:p w14:paraId="36AC03DA">
            <w:pPr>
              <w:pStyle w:val="7"/>
              <w:spacing w:after="0" w:line="400" w:lineRule="exact"/>
              <w:rPr>
                <w:sz w:val="28"/>
              </w:rPr>
            </w:pPr>
          </w:p>
        </w:tc>
        <w:tc>
          <w:tcPr>
            <w:tcW w:w="1027" w:type="dxa"/>
            <w:vMerge w:val="continue"/>
          </w:tcPr>
          <w:p w14:paraId="0F663ED4">
            <w:pPr>
              <w:pStyle w:val="7"/>
              <w:spacing w:after="0" w:line="400" w:lineRule="exact"/>
              <w:rPr>
                <w:sz w:val="28"/>
              </w:rPr>
            </w:pPr>
          </w:p>
        </w:tc>
        <w:tc>
          <w:tcPr>
            <w:tcW w:w="1304" w:type="dxa"/>
            <w:tcBorders>
              <w:bottom w:val="single" w:color="auto" w:sz="4" w:space="0"/>
            </w:tcBorders>
            <w:vAlign w:val="center"/>
          </w:tcPr>
          <w:p w14:paraId="6EC477E2">
            <w:pPr>
              <w:pStyle w:val="7"/>
              <w:spacing w:after="0" w:line="400" w:lineRule="exact"/>
              <w:rPr>
                <w:sz w:val="28"/>
              </w:rPr>
            </w:pPr>
            <w:r>
              <w:rPr>
                <w:rFonts w:hint="eastAsia"/>
                <w:sz w:val="28"/>
              </w:rPr>
              <w:t>服务技术要求</w:t>
            </w:r>
          </w:p>
        </w:tc>
        <w:tc>
          <w:tcPr>
            <w:tcW w:w="6565" w:type="dxa"/>
            <w:tcBorders>
              <w:bottom w:val="single" w:color="auto" w:sz="4" w:space="0"/>
            </w:tcBorders>
          </w:tcPr>
          <w:p w14:paraId="1BFA3633">
            <w:pPr>
              <w:pStyle w:val="7"/>
              <w:spacing w:after="0" w:line="400" w:lineRule="exact"/>
              <w:rPr>
                <w:sz w:val="28"/>
              </w:rPr>
            </w:pPr>
            <w:r>
              <w:rPr>
                <w:rFonts w:hint="eastAsia"/>
                <w:sz w:val="28"/>
              </w:rPr>
              <w:t>根据所响应设备对询价文件第四部分技术性能及服务指标要求的响应性进行评价，满分40分。</w:t>
            </w:r>
          </w:p>
          <w:p w14:paraId="59386A03">
            <w:pPr>
              <w:pStyle w:val="7"/>
              <w:spacing w:after="0" w:line="400" w:lineRule="exact"/>
              <w:rPr>
                <w:sz w:val="28"/>
              </w:rPr>
            </w:pPr>
            <w:r>
              <w:rPr>
                <w:rFonts w:hint="eastAsia"/>
                <w:sz w:val="28"/>
              </w:rPr>
              <w:t>有</w:t>
            </w:r>
            <w:r>
              <w:rPr>
                <w:sz w:val="28"/>
              </w:rPr>
              <w:t>1</w:t>
            </w:r>
            <w:r>
              <w:rPr>
                <w:rFonts w:hint="eastAsia"/>
                <w:sz w:val="28"/>
              </w:rPr>
              <w:t>项★号条款不满足做废标处理；</w:t>
            </w:r>
          </w:p>
          <w:p w14:paraId="2D6AED09">
            <w:pPr>
              <w:pStyle w:val="7"/>
              <w:spacing w:after="0" w:line="400" w:lineRule="exact"/>
              <w:rPr>
                <w:sz w:val="28"/>
              </w:rPr>
            </w:pPr>
            <w:r>
              <w:rPr>
                <w:rFonts w:hint="eastAsia"/>
                <w:sz w:val="28"/>
              </w:rPr>
              <w:t>每有</w:t>
            </w:r>
            <w:r>
              <w:rPr>
                <w:sz w:val="28"/>
              </w:rPr>
              <w:t>1</w:t>
            </w:r>
            <w:r>
              <w:rPr>
                <w:rFonts w:hint="eastAsia"/>
                <w:sz w:val="28"/>
              </w:rPr>
              <w:t>项一般条款不满足扣4分，超过3项不满足作废标处理。</w:t>
            </w:r>
          </w:p>
        </w:tc>
      </w:tr>
      <w:tr w14:paraId="6C7209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817" w:type="dxa"/>
            <w:vAlign w:val="center"/>
          </w:tcPr>
          <w:p w14:paraId="6FBAB974">
            <w:pPr>
              <w:pStyle w:val="7"/>
              <w:spacing w:after="0" w:line="400" w:lineRule="exact"/>
              <w:rPr>
                <w:sz w:val="28"/>
              </w:rPr>
            </w:pPr>
            <w:r>
              <w:rPr>
                <w:sz w:val="28"/>
              </w:rPr>
              <w:t>3</w:t>
            </w:r>
          </w:p>
        </w:tc>
        <w:tc>
          <w:tcPr>
            <w:tcW w:w="1027" w:type="dxa"/>
            <w:vAlign w:val="center"/>
          </w:tcPr>
          <w:p w14:paraId="2C0D67B2">
            <w:pPr>
              <w:pStyle w:val="7"/>
              <w:spacing w:after="0" w:line="400" w:lineRule="exact"/>
              <w:rPr>
                <w:sz w:val="28"/>
              </w:rPr>
            </w:pPr>
            <w:r>
              <w:rPr>
                <w:rFonts w:hint="eastAsia"/>
                <w:sz w:val="28"/>
              </w:rPr>
              <w:t>投标报价评分标准40</w:t>
            </w:r>
            <w:r>
              <w:rPr>
                <w:sz w:val="28"/>
              </w:rPr>
              <w:t>%</w:t>
            </w:r>
          </w:p>
        </w:tc>
        <w:tc>
          <w:tcPr>
            <w:tcW w:w="1304" w:type="dxa"/>
            <w:vAlign w:val="center"/>
          </w:tcPr>
          <w:p w14:paraId="013D096D">
            <w:pPr>
              <w:pStyle w:val="7"/>
              <w:spacing w:after="0" w:line="400" w:lineRule="exact"/>
              <w:rPr>
                <w:sz w:val="28"/>
              </w:rPr>
            </w:pPr>
            <w:r>
              <w:rPr>
                <w:rFonts w:hint="eastAsia"/>
                <w:sz w:val="28"/>
              </w:rPr>
              <w:t>投标报价</w:t>
            </w:r>
          </w:p>
        </w:tc>
        <w:tc>
          <w:tcPr>
            <w:tcW w:w="6565" w:type="dxa"/>
          </w:tcPr>
          <w:p w14:paraId="1E37B579">
            <w:pPr>
              <w:pStyle w:val="7"/>
              <w:spacing w:after="0" w:line="400" w:lineRule="exact"/>
              <w:rPr>
                <w:rFonts w:hint="eastAsia"/>
                <w:sz w:val="28"/>
              </w:rPr>
            </w:pPr>
            <w:r>
              <w:rPr>
                <w:rFonts w:hint="eastAsia"/>
                <w:sz w:val="28"/>
              </w:rPr>
              <w:t>报价计算方式：以报价单上所有项目单价之和的算数平均值作为参与评审的最终报价。</w:t>
            </w:r>
          </w:p>
          <w:p w14:paraId="32A40945">
            <w:pPr>
              <w:pStyle w:val="7"/>
              <w:spacing w:after="0" w:line="400" w:lineRule="exact"/>
              <w:rPr>
                <w:sz w:val="28"/>
              </w:rPr>
            </w:pPr>
            <w:r>
              <w:rPr>
                <w:sz w:val="28"/>
              </w:rPr>
              <w:t>1</w:t>
            </w:r>
            <w:r>
              <w:rPr>
                <w:rFonts w:hint="eastAsia"/>
                <w:sz w:val="28"/>
              </w:rPr>
              <w:t>）当有效投标家数为</w:t>
            </w:r>
            <w:r>
              <w:rPr>
                <w:sz w:val="28"/>
              </w:rPr>
              <w:t>5</w:t>
            </w:r>
            <w:r>
              <w:rPr>
                <w:rFonts w:hint="eastAsia"/>
                <w:sz w:val="28"/>
              </w:rPr>
              <w:t>家以上（含</w:t>
            </w:r>
            <w:r>
              <w:rPr>
                <w:sz w:val="28"/>
              </w:rPr>
              <w:t>5</w:t>
            </w:r>
            <w:r>
              <w:rPr>
                <w:rFonts w:hint="eastAsia"/>
                <w:sz w:val="28"/>
              </w:rPr>
              <w:t>家）时，去掉一个最高和最低投最终报价，计算其余投标最终报价的算数平均值</w:t>
            </w:r>
            <w:r>
              <w:rPr>
                <w:sz w:val="28"/>
              </w:rPr>
              <w:t>A</w:t>
            </w:r>
            <w:r>
              <w:rPr>
                <w:rFonts w:hint="eastAsia"/>
                <w:sz w:val="28"/>
              </w:rPr>
              <w:t>；</w:t>
            </w:r>
          </w:p>
          <w:p w14:paraId="12E0AD6F">
            <w:pPr>
              <w:pStyle w:val="7"/>
              <w:spacing w:after="0" w:line="400" w:lineRule="exact"/>
              <w:rPr>
                <w:sz w:val="28"/>
              </w:rPr>
            </w:pPr>
            <w:r>
              <w:rPr>
                <w:sz w:val="28"/>
              </w:rPr>
              <w:t>2</w:t>
            </w:r>
            <w:r>
              <w:rPr>
                <w:rFonts w:hint="eastAsia"/>
                <w:sz w:val="28"/>
              </w:rPr>
              <w:t>）当有效投标家数少于</w:t>
            </w:r>
            <w:r>
              <w:rPr>
                <w:sz w:val="28"/>
              </w:rPr>
              <w:t>5</w:t>
            </w:r>
            <w:r>
              <w:rPr>
                <w:rFonts w:hint="eastAsia"/>
                <w:sz w:val="28"/>
              </w:rPr>
              <w:t>家时，计算所有最终报价的算术平均值</w:t>
            </w:r>
            <w:r>
              <w:rPr>
                <w:sz w:val="28"/>
              </w:rPr>
              <w:t>B</w:t>
            </w:r>
            <w:r>
              <w:rPr>
                <w:rFonts w:hint="eastAsia"/>
                <w:sz w:val="28"/>
              </w:rPr>
              <w:t>。</w:t>
            </w:r>
          </w:p>
          <w:p w14:paraId="3A03572E">
            <w:pPr>
              <w:pStyle w:val="7"/>
              <w:spacing w:after="0" w:line="400" w:lineRule="exact"/>
              <w:rPr>
                <w:sz w:val="28"/>
              </w:rPr>
            </w:pPr>
            <w:r>
              <w:rPr>
                <w:sz w:val="28"/>
              </w:rPr>
              <w:t>3</w:t>
            </w:r>
            <w:r>
              <w:rPr>
                <w:rFonts w:hint="eastAsia"/>
                <w:sz w:val="28"/>
              </w:rPr>
              <w:t>）评标基准价</w:t>
            </w:r>
            <w:r>
              <w:rPr>
                <w:sz w:val="28"/>
              </w:rPr>
              <w:t>=A</w:t>
            </w:r>
            <w:r>
              <w:rPr>
                <w:rFonts w:hint="eastAsia"/>
                <w:sz w:val="28"/>
              </w:rPr>
              <w:t>（</w:t>
            </w:r>
            <w:r>
              <w:rPr>
                <w:sz w:val="28"/>
              </w:rPr>
              <w:t>B</w:t>
            </w:r>
            <w:r>
              <w:rPr>
                <w:rFonts w:hint="eastAsia"/>
                <w:sz w:val="28"/>
              </w:rPr>
              <w:t>）×</w:t>
            </w:r>
            <w:r>
              <w:rPr>
                <w:sz w:val="28"/>
              </w:rPr>
              <w:t>0.95</w:t>
            </w:r>
          </w:p>
          <w:p w14:paraId="6C0119F0">
            <w:pPr>
              <w:pStyle w:val="7"/>
              <w:spacing w:after="0" w:line="400" w:lineRule="exact"/>
              <w:rPr>
                <w:sz w:val="28"/>
              </w:rPr>
            </w:pPr>
            <w:r>
              <w:rPr>
                <w:rFonts w:hint="eastAsia"/>
                <w:sz w:val="28"/>
              </w:rPr>
              <w:t>投标报价等于评标基准价的投标人价格分为满分，投标报价与评标基准价相比，每高</w:t>
            </w:r>
            <w:r>
              <w:rPr>
                <w:sz w:val="28"/>
              </w:rPr>
              <w:t>1%</w:t>
            </w:r>
            <w:r>
              <w:rPr>
                <w:rFonts w:hint="eastAsia"/>
                <w:sz w:val="28"/>
              </w:rPr>
              <w:t>扣2分，每低</w:t>
            </w:r>
            <w:r>
              <w:rPr>
                <w:sz w:val="28"/>
              </w:rPr>
              <w:t>1%</w:t>
            </w:r>
            <w:r>
              <w:rPr>
                <w:rFonts w:hint="eastAsia"/>
                <w:sz w:val="28"/>
              </w:rPr>
              <w:t>扣1分，最多扣</w:t>
            </w:r>
            <w:r>
              <w:rPr>
                <w:sz w:val="28"/>
              </w:rPr>
              <w:t>15</w:t>
            </w:r>
            <w:r>
              <w:rPr>
                <w:rFonts w:hint="eastAsia"/>
                <w:sz w:val="28"/>
              </w:rPr>
              <w:t>分。</w:t>
            </w:r>
          </w:p>
        </w:tc>
      </w:tr>
      <w:tr w14:paraId="1AAF1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vAlign w:val="center"/>
          </w:tcPr>
          <w:p w14:paraId="06B3687E">
            <w:pPr>
              <w:pStyle w:val="7"/>
              <w:spacing w:after="0" w:line="400" w:lineRule="exact"/>
              <w:rPr>
                <w:sz w:val="28"/>
              </w:rPr>
            </w:pPr>
            <w:r>
              <w:rPr>
                <w:sz w:val="28"/>
              </w:rPr>
              <w:t>4</w:t>
            </w:r>
          </w:p>
        </w:tc>
        <w:tc>
          <w:tcPr>
            <w:tcW w:w="1027" w:type="dxa"/>
            <w:vAlign w:val="center"/>
          </w:tcPr>
          <w:p w14:paraId="512ADD03">
            <w:pPr>
              <w:pStyle w:val="7"/>
              <w:spacing w:after="0" w:line="400" w:lineRule="exact"/>
              <w:rPr>
                <w:sz w:val="28"/>
              </w:rPr>
            </w:pPr>
            <w:r>
              <w:rPr>
                <w:rFonts w:hint="eastAsia"/>
                <w:sz w:val="28"/>
              </w:rPr>
              <w:t>总分</w:t>
            </w:r>
          </w:p>
        </w:tc>
        <w:tc>
          <w:tcPr>
            <w:tcW w:w="1304" w:type="dxa"/>
          </w:tcPr>
          <w:p w14:paraId="61CEA137">
            <w:pPr>
              <w:pStyle w:val="7"/>
              <w:spacing w:after="0" w:line="400" w:lineRule="exact"/>
              <w:rPr>
                <w:sz w:val="28"/>
              </w:rPr>
            </w:pPr>
            <w:r>
              <w:rPr>
                <w:sz w:val="28"/>
              </w:rPr>
              <w:t>/</w:t>
            </w:r>
          </w:p>
        </w:tc>
        <w:tc>
          <w:tcPr>
            <w:tcW w:w="6565" w:type="dxa"/>
          </w:tcPr>
          <w:p w14:paraId="73CB5E21">
            <w:pPr>
              <w:pStyle w:val="7"/>
              <w:spacing w:after="0" w:line="400" w:lineRule="exact"/>
              <w:rPr>
                <w:sz w:val="28"/>
              </w:rPr>
            </w:pPr>
            <w:r>
              <w:rPr>
                <w:sz w:val="28"/>
              </w:rPr>
              <w:t>100</w:t>
            </w:r>
            <w:r>
              <w:rPr>
                <w:rFonts w:hint="eastAsia"/>
                <w:sz w:val="28"/>
              </w:rPr>
              <w:t>分</w:t>
            </w:r>
          </w:p>
        </w:tc>
      </w:tr>
    </w:tbl>
    <w:p w14:paraId="56C49682">
      <w:pPr>
        <w:pStyle w:val="7"/>
        <w:spacing w:after="0"/>
        <w:rPr>
          <w:rFonts w:hint="eastAsia"/>
          <w:sz w:val="28"/>
        </w:rPr>
      </w:pPr>
      <w:r>
        <w:rPr>
          <w:rFonts w:hint="eastAsia"/>
          <w:sz w:val="28"/>
        </w:rPr>
        <w:t>4.结果确定</w:t>
      </w:r>
    </w:p>
    <w:p w14:paraId="6C707441">
      <w:pPr>
        <w:pStyle w:val="7"/>
        <w:spacing w:after="0"/>
        <w:ind w:firstLine="560" w:firstLineChars="200"/>
        <w:rPr>
          <w:rFonts w:hint="eastAsia"/>
          <w:sz w:val="28"/>
        </w:rPr>
      </w:pPr>
      <w:r>
        <w:rPr>
          <w:rFonts w:hint="eastAsia"/>
          <w:sz w:val="28"/>
        </w:rPr>
        <w:t>按投标总价从低到高排序，原则上选取价格最低的一家报价单位确定为成交供应商，签订合同。</w:t>
      </w:r>
      <w:bookmarkStart w:id="3" w:name="OLE_LINK21"/>
      <w:bookmarkEnd w:id="3"/>
    </w:p>
    <w:p w14:paraId="3979E51D">
      <w:pPr>
        <w:pStyle w:val="7"/>
        <w:spacing w:after="0"/>
        <w:ind w:firstLine="560" w:firstLineChars="200"/>
        <w:rPr>
          <w:rFonts w:hint="eastAsia"/>
          <w:sz w:val="28"/>
        </w:rPr>
      </w:pPr>
      <w:bookmarkStart w:id="4" w:name="_Toc21377"/>
      <w:bookmarkStart w:id="5" w:name="_Toc217446061"/>
      <w:r>
        <w:rPr>
          <w:rFonts w:hint="eastAsia"/>
          <w:sz w:val="28"/>
        </w:rPr>
        <w:t>在确定成交供应商过程中，发现成交候选供应商有下列情形之一的，应当不予确定其为成交供应商：</w:t>
      </w:r>
      <w:bookmarkEnd w:id="4"/>
    </w:p>
    <w:p w14:paraId="4F574343">
      <w:pPr>
        <w:pStyle w:val="7"/>
        <w:spacing w:after="0"/>
        <w:rPr>
          <w:rFonts w:hint="eastAsia"/>
          <w:sz w:val="28"/>
        </w:rPr>
      </w:pPr>
      <w:bookmarkStart w:id="6" w:name="_Toc19454"/>
      <w:r>
        <w:rPr>
          <w:rFonts w:hint="eastAsia"/>
          <w:sz w:val="28"/>
        </w:rPr>
        <w:t>（1）发现成交候选供应商存在禁止参加本项目采购活动的违法行为的；</w:t>
      </w:r>
      <w:bookmarkEnd w:id="6"/>
    </w:p>
    <w:p w14:paraId="529347AC">
      <w:pPr>
        <w:pStyle w:val="7"/>
        <w:spacing w:after="0"/>
        <w:rPr>
          <w:rFonts w:hint="eastAsia"/>
          <w:sz w:val="28"/>
        </w:rPr>
      </w:pPr>
      <w:bookmarkStart w:id="7" w:name="_Toc29757"/>
      <w:r>
        <w:rPr>
          <w:rFonts w:hint="eastAsia"/>
          <w:sz w:val="28"/>
        </w:rPr>
        <w:t>（2）成交候选供应商因不可抗力，不能继续参加采购活动；</w:t>
      </w:r>
      <w:bookmarkEnd w:id="7"/>
    </w:p>
    <w:p w14:paraId="1B75801A">
      <w:pPr>
        <w:pStyle w:val="7"/>
        <w:spacing w:after="0"/>
        <w:rPr>
          <w:rFonts w:hint="eastAsia"/>
          <w:sz w:val="28"/>
        </w:rPr>
      </w:pPr>
      <w:bookmarkStart w:id="8" w:name="_Toc15819"/>
      <w:r>
        <w:rPr>
          <w:rFonts w:hint="eastAsia"/>
          <w:sz w:val="28"/>
        </w:rPr>
        <w:t>（3）成交候选供应商低于成本价竞争；</w:t>
      </w:r>
      <w:bookmarkEnd w:id="8"/>
    </w:p>
    <w:p w14:paraId="39225A0A">
      <w:pPr>
        <w:pStyle w:val="7"/>
        <w:spacing w:after="0"/>
        <w:rPr>
          <w:rFonts w:hint="eastAsia"/>
          <w:sz w:val="28"/>
        </w:rPr>
      </w:pPr>
      <w:bookmarkStart w:id="9" w:name="_Toc29681"/>
      <w:r>
        <w:rPr>
          <w:rFonts w:hint="eastAsia"/>
          <w:sz w:val="28"/>
        </w:rPr>
        <w:t>（4）成交候选供应商提供虚假材料；</w:t>
      </w:r>
      <w:bookmarkEnd w:id="9"/>
    </w:p>
    <w:p w14:paraId="24EA2392">
      <w:pPr>
        <w:pStyle w:val="7"/>
        <w:spacing w:after="0"/>
        <w:rPr>
          <w:rFonts w:hint="eastAsia"/>
          <w:sz w:val="28"/>
        </w:rPr>
      </w:pPr>
      <w:bookmarkStart w:id="10" w:name="_Toc19456"/>
      <w:r>
        <w:rPr>
          <w:rFonts w:hint="eastAsia"/>
          <w:sz w:val="28"/>
        </w:rPr>
        <w:t>（5）成交候选供应商恶意串通。</w:t>
      </w:r>
      <w:bookmarkEnd w:id="10"/>
    </w:p>
    <w:p w14:paraId="7250445D">
      <w:pPr>
        <w:pStyle w:val="7"/>
        <w:spacing w:after="0"/>
        <w:rPr>
          <w:rFonts w:hint="eastAsia"/>
          <w:sz w:val="28"/>
        </w:rPr>
      </w:pPr>
      <w:bookmarkStart w:id="11" w:name="_Toc31618"/>
      <w:r>
        <w:rPr>
          <w:rFonts w:hint="eastAsia"/>
          <w:sz w:val="28"/>
        </w:rPr>
        <w:t>成交候选供应商有本条情形之一的，可以确定后一位供应商为成交供应商，以此类推。无法确定成交供应商的，应当重新组织采购。</w:t>
      </w:r>
      <w:bookmarkEnd w:id="11"/>
    </w:p>
    <w:bookmarkEnd w:id="5"/>
    <w:p w14:paraId="194EFF65">
      <w:pPr>
        <w:pStyle w:val="7"/>
        <w:spacing w:after="0"/>
        <w:rPr>
          <w:rFonts w:hint="eastAsia"/>
          <w:sz w:val="28"/>
        </w:rPr>
      </w:pPr>
      <w:r>
        <w:rPr>
          <w:rFonts w:hint="eastAsia"/>
          <w:sz w:val="28"/>
        </w:rPr>
        <w:t>5.重新采购或终止采购</w:t>
      </w:r>
    </w:p>
    <w:p w14:paraId="4E0D2C24">
      <w:pPr>
        <w:pStyle w:val="7"/>
        <w:spacing w:after="0"/>
        <w:rPr>
          <w:rFonts w:hint="eastAsia"/>
          <w:sz w:val="28"/>
        </w:rPr>
      </w:pPr>
      <w:r>
        <w:rPr>
          <w:rFonts w:hint="eastAsia"/>
          <w:sz w:val="28"/>
        </w:rPr>
        <w:t>本次询价采购采购活动中，出现下列情形之一的，予以重新采购或终止采购：</w:t>
      </w:r>
    </w:p>
    <w:p w14:paraId="247FDC99">
      <w:pPr>
        <w:pStyle w:val="7"/>
        <w:spacing w:after="0"/>
        <w:rPr>
          <w:rFonts w:hint="eastAsia"/>
          <w:sz w:val="28"/>
        </w:rPr>
      </w:pPr>
      <w:r>
        <w:rPr>
          <w:rFonts w:hint="eastAsia"/>
          <w:sz w:val="28"/>
        </w:rPr>
        <w:t>（1）所有报价都不符合询价采购邀请函要求，并被全部否决的；</w:t>
      </w:r>
    </w:p>
    <w:p w14:paraId="1D70A674">
      <w:pPr>
        <w:pStyle w:val="7"/>
        <w:spacing w:after="0"/>
        <w:rPr>
          <w:rFonts w:hint="eastAsia"/>
          <w:sz w:val="28"/>
        </w:rPr>
      </w:pPr>
      <w:r>
        <w:rPr>
          <w:rFonts w:hint="eastAsia"/>
          <w:sz w:val="28"/>
        </w:rPr>
        <w:t>（2）出现影响采购公正的违法、违规行为的；</w:t>
      </w:r>
    </w:p>
    <w:p w14:paraId="1AAA3F01">
      <w:pPr>
        <w:pStyle w:val="7"/>
        <w:spacing w:after="0"/>
        <w:rPr>
          <w:rFonts w:hint="eastAsia"/>
          <w:sz w:val="28"/>
        </w:rPr>
      </w:pPr>
      <w:r>
        <w:rPr>
          <w:rFonts w:hint="eastAsia"/>
          <w:sz w:val="28"/>
        </w:rPr>
        <w:t>（3）因重大变故，采购任务取消的；</w:t>
      </w:r>
    </w:p>
    <w:p w14:paraId="474A035B">
      <w:pPr>
        <w:pStyle w:val="7"/>
        <w:spacing w:after="0"/>
        <w:rPr>
          <w:rFonts w:hint="eastAsia"/>
          <w:sz w:val="28"/>
        </w:rPr>
      </w:pPr>
      <w:r>
        <w:rPr>
          <w:rFonts w:hint="eastAsia"/>
          <w:sz w:val="28"/>
        </w:rPr>
        <w:t>（4）首次询价采购采购，在规定的时间内，递交响应文件的报价单位数量不足3家。</w:t>
      </w:r>
    </w:p>
    <w:p w14:paraId="77B9ED5B">
      <w:pPr>
        <w:pStyle w:val="7"/>
        <w:spacing w:after="0"/>
        <w:ind w:firstLine="560" w:firstLineChars="200"/>
        <w:rPr>
          <w:rFonts w:hint="eastAsia"/>
          <w:sz w:val="28"/>
        </w:rPr>
      </w:pPr>
    </w:p>
    <w:p w14:paraId="02BBF535">
      <w:pPr>
        <w:pStyle w:val="7"/>
        <w:spacing w:after="0"/>
        <w:ind w:firstLine="560" w:firstLineChars="200"/>
        <w:rPr>
          <w:rFonts w:hint="eastAsia"/>
          <w:sz w:val="28"/>
        </w:rPr>
      </w:pPr>
    </w:p>
    <w:p w14:paraId="067B8DE2">
      <w:pPr>
        <w:pStyle w:val="7"/>
        <w:spacing w:after="0"/>
        <w:ind w:firstLine="560" w:firstLineChars="200"/>
        <w:rPr>
          <w:sz w:val="28"/>
        </w:rPr>
      </w:pPr>
    </w:p>
    <w:p w14:paraId="5B5CC773">
      <w:pPr>
        <w:spacing w:line="540" w:lineRule="exact"/>
        <w:rPr>
          <w:rFonts w:hint="eastAsia" w:asciiTheme="majorEastAsia" w:hAnsiTheme="majorEastAsia" w:eastAsiaTheme="majorEastAsia"/>
          <w:sz w:val="44"/>
          <w:szCs w:val="44"/>
        </w:rPr>
      </w:pPr>
    </w:p>
    <w:p w14:paraId="35DAF2BB">
      <w:pPr>
        <w:spacing w:line="540" w:lineRule="exact"/>
        <w:rPr>
          <w:rFonts w:hint="eastAsia" w:asciiTheme="majorEastAsia" w:hAnsiTheme="majorEastAsia" w:eastAsiaTheme="majorEastAsia"/>
          <w:sz w:val="44"/>
          <w:szCs w:val="44"/>
        </w:rPr>
      </w:pPr>
    </w:p>
    <w:p w14:paraId="002B08E7">
      <w:pPr>
        <w:spacing w:line="540" w:lineRule="exact"/>
        <w:rPr>
          <w:rFonts w:asciiTheme="majorEastAsia" w:hAnsiTheme="majorEastAsia" w:eastAsiaTheme="majorEastAsia"/>
          <w:sz w:val="44"/>
          <w:szCs w:val="44"/>
        </w:rPr>
      </w:pPr>
    </w:p>
    <w:p w14:paraId="57B18860">
      <w:pPr>
        <w:spacing w:line="540" w:lineRule="exact"/>
        <w:jc w:val="center"/>
        <w:rPr>
          <w:rFonts w:hint="eastAsia" w:asciiTheme="majorEastAsia" w:hAnsiTheme="majorEastAsia" w:eastAsiaTheme="majorEastAsia"/>
          <w:sz w:val="44"/>
          <w:szCs w:val="44"/>
        </w:rPr>
      </w:pPr>
      <w:r>
        <w:rPr>
          <w:rFonts w:hint="eastAsia" w:asciiTheme="majorEastAsia" w:hAnsiTheme="majorEastAsia" w:eastAsiaTheme="majorEastAsia"/>
          <w:sz w:val="44"/>
          <w:szCs w:val="44"/>
        </w:rPr>
        <w:t>第七部分  报价文件组成</w:t>
      </w:r>
      <w:r>
        <w:rPr>
          <w:rFonts w:asciiTheme="majorEastAsia" w:hAnsiTheme="majorEastAsia" w:eastAsiaTheme="majorEastAsia"/>
          <w:sz w:val="44"/>
          <w:szCs w:val="44"/>
        </w:rPr>
        <w:t xml:space="preserve"> </w:t>
      </w:r>
    </w:p>
    <w:p w14:paraId="103580AB">
      <w:pPr>
        <w:autoSpaceDE w:val="0"/>
        <w:autoSpaceDN w:val="0"/>
        <w:adjustRightInd w:val="0"/>
        <w:spacing w:line="440" w:lineRule="exact"/>
        <w:jc w:val="left"/>
        <w:rPr>
          <w:rFonts w:cs="宋体" w:asciiTheme="majorEastAsia" w:hAnsiTheme="majorEastAsia" w:eastAsiaTheme="majorEastAsia"/>
          <w:b/>
          <w:kern w:val="0"/>
          <w:sz w:val="28"/>
          <w:szCs w:val="28"/>
        </w:rPr>
      </w:pPr>
      <w:r>
        <w:rPr>
          <w:rFonts w:hint="eastAsia" w:asciiTheme="majorEastAsia" w:hAnsiTheme="majorEastAsia" w:eastAsiaTheme="majorEastAsia"/>
          <w:sz w:val="28"/>
        </w:rPr>
        <w:t>注：以下所有资料均需盖章（公章），否则是为废标。</w:t>
      </w:r>
    </w:p>
    <w:p w14:paraId="6A824AF7">
      <w:pPr>
        <w:spacing w:line="540" w:lineRule="exact"/>
        <w:rPr>
          <w:rFonts w:asciiTheme="majorEastAsia" w:hAnsiTheme="majorEastAsia" w:eastAsiaTheme="majorEastAsia"/>
          <w:sz w:val="44"/>
          <w:szCs w:val="44"/>
        </w:rPr>
      </w:pPr>
    </w:p>
    <w:p w14:paraId="2E7091F8">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文件一</w:t>
      </w:r>
    </w:p>
    <w:p w14:paraId="6D2D4673">
      <w:pPr>
        <w:spacing w:line="540" w:lineRule="exact"/>
        <w:jc w:val="center"/>
        <w:rPr>
          <w:rFonts w:asciiTheme="majorEastAsia" w:hAnsiTheme="majorEastAsia" w:eastAsiaTheme="majorEastAsia"/>
          <w:b/>
          <w:bCs/>
          <w:spacing w:val="38"/>
          <w:sz w:val="28"/>
          <w:szCs w:val="28"/>
        </w:rPr>
      </w:pPr>
    </w:p>
    <w:p w14:paraId="41076193">
      <w:pPr>
        <w:spacing w:line="540" w:lineRule="exact"/>
        <w:jc w:val="center"/>
        <w:rPr>
          <w:rFonts w:asciiTheme="majorEastAsia" w:hAnsiTheme="majorEastAsia" w:eastAsiaTheme="majorEastAsia"/>
          <w:sz w:val="44"/>
          <w:szCs w:val="44"/>
        </w:rPr>
      </w:pPr>
    </w:p>
    <w:p w14:paraId="7420500D">
      <w:pPr>
        <w:spacing w:line="540" w:lineRule="exact"/>
        <w:jc w:val="center"/>
        <w:rPr>
          <w:rFonts w:asciiTheme="majorEastAsia" w:hAnsiTheme="majorEastAsia" w:eastAsiaTheme="majorEastAsia"/>
          <w:sz w:val="44"/>
          <w:szCs w:val="44"/>
        </w:rPr>
      </w:pPr>
    </w:p>
    <w:p w14:paraId="4C1CC5B7">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报价文件</w:t>
      </w:r>
    </w:p>
    <w:p w14:paraId="31599D38">
      <w:pPr>
        <w:spacing w:line="540" w:lineRule="exact"/>
        <w:rPr>
          <w:rFonts w:asciiTheme="majorEastAsia" w:hAnsiTheme="majorEastAsia" w:eastAsiaTheme="majorEastAsia"/>
          <w:b/>
          <w:bCs/>
          <w:spacing w:val="38"/>
          <w:sz w:val="28"/>
          <w:szCs w:val="28"/>
        </w:rPr>
      </w:pPr>
    </w:p>
    <w:p w14:paraId="0C7C0423">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093E613C">
      <w:pPr>
        <w:autoSpaceDE w:val="0"/>
        <w:autoSpaceDN w:val="0"/>
        <w:adjustRightInd w:val="0"/>
        <w:spacing w:line="540" w:lineRule="exact"/>
        <w:rPr>
          <w:rFonts w:asciiTheme="majorEastAsia" w:hAnsiTheme="majorEastAsia" w:eastAsiaTheme="majorEastAsia"/>
          <w:sz w:val="28"/>
          <w:szCs w:val="28"/>
        </w:rPr>
      </w:pPr>
    </w:p>
    <w:p w14:paraId="6E009572">
      <w:pPr>
        <w:tabs>
          <w:tab w:val="left" w:pos="1985"/>
        </w:tabs>
        <w:autoSpaceDE w:val="0"/>
        <w:autoSpaceDN w:val="0"/>
        <w:adjustRightInd w:val="0"/>
        <w:spacing w:line="540" w:lineRule="exact"/>
        <w:rPr>
          <w:rFonts w:asciiTheme="majorEastAsia" w:hAnsiTheme="majorEastAsia" w:eastAsiaTheme="majorEastAsia"/>
          <w:sz w:val="28"/>
          <w:szCs w:val="28"/>
        </w:rPr>
      </w:pPr>
    </w:p>
    <w:p w14:paraId="04EE5D7F">
      <w:pPr>
        <w:tabs>
          <w:tab w:val="left" w:pos="1985"/>
        </w:tabs>
        <w:autoSpaceDE w:val="0"/>
        <w:autoSpaceDN w:val="0"/>
        <w:adjustRightInd w:val="0"/>
        <w:spacing w:line="540" w:lineRule="exact"/>
        <w:ind w:firstLine="1600" w:firstLineChars="500"/>
        <w:rPr>
          <w:rFonts w:asciiTheme="majorEastAsia" w:hAnsiTheme="majorEastAsia" w:eastAsiaTheme="majorEastAsia"/>
          <w:sz w:val="32"/>
          <w:szCs w:val="32"/>
        </w:rPr>
      </w:pPr>
      <w:r>
        <w:rPr>
          <w:rFonts w:hint="eastAsia" w:asciiTheme="majorEastAsia" w:hAnsiTheme="majorEastAsia" w:eastAsiaTheme="majorEastAsia"/>
          <w:sz w:val="32"/>
          <w:szCs w:val="32"/>
        </w:rPr>
        <w:t>项目名称：</w:t>
      </w:r>
      <w:r>
        <w:rPr>
          <w:rFonts w:hint="eastAsia" w:asciiTheme="majorEastAsia" w:hAnsiTheme="majorEastAsia" w:eastAsiaTheme="majorEastAsia"/>
          <w:bCs/>
          <w:sz w:val="28"/>
          <w:szCs w:val="28"/>
          <w:u w:val="single"/>
        </w:rPr>
        <w:t>2024年职业健康体检服务项目</w:t>
      </w:r>
    </w:p>
    <w:p w14:paraId="030AFFBB">
      <w:pPr>
        <w:spacing w:line="540" w:lineRule="exact"/>
        <w:ind w:firstLine="1680" w:firstLineChars="600"/>
        <w:jc w:val="center"/>
        <w:rPr>
          <w:rFonts w:asciiTheme="majorEastAsia" w:hAnsiTheme="majorEastAsia" w:eastAsiaTheme="majorEastAsia"/>
          <w:sz w:val="28"/>
          <w:szCs w:val="28"/>
        </w:rPr>
      </w:pPr>
    </w:p>
    <w:p w14:paraId="31C7F291">
      <w:pPr>
        <w:spacing w:line="540" w:lineRule="exact"/>
        <w:ind w:firstLine="1680" w:firstLineChars="60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u w:val="single"/>
        </w:rPr>
        <w:t xml:space="preserve">成都恒达光学有限公司       </w:t>
      </w:r>
    </w:p>
    <w:p w14:paraId="69ADED0D">
      <w:pPr>
        <w:spacing w:line="540" w:lineRule="exact"/>
        <w:ind w:firstLine="1820" w:firstLineChars="650"/>
        <w:rPr>
          <w:rFonts w:asciiTheme="majorEastAsia" w:hAnsiTheme="majorEastAsia" w:eastAsiaTheme="majorEastAsia"/>
          <w:sz w:val="28"/>
          <w:szCs w:val="28"/>
        </w:rPr>
      </w:pPr>
    </w:p>
    <w:p w14:paraId="0096F7FF">
      <w:pPr>
        <w:spacing w:line="540" w:lineRule="exact"/>
        <w:ind w:firstLine="1680" w:firstLineChars="6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14:paraId="6B0BA09C">
      <w:pPr>
        <w:pStyle w:val="9"/>
        <w:spacing w:line="540" w:lineRule="exact"/>
        <w:jc w:val="center"/>
        <w:rPr>
          <w:rFonts w:asciiTheme="majorEastAsia" w:hAnsiTheme="majorEastAsia" w:eastAsiaTheme="majorEastAsia"/>
          <w:sz w:val="28"/>
          <w:szCs w:val="28"/>
        </w:rPr>
      </w:pPr>
    </w:p>
    <w:p w14:paraId="16325CA7">
      <w:pPr>
        <w:pStyle w:val="9"/>
        <w:spacing w:line="540" w:lineRule="exact"/>
        <w:jc w:val="center"/>
        <w:rPr>
          <w:rFonts w:asciiTheme="majorEastAsia" w:hAnsiTheme="majorEastAsia" w:eastAsiaTheme="majorEastAsia"/>
          <w:sz w:val="28"/>
          <w:szCs w:val="28"/>
        </w:rPr>
      </w:pPr>
    </w:p>
    <w:p w14:paraId="3F45E56A">
      <w:pPr>
        <w:pStyle w:val="9"/>
        <w:spacing w:line="540" w:lineRule="exact"/>
        <w:jc w:val="center"/>
        <w:rPr>
          <w:rFonts w:asciiTheme="majorEastAsia" w:hAnsiTheme="majorEastAsia" w:eastAsiaTheme="majorEastAsia"/>
          <w:sz w:val="28"/>
          <w:szCs w:val="28"/>
        </w:rPr>
      </w:pPr>
    </w:p>
    <w:p w14:paraId="6A1C8159">
      <w:pPr>
        <w:pStyle w:val="9"/>
        <w:spacing w:line="540" w:lineRule="exact"/>
        <w:jc w:val="center"/>
        <w:rPr>
          <w:rFonts w:asciiTheme="majorEastAsia" w:hAnsiTheme="majorEastAsia" w:eastAsiaTheme="majorEastAsia"/>
          <w:sz w:val="28"/>
          <w:szCs w:val="28"/>
        </w:rPr>
      </w:pPr>
    </w:p>
    <w:p w14:paraId="51F575C4">
      <w:pPr>
        <w:pStyle w:val="9"/>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二四年七月X日</w:t>
      </w:r>
    </w:p>
    <w:p w14:paraId="7BA51AC7">
      <w:pPr>
        <w:spacing w:line="540" w:lineRule="exact"/>
        <w:rPr>
          <w:rFonts w:asciiTheme="majorEastAsia" w:hAnsiTheme="majorEastAsia" w:eastAsiaTheme="majorEastAsia"/>
          <w:b/>
          <w:sz w:val="28"/>
          <w:szCs w:val="28"/>
        </w:rPr>
      </w:pPr>
    </w:p>
    <w:p w14:paraId="09252544">
      <w:pPr>
        <w:spacing w:line="540" w:lineRule="exact"/>
        <w:rPr>
          <w:rFonts w:asciiTheme="majorEastAsia" w:hAnsiTheme="majorEastAsia" w:eastAsiaTheme="majorEastAsia"/>
          <w:sz w:val="28"/>
          <w:szCs w:val="28"/>
        </w:rPr>
      </w:pPr>
    </w:p>
    <w:p w14:paraId="51908336">
      <w:pPr>
        <w:spacing w:line="540" w:lineRule="exact"/>
        <w:rPr>
          <w:rFonts w:hint="eastAsia" w:asciiTheme="majorEastAsia" w:hAnsiTheme="majorEastAsia" w:eastAsiaTheme="majorEastAsia"/>
          <w:sz w:val="28"/>
          <w:szCs w:val="28"/>
        </w:rPr>
      </w:pPr>
    </w:p>
    <w:p w14:paraId="61398854">
      <w:pPr>
        <w:spacing w:line="500" w:lineRule="exact"/>
        <w:rPr>
          <w:rFonts w:asciiTheme="majorEastAsia" w:hAnsiTheme="majorEastAsia" w:eastAsiaTheme="majorEastAsia"/>
          <w:sz w:val="52"/>
        </w:rPr>
      </w:pPr>
    </w:p>
    <w:p w14:paraId="3593202A">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14:paraId="4BE4ED15">
      <w:pPr>
        <w:spacing w:line="500" w:lineRule="exact"/>
        <w:jc w:val="center"/>
        <w:rPr>
          <w:rFonts w:hint="eastAsia" w:asciiTheme="majorEastAsia" w:hAnsiTheme="majorEastAsia" w:eastAsiaTheme="majorEastAsia"/>
          <w:sz w:val="44"/>
          <w:szCs w:val="44"/>
        </w:rPr>
      </w:pPr>
    </w:p>
    <w:p w14:paraId="2B5A6574">
      <w:pPr>
        <w:spacing w:line="500" w:lineRule="exact"/>
        <w:jc w:val="center"/>
        <w:rPr>
          <w:rFonts w:hint="eastAsia" w:asciiTheme="majorEastAsia" w:hAnsiTheme="majorEastAsia" w:eastAsiaTheme="majorEastAsia"/>
          <w:sz w:val="44"/>
          <w:szCs w:val="44"/>
        </w:rPr>
      </w:pPr>
    </w:p>
    <w:p w14:paraId="491CA3BC">
      <w:pPr>
        <w:spacing w:line="500" w:lineRule="exact"/>
        <w:jc w:val="center"/>
        <w:rPr>
          <w:rFonts w:hint="eastAsia" w:asciiTheme="majorEastAsia" w:hAnsiTheme="majorEastAsia" w:eastAsiaTheme="majorEastAsia"/>
          <w:sz w:val="44"/>
          <w:szCs w:val="44"/>
        </w:rPr>
      </w:pPr>
    </w:p>
    <w:p w14:paraId="7A6A3D96">
      <w:pPr>
        <w:spacing w:line="500" w:lineRule="exact"/>
        <w:jc w:val="center"/>
        <w:rPr>
          <w:rFonts w:asciiTheme="majorEastAsia" w:hAnsiTheme="majorEastAsia" w:eastAsiaTheme="majorEastAsia"/>
          <w:sz w:val="44"/>
          <w:szCs w:val="44"/>
        </w:rPr>
      </w:pPr>
    </w:p>
    <w:p w14:paraId="13300293">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14:paraId="52D06D25">
      <w:pPr>
        <w:spacing w:line="500" w:lineRule="exact"/>
        <w:jc w:val="center"/>
        <w:rPr>
          <w:rFonts w:asciiTheme="majorEastAsia" w:hAnsiTheme="majorEastAsia" w:eastAsiaTheme="majorEastAsia"/>
          <w:sz w:val="44"/>
        </w:rPr>
      </w:pPr>
    </w:p>
    <w:p w14:paraId="3F28ABE8">
      <w:pPr>
        <w:spacing w:line="500" w:lineRule="exact"/>
        <w:jc w:val="center"/>
        <w:rPr>
          <w:rFonts w:asciiTheme="majorEastAsia" w:hAnsiTheme="majorEastAsia" w:eastAsiaTheme="majorEastAsia"/>
          <w:sz w:val="44"/>
        </w:rPr>
      </w:pPr>
    </w:p>
    <w:p w14:paraId="61E697A2">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法定代表人授权委托书（附法定代表人身份证复印件、授权代表人身份证复印件）</w:t>
      </w:r>
    </w:p>
    <w:p w14:paraId="1C6D8714">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第二部分  报价表</w:t>
      </w:r>
    </w:p>
    <w:p w14:paraId="65C339A0">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第三部分  商务部分响应表</w:t>
      </w:r>
    </w:p>
    <w:p w14:paraId="30840246">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第四部分  技术服务要求响应表</w:t>
      </w:r>
    </w:p>
    <w:p w14:paraId="411B8E91">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第五部分  供应商类似项目业绩一览表（附合同、协议复印件）</w:t>
      </w:r>
    </w:p>
    <w:p w14:paraId="77E197ED">
      <w:pPr>
        <w:autoSpaceDE w:val="0"/>
        <w:autoSpaceDN w:val="0"/>
        <w:adjustRightInd w:val="0"/>
        <w:spacing w:line="440" w:lineRule="exact"/>
        <w:jc w:val="left"/>
        <w:rPr>
          <w:rFonts w:hint="eastAsia" w:cs="宋体" w:asciiTheme="majorEastAsia" w:hAnsiTheme="majorEastAsia" w:eastAsiaTheme="majorEastAsia"/>
          <w:b/>
          <w:kern w:val="0"/>
          <w:sz w:val="28"/>
          <w:szCs w:val="28"/>
        </w:rPr>
      </w:pPr>
      <w:r>
        <w:rPr>
          <w:rFonts w:hint="eastAsia" w:cs="宋体" w:asciiTheme="majorEastAsia" w:hAnsiTheme="majorEastAsia" w:eastAsiaTheme="majorEastAsia"/>
          <w:kern w:val="0"/>
          <w:sz w:val="28"/>
          <w:szCs w:val="28"/>
        </w:rPr>
        <w:t>第六部分  企业营业执照复印件、属地卫生行政部门许可的职业健康检查有效资质、</w:t>
      </w:r>
      <w:r>
        <w:rPr>
          <w:rFonts w:hint="eastAsia" w:cs="宋体" w:asciiTheme="majorEastAsia" w:hAnsiTheme="majorEastAsia" w:eastAsiaTheme="majorEastAsia"/>
          <w:b/>
          <w:kern w:val="0"/>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kern w:val="0"/>
          <w:sz w:val="28"/>
          <w:szCs w:val="28"/>
        </w:rPr>
        <w:t>以及有关于本项目相关的其他资格证明资料。</w:t>
      </w:r>
    </w:p>
    <w:p w14:paraId="5F44D013">
      <w:pPr>
        <w:autoSpaceDE w:val="0"/>
        <w:autoSpaceDN w:val="0"/>
        <w:adjustRightInd w:val="0"/>
        <w:spacing w:line="440" w:lineRule="exact"/>
        <w:jc w:val="left"/>
        <w:rPr>
          <w:rFonts w:hint="eastAsia" w:cs="宋体" w:asciiTheme="majorEastAsia" w:hAnsiTheme="majorEastAsia" w:eastAsiaTheme="majorEastAsia"/>
          <w:b/>
          <w:kern w:val="0"/>
          <w:sz w:val="28"/>
          <w:szCs w:val="28"/>
        </w:rPr>
      </w:pPr>
    </w:p>
    <w:p w14:paraId="523272D3">
      <w:pPr>
        <w:autoSpaceDE w:val="0"/>
        <w:autoSpaceDN w:val="0"/>
        <w:adjustRightInd w:val="0"/>
        <w:spacing w:line="440" w:lineRule="exact"/>
        <w:jc w:val="left"/>
        <w:rPr>
          <w:rFonts w:hint="eastAsia" w:cs="宋体" w:asciiTheme="majorEastAsia" w:hAnsiTheme="majorEastAsia" w:eastAsiaTheme="majorEastAsia"/>
          <w:b/>
          <w:kern w:val="0"/>
          <w:sz w:val="28"/>
          <w:szCs w:val="28"/>
        </w:rPr>
      </w:pPr>
    </w:p>
    <w:p w14:paraId="296F6ED2">
      <w:pPr>
        <w:rPr>
          <w:rFonts w:asciiTheme="majorEastAsia" w:hAnsiTheme="majorEastAsia" w:eastAsiaTheme="majorEastAsia"/>
          <w:sz w:val="20"/>
        </w:rPr>
      </w:pPr>
    </w:p>
    <w:p w14:paraId="04267C6F">
      <w:pPr>
        <w:rPr>
          <w:rFonts w:asciiTheme="majorEastAsia" w:hAnsiTheme="majorEastAsia" w:eastAsiaTheme="majorEastAsia"/>
          <w:sz w:val="20"/>
        </w:rPr>
      </w:pPr>
    </w:p>
    <w:p w14:paraId="39C33DB6">
      <w:pPr>
        <w:rPr>
          <w:rFonts w:asciiTheme="majorEastAsia" w:hAnsiTheme="majorEastAsia" w:eastAsiaTheme="majorEastAsia"/>
          <w:sz w:val="20"/>
        </w:rPr>
      </w:pPr>
    </w:p>
    <w:p w14:paraId="020D12E1">
      <w:pPr>
        <w:rPr>
          <w:rFonts w:asciiTheme="majorEastAsia" w:hAnsiTheme="majorEastAsia" w:eastAsiaTheme="majorEastAsia"/>
          <w:sz w:val="20"/>
        </w:rPr>
      </w:pPr>
    </w:p>
    <w:p w14:paraId="58D9FD57">
      <w:pPr>
        <w:rPr>
          <w:rFonts w:asciiTheme="majorEastAsia" w:hAnsiTheme="majorEastAsia" w:eastAsiaTheme="majorEastAsia"/>
          <w:sz w:val="20"/>
        </w:rPr>
      </w:pPr>
    </w:p>
    <w:p w14:paraId="5A9EEDBC">
      <w:pPr>
        <w:rPr>
          <w:rFonts w:asciiTheme="majorEastAsia" w:hAnsiTheme="majorEastAsia" w:eastAsiaTheme="majorEastAsia"/>
          <w:sz w:val="20"/>
        </w:rPr>
      </w:pPr>
    </w:p>
    <w:p w14:paraId="7AA69C2F">
      <w:pPr>
        <w:rPr>
          <w:rFonts w:asciiTheme="majorEastAsia" w:hAnsiTheme="majorEastAsia" w:eastAsiaTheme="majorEastAsia"/>
          <w:sz w:val="20"/>
        </w:rPr>
      </w:pPr>
    </w:p>
    <w:p w14:paraId="26111187">
      <w:pPr>
        <w:rPr>
          <w:rFonts w:asciiTheme="majorEastAsia" w:hAnsiTheme="majorEastAsia" w:eastAsiaTheme="majorEastAsia"/>
          <w:sz w:val="20"/>
        </w:rPr>
      </w:pPr>
    </w:p>
    <w:p w14:paraId="1E35B6A6">
      <w:pPr>
        <w:rPr>
          <w:rFonts w:asciiTheme="majorEastAsia" w:hAnsiTheme="majorEastAsia" w:eastAsiaTheme="majorEastAsia"/>
          <w:sz w:val="20"/>
        </w:rPr>
      </w:pPr>
    </w:p>
    <w:p w14:paraId="3EFE1372">
      <w:pPr>
        <w:rPr>
          <w:rFonts w:hint="eastAsia" w:asciiTheme="majorEastAsia" w:hAnsiTheme="majorEastAsia" w:eastAsiaTheme="majorEastAsia"/>
          <w:sz w:val="20"/>
        </w:rPr>
      </w:pPr>
    </w:p>
    <w:p w14:paraId="31AECD13">
      <w:pPr>
        <w:rPr>
          <w:rFonts w:hint="eastAsia" w:asciiTheme="majorEastAsia" w:hAnsiTheme="majorEastAsia" w:eastAsiaTheme="majorEastAsia"/>
          <w:sz w:val="20"/>
        </w:rPr>
      </w:pPr>
    </w:p>
    <w:p w14:paraId="3C614763">
      <w:pPr>
        <w:rPr>
          <w:rFonts w:asciiTheme="majorEastAsia" w:hAnsiTheme="majorEastAsia" w:eastAsiaTheme="majorEastAsia"/>
          <w:sz w:val="20"/>
        </w:rPr>
      </w:pPr>
    </w:p>
    <w:p w14:paraId="7FD71953">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文件三：</w:t>
      </w:r>
    </w:p>
    <w:p w14:paraId="22360002">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14:paraId="1A6ECFD9">
      <w:pPr>
        <w:spacing w:line="540" w:lineRule="exact"/>
        <w:rPr>
          <w:rFonts w:asciiTheme="majorEastAsia" w:hAnsiTheme="majorEastAsia" w:eastAsiaTheme="majorEastAsia"/>
          <w:sz w:val="28"/>
          <w:szCs w:val="28"/>
        </w:rPr>
      </w:pPr>
    </w:p>
    <w:p w14:paraId="6A0B9BF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成都恒达光学有限公司：</w:t>
      </w:r>
    </w:p>
    <w:p w14:paraId="550EA39D">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14:paraId="28C4240C">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14:paraId="108E4084">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14:paraId="16850CF6">
      <w:pPr>
        <w:spacing w:line="540" w:lineRule="exact"/>
        <w:ind w:firstLine="630"/>
        <w:rPr>
          <w:rFonts w:asciiTheme="majorEastAsia" w:hAnsiTheme="majorEastAsia" w:eastAsiaTheme="majorEastAsia"/>
          <w:sz w:val="28"/>
          <w:szCs w:val="28"/>
        </w:rPr>
      </w:pPr>
    </w:p>
    <w:p w14:paraId="7CE09177">
      <w:pPr>
        <w:spacing w:line="540" w:lineRule="exact"/>
        <w:rPr>
          <w:rFonts w:asciiTheme="majorEastAsia" w:hAnsiTheme="majorEastAsia" w:eastAsiaTheme="majorEastAsia"/>
          <w:sz w:val="28"/>
          <w:szCs w:val="28"/>
        </w:rPr>
      </w:pPr>
    </w:p>
    <w:p w14:paraId="55B85798">
      <w:pPr>
        <w:widowControl/>
        <w:snapToGrid w:val="0"/>
        <w:spacing w:before="19" w:line="540" w:lineRule="exact"/>
        <w:ind w:firstLine="700" w:firstLineChars="250"/>
        <w:rPr>
          <w:rFonts w:asciiTheme="majorEastAsia" w:hAnsiTheme="majorEastAsia" w:eastAsiaTheme="majorEastAsia"/>
          <w:sz w:val="28"/>
          <w:szCs w:val="28"/>
        </w:rPr>
      </w:pPr>
    </w:p>
    <w:p w14:paraId="037DE75E">
      <w:pPr>
        <w:widowControl/>
        <w:snapToGrid w:val="0"/>
        <w:spacing w:before="19" w:line="540" w:lineRule="exact"/>
        <w:ind w:firstLine="700" w:firstLineChars="250"/>
        <w:rPr>
          <w:rFonts w:asciiTheme="majorEastAsia" w:hAnsiTheme="majorEastAsia" w:eastAsiaTheme="majorEastAsia"/>
          <w:sz w:val="28"/>
          <w:szCs w:val="28"/>
        </w:rPr>
      </w:pPr>
    </w:p>
    <w:p w14:paraId="1F0ACF99">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14:paraId="4AD7366C">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14:paraId="6CE1CA05">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14:paraId="2B49073C">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14:paraId="307F582B">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14:paraId="68018939">
      <w:pPr>
        <w:spacing w:line="540" w:lineRule="exact"/>
        <w:rPr>
          <w:rFonts w:hint="eastAsia" w:asciiTheme="majorEastAsia" w:hAnsiTheme="majorEastAsia" w:eastAsiaTheme="majorEastAsia"/>
          <w:sz w:val="24"/>
        </w:rPr>
      </w:pPr>
    </w:p>
    <w:p w14:paraId="4F0F72BD">
      <w:pPr>
        <w:spacing w:line="540" w:lineRule="exact"/>
        <w:rPr>
          <w:rFonts w:hint="eastAsia" w:asciiTheme="majorEastAsia" w:hAnsiTheme="majorEastAsia" w:eastAsiaTheme="majorEastAsia"/>
          <w:sz w:val="24"/>
        </w:rPr>
      </w:pPr>
    </w:p>
    <w:p w14:paraId="6BDB93E5">
      <w:pPr>
        <w:spacing w:line="540" w:lineRule="exact"/>
        <w:rPr>
          <w:rFonts w:hint="eastAsia" w:asciiTheme="majorEastAsia" w:hAnsiTheme="majorEastAsia" w:eastAsiaTheme="majorEastAsia"/>
          <w:sz w:val="24"/>
        </w:rPr>
      </w:pPr>
    </w:p>
    <w:p w14:paraId="52EB6180">
      <w:pPr>
        <w:spacing w:line="540" w:lineRule="exact"/>
        <w:rPr>
          <w:rFonts w:hint="eastAsia" w:asciiTheme="majorEastAsia" w:hAnsiTheme="majorEastAsia" w:eastAsiaTheme="majorEastAsia"/>
          <w:sz w:val="24"/>
        </w:rPr>
      </w:pPr>
    </w:p>
    <w:p w14:paraId="007ED0C2">
      <w:pPr>
        <w:spacing w:line="540" w:lineRule="exact"/>
        <w:rPr>
          <w:rFonts w:hint="eastAsia" w:asciiTheme="majorEastAsia" w:hAnsiTheme="majorEastAsia" w:eastAsiaTheme="majorEastAsia"/>
          <w:sz w:val="24"/>
        </w:rPr>
      </w:pPr>
    </w:p>
    <w:p w14:paraId="7A21F288">
      <w:pPr>
        <w:spacing w:line="540" w:lineRule="exact"/>
        <w:rPr>
          <w:rFonts w:hint="eastAsia" w:asciiTheme="majorEastAsia" w:hAnsiTheme="majorEastAsia" w:eastAsiaTheme="majorEastAsia"/>
          <w:sz w:val="24"/>
        </w:rPr>
      </w:pPr>
    </w:p>
    <w:p w14:paraId="0257F518">
      <w:pPr>
        <w:spacing w:line="540" w:lineRule="exact"/>
        <w:rPr>
          <w:rFonts w:hint="eastAsia" w:asciiTheme="majorEastAsia" w:hAnsiTheme="majorEastAsia" w:eastAsiaTheme="majorEastAsia"/>
          <w:sz w:val="24"/>
        </w:rPr>
      </w:pPr>
    </w:p>
    <w:p w14:paraId="29E49A4F">
      <w:pPr>
        <w:spacing w:line="540" w:lineRule="exact"/>
        <w:rPr>
          <w:rFonts w:hint="eastAsia" w:asciiTheme="majorEastAsia" w:hAnsiTheme="majorEastAsia" w:eastAsiaTheme="majorEastAsia"/>
          <w:sz w:val="24"/>
        </w:rPr>
      </w:pPr>
      <w:r>
        <w:rPr>
          <w:rFonts w:hint="eastAsia" w:asciiTheme="majorEastAsia" w:hAnsiTheme="majorEastAsia" w:eastAsiaTheme="majorEastAsia"/>
          <w:sz w:val="24"/>
        </w:rPr>
        <w:t>文件四：</w:t>
      </w:r>
    </w:p>
    <w:p w14:paraId="45D5390D">
      <w:pPr>
        <w:spacing w:line="540" w:lineRule="exact"/>
        <w:jc w:val="center"/>
        <w:rPr>
          <w:rFonts w:hint="eastAsia" w:asciiTheme="majorEastAsia" w:hAnsiTheme="majorEastAsia" w:eastAsiaTheme="majorEastAsia"/>
          <w:sz w:val="36"/>
          <w:szCs w:val="36"/>
        </w:rPr>
      </w:pPr>
      <w:r>
        <w:rPr>
          <w:rFonts w:hint="eastAsia" w:asciiTheme="majorEastAsia" w:hAnsiTheme="majorEastAsia" w:eastAsiaTheme="majorEastAsia"/>
          <w:sz w:val="36"/>
          <w:szCs w:val="36"/>
        </w:rPr>
        <w:t>报价单</w:t>
      </w:r>
    </w:p>
    <w:p w14:paraId="1AEBEA47">
      <w:pPr>
        <w:spacing w:line="540" w:lineRule="exact"/>
        <w:rPr>
          <w:rFonts w:hint="eastAsia" w:asciiTheme="majorEastAsia" w:hAnsiTheme="majorEastAsia" w:eastAsiaTheme="majorEastAsia"/>
          <w:sz w:val="28"/>
          <w:szCs w:val="28"/>
        </w:rPr>
      </w:pPr>
      <w:r>
        <w:rPr>
          <w:rFonts w:hint="eastAsia" w:asciiTheme="majorEastAsia" w:hAnsiTheme="majorEastAsia" w:eastAsiaTheme="majorEastAsia"/>
          <w:sz w:val="28"/>
          <w:szCs w:val="28"/>
        </w:rPr>
        <w:t>以下报价含（  ）%专用增值税率。</w:t>
      </w:r>
    </w:p>
    <w:tbl>
      <w:tblPr>
        <w:tblStyle w:val="17"/>
        <w:tblW w:w="9371" w:type="dxa"/>
        <w:tblInd w:w="93" w:type="dxa"/>
        <w:tblLayout w:type="autofit"/>
        <w:tblCellMar>
          <w:top w:w="0" w:type="dxa"/>
          <w:left w:w="108" w:type="dxa"/>
          <w:bottom w:w="0" w:type="dxa"/>
          <w:right w:w="108" w:type="dxa"/>
        </w:tblCellMar>
      </w:tblPr>
      <w:tblGrid>
        <w:gridCol w:w="1140"/>
        <w:gridCol w:w="3553"/>
        <w:gridCol w:w="3260"/>
        <w:gridCol w:w="1418"/>
      </w:tblGrid>
      <w:tr w14:paraId="2DF63EC1">
        <w:tblPrEx>
          <w:tblCellMar>
            <w:top w:w="0" w:type="dxa"/>
            <w:left w:w="108" w:type="dxa"/>
            <w:bottom w:w="0" w:type="dxa"/>
            <w:right w:w="108" w:type="dxa"/>
          </w:tblCellMar>
        </w:tblPrEx>
        <w:trPr>
          <w:trHeight w:val="300" w:hRule="atLeast"/>
        </w:trPr>
        <w:tc>
          <w:tcPr>
            <w:tcW w:w="7953"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586520FA">
            <w:pPr>
              <w:widowControl/>
              <w:jc w:val="center"/>
              <w:rPr>
                <w:rFonts w:ascii="宋体" w:hAnsi="宋体" w:cs="宋体"/>
                <w:b/>
                <w:bCs/>
                <w:color w:val="000000"/>
                <w:kern w:val="0"/>
                <w:sz w:val="24"/>
              </w:rPr>
            </w:pPr>
            <w:r>
              <w:rPr>
                <w:rFonts w:hint="eastAsia" w:ascii="宋体" w:hAnsi="宋体" w:cs="宋体"/>
                <w:b/>
                <w:bCs/>
                <w:color w:val="000000"/>
                <w:kern w:val="0"/>
                <w:sz w:val="24"/>
              </w:rPr>
              <w:t>检查项目</w:t>
            </w:r>
          </w:p>
        </w:tc>
        <w:tc>
          <w:tcPr>
            <w:tcW w:w="1418"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7429F0F1">
            <w:pPr>
              <w:widowControl/>
              <w:jc w:val="center"/>
              <w:rPr>
                <w:rFonts w:ascii="宋体" w:hAnsi="宋体" w:cs="宋体"/>
                <w:b/>
                <w:bCs/>
                <w:color w:val="000000"/>
                <w:kern w:val="0"/>
                <w:sz w:val="24"/>
              </w:rPr>
            </w:pPr>
            <w:r>
              <w:rPr>
                <w:rFonts w:hint="eastAsia" w:ascii="宋体" w:hAnsi="宋体" w:cs="宋体"/>
                <w:b/>
                <w:bCs/>
                <w:color w:val="000000"/>
                <w:kern w:val="0"/>
                <w:sz w:val="24"/>
              </w:rPr>
              <w:t>检查费用（元</w:t>
            </w:r>
            <w:r>
              <w:rPr>
                <w:b/>
                <w:bCs/>
                <w:color w:val="000000"/>
                <w:kern w:val="0"/>
                <w:sz w:val="24"/>
              </w:rPr>
              <w:t>/</w:t>
            </w:r>
            <w:r>
              <w:rPr>
                <w:rFonts w:hint="eastAsia" w:ascii="宋体" w:hAnsi="宋体" w:cs="宋体"/>
                <w:b/>
                <w:bCs/>
                <w:color w:val="000000"/>
                <w:kern w:val="0"/>
                <w:sz w:val="24"/>
              </w:rPr>
              <w:t>人）</w:t>
            </w:r>
          </w:p>
        </w:tc>
      </w:tr>
      <w:tr w14:paraId="5FA1287C">
        <w:tblPrEx>
          <w:tblCellMar>
            <w:top w:w="0" w:type="dxa"/>
            <w:left w:w="108" w:type="dxa"/>
            <w:bottom w:w="0" w:type="dxa"/>
            <w:right w:w="108" w:type="dxa"/>
          </w:tblCellMar>
        </w:tblPrEx>
        <w:trPr>
          <w:trHeight w:val="662"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4EBC654A">
            <w:pPr>
              <w:widowControl/>
              <w:jc w:val="center"/>
              <w:rPr>
                <w:rFonts w:ascii="宋体" w:hAnsi="宋体" w:cs="宋体"/>
                <w:b/>
                <w:bCs/>
                <w:color w:val="000000"/>
                <w:kern w:val="0"/>
                <w:sz w:val="24"/>
              </w:rPr>
            </w:pPr>
            <w:r>
              <w:rPr>
                <w:rFonts w:hint="eastAsia" w:ascii="宋体" w:hAnsi="宋体" w:cs="宋体"/>
                <w:b/>
                <w:bCs/>
                <w:color w:val="000000"/>
                <w:kern w:val="0"/>
                <w:sz w:val="24"/>
              </w:rPr>
              <w:t>岗位</w:t>
            </w:r>
          </w:p>
        </w:tc>
        <w:tc>
          <w:tcPr>
            <w:tcW w:w="3553" w:type="dxa"/>
            <w:tcBorders>
              <w:top w:val="nil"/>
              <w:left w:val="nil"/>
              <w:bottom w:val="single" w:color="auto" w:sz="8" w:space="0"/>
              <w:right w:val="single" w:color="auto" w:sz="8" w:space="0"/>
            </w:tcBorders>
            <w:shd w:val="clear" w:color="auto" w:fill="auto"/>
            <w:vAlign w:val="center"/>
          </w:tcPr>
          <w:p w14:paraId="1D0A94C3">
            <w:pPr>
              <w:widowControl/>
              <w:jc w:val="center"/>
              <w:rPr>
                <w:rFonts w:ascii="宋体" w:hAnsi="宋体" w:cs="宋体"/>
                <w:b/>
                <w:bCs/>
                <w:color w:val="000000"/>
                <w:kern w:val="0"/>
                <w:sz w:val="24"/>
              </w:rPr>
            </w:pPr>
            <w:r>
              <w:rPr>
                <w:rFonts w:hint="eastAsia" w:ascii="宋体" w:hAnsi="宋体" w:cs="宋体"/>
                <w:b/>
                <w:bCs/>
                <w:color w:val="000000"/>
                <w:kern w:val="0"/>
                <w:sz w:val="24"/>
              </w:rPr>
              <w:t>接触职业病危害因素</w:t>
            </w:r>
          </w:p>
        </w:tc>
        <w:tc>
          <w:tcPr>
            <w:tcW w:w="3260" w:type="dxa"/>
            <w:tcBorders>
              <w:top w:val="nil"/>
              <w:left w:val="nil"/>
              <w:bottom w:val="single" w:color="auto" w:sz="8" w:space="0"/>
              <w:right w:val="single" w:color="auto" w:sz="8" w:space="0"/>
            </w:tcBorders>
            <w:shd w:val="clear" w:color="auto" w:fill="auto"/>
            <w:vAlign w:val="center"/>
          </w:tcPr>
          <w:p w14:paraId="71468E5B">
            <w:pPr>
              <w:widowControl/>
              <w:jc w:val="center"/>
              <w:rPr>
                <w:rFonts w:ascii="宋体" w:hAnsi="宋体" w:cs="宋体"/>
                <w:b/>
                <w:bCs/>
                <w:color w:val="000000"/>
                <w:kern w:val="0"/>
                <w:sz w:val="24"/>
              </w:rPr>
            </w:pPr>
            <w:r>
              <w:rPr>
                <w:rFonts w:hint="eastAsia" w:ascii="宋体" w:hAnsi="宋体" w:cs="宋体"/>
                <w:b/>
                <w:bCs/>
                <w:color w:val="000000"/>
                <w:kern w:val="0"/>
                <w:sz w:val="24"/>
              </w:rPr>
              <w:t>应体检的项目</w:t>
            </w:r>
          </w:p>
        </w:tc>
        <w:tc>
          <w:tcPr>
            <w:tcW w:w="1418" w:type="dxa"/>
            <w:vMerge w:val="continue"/>
            <w:tcBorders>
              <w:top w:val="single" w:color="auto" w:sz="8" w:space="0"/>
              <w:left w:val="single" w:color="auto" w:sz="8" w:space="0"/>
              <w:bottom w:val="single" w:color="000000" w:sz="8" w:space="0"/>
              <w:right w:val="single" w:color="auto" w:sz="8" w:space="0"/>
            </w:tcBorders>
            <w:vAlign w:val="center"/>
          </w:tcPr>
          <w:p w14:paraId="2444809E">
            <w:pPr>
              <w:widowControl/>
              <w:jc w:val="left"/>
              <w:rPr>
                <w:rFonts w:ascii="宋体" w:hAnsi="宋体" w:cs="宋体"/>
                <w:b/>
                <w:bCs/>
                <w:color w:val="000000"/>
                <w:kern w:val="0"/>
                <w:sz w:val="24"/>
              </w:rPr>
            </w:pPr>
          </w:p>
        </w:tc>
      </w:tr>
      <w:tr w14:paraId="15F1B9ED">
        <w:tblPrEx>
          <w:tblCellMar>
            <w:top w:w="0" w:type="dxa"/>
            <w:left w:w="108" w:type="dxa"/>
            <w:bottom w:w="0" w:type="dxa"/>
            <w:right w:w="108" w:type="dxa"/>
          </w:tblCellMar>
        </w:tblPrEx>
        <w:trPr>
          <w:trHeight w:val="330"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5AAA3686">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机切</w:t>
            </w:r>
          </w:p>
        </w:tc>
        <w:tc>
          <w:tcPr>
            <w:tcW w:w="3553" w:type="dxa"/>
            <w:tcBorders>
              <w:top w:val="nil"/>
              <w:left w:val="nil"/>
              <w:bottom w:val="single" w:color="auto" w:sz="8" w:space="0"/>
              <w:right w:val="single" w:color="auto" w:sz="8" w:space="0"/>
            </w:tcBorders>
            <w:shd w:val="clear" w:color="auto" w:fill="auto"/>
            <w:vAlign w:val="center"/>
          </w:tcPr>
          <w:p w14:paraId="6B59E850">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w:t>
            </w:r>
          </w:p>
        </w:tc>
        <w:tc>
          <w:tcPr>
            <w:tcW w:w="3260" w:type="dxa"/>
            <w:tcBorders>
              <w:top w:val="nil"/>
              <w:left w:val="nil"/>
              <w:bottom w:val="single" w:color="auto" w:sz="8" w:space="0"/>
              <w:right w:val="single" w:color="auto" w:sz="8" w:space="0"/>
            </w:tcBorders>
            <w:shd w:val="clear" w:color="auto" w:fill="auto"/>
            <w:vAlign w:val="center"/>
          </w:tcPr>
          <w:p w14:paraId="47C50E6F">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w:t>
            </w:r>
          </w:p>
        </w:tc>
        <w:tc>
          <w:tcPr>
            <w:tcW w:w="1418" w:type="dxa"/>
            <w:tcBorders>
              <w:top w:val="nil"/>
              <w:left w:val="nil"/>
              <w:bottom w:val="single" w:color="auto" w:sz="8" w:space="0"/>
              <w:right w:val="single" w:color="auto" w:sz="8" w:space="0"/>
            </w:tcBorders>
            <w:shd w:val="clear" w:color="auto" w:fill="auto"/>
            <w:vAlign w:val="center"/>
          </w:tcPr>
          <w:p w14:paraId="45AECD7E">
            <w:pPr>
              <w:jc w:val="center"/>
              <w:rPr>
                <w:rFonts w:ascii="Times New Roman" w:hAnsi="Times New Roman" w:eastAsia="宋体" w:cs="Times New Roman"/>
                <w:kern w:val="2"/>
                <w:sz w:val="24"/>
                <w:szCs w:val="32"/>
                <w:highlight w:val="none"/>
                <w:lang w:val="en-US" w:eastAsia="zh-CN" w:bidi="ar-SA"/>
              </w:rPr>
            </w:pPr>
          </w:p>
        </w:tc>
      </w:tr>
      <w:tr w14:paraId="0CF6A5D8">
        <w:tblPrEx>
          <w:tblCellMar>
            <w:top w:w="0" w:type="dxa"/>
            <w:left w:w="108" w:type="dxa"/>
            <w:bottom w:w="0" w:type="dxa"/>
            <w:right w:w="108" w:type="dxa"/>
          </w:tblCellMar>
        </w:tblPrEx>
        <w:trPr>
          <w:trHeight w:val="585"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0DB7754F">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压断</w:t>
            </w:r>
          </w:p>
        </w:tc>
        <w:tc>
          <w:tcPr>
            <w:tcW w:w="3553" w:type="dxa"/>
            <w:tcBorders>
              <w:top w:val="nil"/>
              <w:left w:val="nil"/>
              <w:bottom w:val="single" w:color="auto" w:sz="8" w:space="0"/>
              <w:right w:val="single" w:color="auto" w:sz="8" w:space="0"/>
            </w:tcBorders>
            <w:shd w:val="clear" w:color="auto" w:fill="auto"/>
            <w:vAlign w:val="center"/>
          </w:tcPr>
          <w:p w14:paraId="554BE6FE">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w:t>
            </w:r>
          </w:p>
        </w:tc>
        <w:tc>
          <w:tcPr>
            <w:tcW w:w="3260" w:type="dxa"/>
            <w:tcBorders>
              <w:top w:val="nil"/>
              <w:left w:val="nil"/>
              <w:bottom w:val="single" w:color="auto" w:sz="8" w:space="0"/>
              <w:right w:val="single" w:color="auto" w:sz="8" w:space="0"/>
            </w:tcBorders>
            <w:shd w:val="clear" w:color="auto" w:fill="auto"/>
            <w:vAlign w:val="center"/>
          </w:tcPr>
          <w:p w14:paraId="4FFC3B6D">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w:t>
            </w:r>
          </w:p>
        </w:tc>
        <w:tc>
          <w:tcPr>
            <w:tcW w:w="1418" w:type="dxa"/>
            <w:tcBorders>
              <w:top w:val="nil"/>
              <w:left w:val="nil"/>
              <w:bottom w:val="single" w:color="auto" w:sz="8" w:space="0"/>
              <w:right w:val="single" w:color="auto" w:sz="8" w:space="0"/>
            </w:tcBorders>
            <w:shd w:val="clear" w:color="auto" w:fill="auto"/>
            <w:vAlign w:val="center"/>
          </w:tcPr>
          <w:p w14:paraId="62D72F62">
            <w:pPr>
              <w:jc w:val="center"/>
              <w:rPr>
                <w:rFonts w:ascii="Times New Roman" w:hAnsi="Times New Roman" w:eastAsia="宋体" w:cs="Times New Roman"/>
                <w:kern w:val="2"/>
                <w:sz w:val="24"/>
                <w:szCs w:val="32"/>
                <w:highlight w:val="none"/>
                <w:lang w:val="en-US" w:eastAsia="zh-CN" w:bidi="ar-SA"/>
              </w:rPr>
            </w:pPr>
          </w:p>
        </w:tc>
      </w:tr>
      <w:tr w14:paraId="4D5373BB">
        <w:tblPrEx>
          <w:tblCellMar>
            <w:top w:w="0" w:type="dxa"/>
            <w:left w:w="108" w:type="dxa"/>
            <w:bottom w:w="0" w:type="dxa"/>
            <w:right w:w="108" w:type="dxa"/>
          </w:tblCellMar>
        </w:tblPrEx>
        <w:trPr>
          <w:trHeight w:val="412"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69FDA8F9">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激光</w:t>
            </w:r>
          </w:p>
        </w:tc>
        <w:tc>
          <w:tcPr>
            <w:tcW w:w="3553" w:type="dxa"/>
            <w:tcBorders>
              <w:top w:val="nil"/>
              <w:left w:val="nil"/>
              <w:bottom w:val="single" w:color="auto" w:sz="8" w:space="0"/>
              <w:right w:val="single" w:color="auto" w:sz="8" w:space="0"/>
            </w:tcBorders>
            <w:shd w:val="clear" w:color="auto" w:fill="auto"/>
            <w:vAlign w:val="center"/>
          </w:tcPr>
          <w:p w14:paraId="1ED02BA6">
            <w:pPr>
              <w:jc w:val="center"/>
              <w:rPr>
                <w:rFonts w:hint="eastAsia" w:ascii="Times New Roman" w:hAnsi="Times New Roman" w:eastAsia="宋体" w:cs="Times New Roman"/>
                <w:kern w:val="2"/>
                <w:sz w:val="24"/>
                <w:szCs w:val="32"/>
                <w:highlight w:val="none"/>
                <w:lang w:val="en-US" w:eastAsia="zh-CN" w:bidi="ar-SA"/>
              </w:rPr>
            </w:pPr>
            <w:r>
              <w:rPr>
                <w:rFonts w:hint="eastAsia"/>
                <w:sz w:val="24"/>
                <w:szCs w:val="32"/>
                <w:highlight w:val="none"/>
              </w:rPr>
              <w:t>噪声、</w:t>
            </w:r>
            <w:r>
              <w:rPr>
                <w:rFonts w:hint="eastAsia"/>
                <w:sz w:val="24"/>
                <w:szCs w:val="32"/>
                <w:highlight w:val="none"/>
                <w:lang w:val="en-US" w:eastAsia="zh-CN"/>
              </w:rPr>
              <w:t>激光辐射</w:t>
            </w:r>
          </w:p>
        </w:tc>
        <w:tc>
          <w:tcPr>
            <w:tcW w:w="3260" w:type="dxa"/>
            <w:tcBorders>
              <w:top w:val="nil"/>
              <w:left w:val="nil"/>
              <w:bottom w:val="single" w:color="auto" w:sz="8" w:space="0"/>
              <w:right w:val="single" w:color="auto" w:sz="8" w:space="0"/>
            </w:tcBorders>
            <w:shd w:val="clear" w:color="auto" w:fill="auto"/>
            <w:vAlign w:val="center"/>
          </w:tcPr>
          <w:p w14:paraId="41235751">
            <w:pPr>
              <w:jc w:val="center"/>
              <w:rPr>
                <w:rFonts w:hint="eastAsia" w:ascii="Times New Roman" w:hAnsi="Times New Roman" w:eastAsia="宋体" w:cs="Times New Roman"/>
                <w:kern w:val="2"/>
                <w:sz w:val="24"/>
                <w:szCs w:val="32"/>
                <w:highlight w:val="none"/>
                <w:lang w:val="en-US" w:eastAsia="zh-CN" w:bidi="ar-SA"/>
              </w:rPr>
            </w:pPr>
            <w:r>
              <w:rPr>
                <w:rFonts w:hint="eastAsia"/>
                <w:sz w:val="24"/>
                <w:szCs w:val="32"/>
                <w:highlight w:val="none"/>
              </w:rPr>
              <w:t>噪声</w:t>
            </w:r>
          </w:p>
        </w:tc>
        <w:tc>
          <w:tcPr>
            <w:tcW w:w="1418" w:type="dxa"/>
            <w:tcBorders>
              <w:top w:val="nil"/>
              <w:left w:val="nil"/>
              <w:bottom w:val="single" w:color="auto" w:sz="8" w:space="0"/>
              <w:right w:val="single" w:color="auto" w:sz="8" w:space="0"/>
            </w:tcBorders>
            <w:shd w:val="clear" w:color="auto" w:fill="auto"/>
            <w:vAlign w:val="center"/>
          </w:tcPr>
          <w:p w14:paraId="5C5744C5">
            <w:pPr>
              <w:jc w:val="center"/>
              <w:rPr>
                <w:rFonts w:ascii="Times New Roman" w:hAnsi="Times New Roman" w:eastAsia="宋体" w:cs="Times New Roman"/>
                <w:kern w:val="2"/>
                <w:sz w:val="24"/>
                <w:szCs w:val="32"/>
                <w:highlight w:val="none"/>
                <w:lang w:val="en-US" w:eastAsia="zh-CN" w:bidi="ar-SA"/>
              </w:rPr>
            </w:pPr>
          </w:p>
        </w:tc>
      </w:tr>
      <w:tr w14:paraId="1775BF3F">
        <w:tblPrEx>
          <w:tblCellMar>
            <w:top w:w="0" w:type="dxa"/>
            <w:left w:w="108" w:type="dxa"/>
            <w:bottom w:w="0" w:type="dxa"/>
            <w:right w:w="108" w:type="dxa"/>
          </w:tblCellMar>
        </w:tblPrEx>
        <w:trPr>
          <w:trHeight w:val="662"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29E96505">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切割</w:t>
            </w:r>
          </w:p>
        </w:tc>
        <w:tc>
          <w:tcPr>
            <w:tcW w:w="3553" w:type="dxa"/>
            <w:tcBorders>
              <w:top w:val="nil"/>
              <w:left w:val="nil"/>
              <w:bottom w:val="single" w:color="auto" w:sz="8" w:space="0"/>
              <w:right w:val="single" w:color="auto" w:sz="8" w:space="0"/>
            </w:tcBorders>
            <w:shd w:val="clear" w:color="auto" w:fill="auto"/>
            <w:vAlign w:val="center"/>
          </w:tcPr>
          <w:p w14:paraId="6DE3CEA6">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噪声、手传振动、其他粉尘</w:t>
            </w:r>
          </w:p>
        </w:tc>
        <w:tc>
          <w:tcPr>
            <w:tcW w:w="3260" w:type="dxa"/>
            <w:tcBorders>
              <w:top w:val="nil"/>
              <w:left w:val="nil"/>
              <w:bottom w:val="single" w:color="auto" w:sz="8" w:space="0"/>
              <w:right w:val="single" w:color="auto" w:sz="8" w:space="0"/>
            </w:tcBorders>
            <w:shd w:val="clear" w:color="auto" w:fill="auto"/>
            <w:vAlign w:val="center"/>
          </w:tcPr>
          <w:p w14:paraId="6A6979F0">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w:t>
            </w:r>
            <w:r>
              <w:rPr>
                <w:rFonts w:hint="eastAsia"/>
                <w:sz w:val="24"/>
                <w:szCs w:val="32"/>
                <w:highlight w:val="none"/>
              </w:rPr>
              <w:t>手传振动、其他粉尘</w:t>
            </w:r>
          </w:p>
        </w:tc>
        <w:tc>
          <w:tcPr>
            <w:tcW w:w="1418" w:type="dxa"/>
            <w:tcBorders>
              <w:top w:val="nil"/>
              <w:left w:val="nil"/>
              <w:bottom w:val="single" w:color="auto" w:sz="8" w:space="0"/>
              <w:right w:val="single" w:color="auto" w:sz="8" w:space="0"/>
            </w:tcBorders>
            <w:shd w:val="clear" w:color="auto" w:fill="auto"/>
            <w:vAlign w:val="center"/>
          </w:tcPr>
          <w:p w14:paraId="12AD680B">
            <w:pPr>
              <w:jc w:val="center"/>
              <w:rPr>
                <w:rFonts w:ascii="Times New Roman" w:hAnsi="Times New Roman" w:eastAsia="宋体" w:cs="Times New Roman"/>
                <w:kern w:val="2"/>
                <w:sz w:val="24"/>
                <w:szCs w:val="32"/>
                <w:highlight w:val="none"/>
                <w:lang w:val="en-US" w:eastAsia="zh-CN" w:bidi="ar-SA"/>
              </w:rPr>
            </w:pPr>
          </w:p>
        </w:tc>
      </w:tr>
      <w:tr w14:paraId="0A3B774B">
        <w:tblPrEx>
          <w:tblCellMar>
            <w:top w:w="0" w:type="dxa"/>
            <w:left w:w="108" w:type="dxa"/>
            <w:bottom w:w="0" w:type="dxa"/>
            <w:right w:w="108" w:type="dxa"/>
          </w:tblCellMar>
        </w:tblPrEx>
        <w:trPr>
          <w:trHeight w:val="908"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51F55F24">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调整</w:t>
            </w:r>
          </w:p>
        </w:tc>
        <w:tc>
          <w:tcPr>
            <w:tcW w:w="3553" w:type="dxa"/>
            <w:tcBorders>
              <w:top w:val="nil"/>
              <w:left w:val="nil"/>
              <w:bottom w:val="single" w:color="auto" w:sz="8" w:space="0"/>
              <w:right w:val="single" w:color="auto" w:sz="8" w:space="0"/>
            </w:tcBorders>
            <w:shd w:val="clear" w:color="auto" w:fill="auto"/>
            <w:vAlign w:val="center"/>
          </w:tcPr>
          <w:p w14:paraId="18D98548">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噪声、手传振动、其他粉尘、紫外辐射</w:t>
            </w:r>
          </w:p>
        </w:tc>
        <w:tc>
          <w:tcPr>
            <w:tcW w:w="3260" w:type="dxa"/>
            <w:tcBorders>
              <w:top w:val="nil"/>
              <w:left w:val="nil"/>
              <w:bottom w:val="single" w:color="auto" w:sz="8" w:space="0"/>
              <w:right w:val="single" w:color="auto" w:sz="8" w:space="0"/>
            </w:tcBorders>
            <w:shd w:val="clear" w:color="auto" w:fill="auto"/>
            <w:vAlign w:val="center"/>
          </w:tcPr>
          <w:p w14:paraId="5EE737FD">
            <w:pPr>
              <w:jc w:val="center"/>
              <w:rPr>
                <w:rFonts w:hint="default" w:ascii="Times New Roman" w:hAnsi="Times New Roman" w:eastAsia="宋体" w:cs="Times New Roman"/>
                <w:kern w:val="2"/>
                <w:sz w:val="24"/>
                <w:szCs w:val="32"/>
                <w:highlight w:val="none"/>
                <w:lang w:val="en-US" w:eastAsia="zh-CN" w:bidi="ar-SA"/>
              </w:rPr>
            </w:pPr>
            <w:r>
              <w:rPr>
                <w:rFonts w:hint="eastAsia"/>
                <w:sz w:val="24"/>
                <w:szCs w:val="32"/>
                <w:highlight w:val="none"/>
              </w:rPr>
              <w:t>噪声、手传振动、紫外辐射</w:t>
            </w:r>
            <w:r>
              <w:rPr>
                <w:rFonts w:hint="eastAsia"/>
                <w:sz w:val="24"/>
                <w:szCs w:val="32"/>
                <w:highlight w:val="none"/>
                <w:lang w:eastAsia="zh-CN"/>
              </w:rPr>
              <w:t>、</w:t>
            </w:r>
            <w:r>
              <w:rPr>
                <w:rFonts w:hint="eastAsia"/>
                <w:sz w:val="24"/>
                <w:szCs w:val="32"/>
                <w:highlight w:val="none"/>
                <w:lang w:val="en-US" w:eastAsia="zh-CN"/>
              </w:rPr>
              <w:t>其他粉尘</w:t>
            </w:r>
          </w:p>
        </w:tc>
        <w:tc>
          <w:tcPr>
            <w:tcW w:w="1418" w:type="dxa"/>
            <w:tcBorders>
              <w:top w:val="nil"/>
              <w:left w:val="nil"/>
              <w:bottom w:val="single" w:color="auto" w:sz="8" w:space="0"/>
              <w:right w:val="single" w:color="auto" w:sz="8" w:space="0"/>
            </w:tcBorders>
            <w:shd w:val="clear" w:color="auto" w:fill="auto"/>
            <w:vAlign w:val="center"/>
          </w:tcPr>
          <w:p w14:paraId="379250D6">
            <w:pPr>
              <w:jc w:val="center"/>
              <w:rPr>
                <w:rFonts w:hint="default" w:ascii="Times New Roman" w:hAnsi="Times New Roman" w:eastAsia="宋体" w:cs="Times New Roman"/>
                <w:kern w:val="2"/>
                <w:sz w:val="24"/>
                <w:szCs w:val="32"/>
                <w:highlight w:val="none"/>
                <w:lang w:val="en-US" w:eastAsia="zh-CN" w:bidi="ar-SA"/>
              </w:rPr>
            </w:pPr>
          </w:p>
        </w:tc>
      </w:tr>
      <w:tr w14:paraId="2E999086">
        <w:tblPrEx>
          <w:tblCellMar>
            <w:top w:w="0" w:type="dxa"/>
            <w:left w:w="108" w:type="dxa"/>
            <w:bottom w:w="0" w:type="dxa"/>
            <w:right w:w="108" w:type="dxa"/>
          </w:tblCellMar>
        </w:tblPrEx>
        <w:trPr>
          <w:trHeight w:val="525"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133E6A80">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滚料</w:t>
            </w:r>
          </w:p>
        </w:tc>
        <w:tc>
          <w:tcPr>
            <w:tcW w:w="3553" w:type="dxa"/>
            <w:tcBorders>
              <w:top w:val="nil"/>
              <w:left w:val="nil"/>
              <w:bottom w:val="single" w:color="auto" w:sz="8" w:space="0"/>
              <w:right w:val="single" w:color="auto" w:sz="8" w:space="0"/>
            </w:tcBorders>
            <w:shd w:val="clear" w:color="auto" w:fill="auto"/>
            <w:vAlign w:val="center"/>
          </w:tcPr>
          <w:p w14:paraId="3CF98D20">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噪声、碳化硅粉尘</w:t>
            </w:r>
          </w:p>
        </w:tc>
        <w:tc>
          <w:tcPr>
            <w:tcW w:w="3260" w:type="dxa"/>
            <w:tcBorders>
              <w:top w:val="nil"/>
              <w:left w:val="nil"/>
              <w:bottom w:val="single" w:color="auto" w:sz="8" w:space="0"/>
              <w:right w:val="single" w:color="auto" w:sz="8" w:space="0"/>
            </w:tcBorders>
            <w:shd w:val="clear" w:color="auto" w:fill="auto"/>
            <w:vAlign w:val="center"/>
          </w:tcPr>
          <w:p w14:paraId="1D1792C6">
            <w:pPr>
              <w:jc w:val="center"/>
              <w:rPr>
                <w:rFonts w:hint="default" w:ascii="Times New Roman" w:hAnsi="Times New Roman" w:eastAsia="宋体" w:cs="Times New Roman"/>
                <w:kern w:val="2"/>
                <w:sz w:val="24"/>
                <w:szCs w:val="32"/>
                <w:highlight w:val="none"/>
                <w:lang w:val="en-US" w:eastAsia="zh-CN" w:bidi="ar-SA"/>
              </w:rPr>
            </w:pPr>
            <w:r>
              <w:rPr>
                <w:rFonts w:hint="eastAsia"/>
                <w:sz w:val="24"/>
                <w:szCs w:val="32"/>
                <w:highlight w:val="none"/>
              </w:rPr>
              <w:t>噪声</w:t>
            </w:r>
            <w:r>
              <w:rPr>
                <w:rFonts w:hint="eastAsia"/>
                <w:sz w:val="24"/>
                <w:szCs w:val="32"/>
                <w:highlight w:val="none"/>
                <w:lang w:eastAsia="zh-CN"/>
              </w:rPr>
              <w:t>、</w:t>
            </w:r>
            <w:r>
              <w:rPr>
                <w:rFonts w:hint="eastAsia"/>
                <w:sz w:val="24"/>
                <w:szCs w:val="32"/>
                <w:highlight w:val="none"/>
                <w:lang w:val="en-US" w:eastAsia="zh-CN"/>
              </w:rPr>
              <w:t>无机粉尘</w:t>
            </w:r>
          </w:p>
        </w:tc>
        <w:tc>
          <w:tcPr>
            <w:tcW w:w="1418" w:type="dxa"/>
            <w:tcBorders>
              <w:top w:val="nil"/>
              <w:left w:val="nil"/>
              <w:bottom w:val="single" w:color="auto" w:sz="8" w:space="0"/>
              <w:right w:val="single" w:color="auto" w:sz="8" w:space="0"/>
            </w:tcBorders>
            <w:shd w:val="clear" w:color="auto" w:fill="auto"/>
            <w:vAlign w:val="center"/>
          </w:tcPr>
          <w:p w14:paraId="5AC5D92F">
            <w:pPr>
              <w:jc w:val="center"/>
              <w:rPr>
                <w:rFonts w:hint="default" w:ascii="Times New Roman" w:hAnsi="Times New Roman" w:eastAsia="宋体" w:cs="Times New Roman"/>
                <w:kern w:val="2"/>
                <w:sz w:val="24"/>
                <w:szCs w:val="32"/>
                <w:highlight w:val="none"/>
                <w:lang w:val="en-US" w:eastAsia="zh-CN" w:bidi="ar-SA"/>
              </w:rPr>
            </w:pPr>
          </w:p>
        </w:tc>
      </w:tr>
      <w:tr w14:paraId="5084D735">
        <w:tblPrEx>
          <w:tblCellMar>
            <w:top w:w="0" w:type="dxa"/>
            <w:left w:w="108" w:type="dxa"/>
            <w:bottom w:w="0" w:type="dxa"/>
            <w:right w:w="108" w:type="dxa"/>
          </w:tblCellMar>
        </w:tblPrEx>
        <w:trPr>
          <w:trHeight w:val="532"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50F6A5DE">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涂粉</w:t>
            </w:r>
          </w:p>
        </w:tc>
        <w:tc>
          <w:tcPr>
            <w:tcW w:w="3553" w:type="dxa"/>
            <w:tcBorders>
              <w:top w:val="nil"/>
              <w:left w:val="nil"/>
              <w:bottom w:val="single" w:color="auto" w:sz="8" w:space="0"/>
              <w:right w:val="single" w:color="auto" w:sz="8" w:space="0"/>
            </w:tcBorders>
            <w:shd w:val="clear" w:color="auto" w:fill="auto"/>
            <w:vAlign w:val="center"/>
          </w:tcPr>
          <w:p w14:paraId="56362312">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噪声、其他粉尘、氮化硼</w:t>
            </w:r>
          </w:p>
        </w:tc>
        <w:tc>
          <w:tcPr>
            <w:tcW w:w="3260" w:type="dxa"/>
            <w:tcBorders>
              <w:top w:val="nil"/>
              <w:left w:val="nil"/>
              <w:bottom w:val="single" w:color="auto" w:sz="8" w:space="0"/>
              <w:right w:val="single" w:color="auto" w:sz="8" w:space="0"/>
            </w:tcBorders>
            <w:shd w:val="clear" w:color="auto" w:fill="auto"/>
            <w:vAlign w:val="center"/>
          </w:tcPr>
          <w:p w14:paraId="2FC43671">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噪声、无机</w:t>
            </w:r>
            <w:r>
              <w:rPr>
                <w:rFonts w:hint="eastAsia"/>
                <w:sz w:val="24"/>
                <w:szCs w:val="32"/>
                <w:highlight w:val="none"/>
              </w:rPr>
              <w:t>粉尘</w:t>
            </w:r>
          </w:p>
        </w:tc>
        <w:tc>
          <w:tcPr>
            <w:tcW w:w="1418" w:type="dxa"/>
            <w:tcBorders>
              <w:top w:val="nil"/>
              <w:left w:val="nil"/>
              <w:bottom w:val="single" w:color="auto" w:sz="8" w:space="0"/>
              <w:right w:val="single" w:color="auto" w:sz="8" w:space="0"/>
            </w:tcBorders>
            <w:shd w:val="clear" w:color="auto" w:fill="auto"/>
            <w:vAlign w:val="center"/>
          </w:tcPr>
          <w:p w14:paraId="39868FA1">
            <w:pPr>
              <w:jc w:val="center"/>
              <w:rPr>
                <w:rFonts w:ascii="Times New Roman" w:hAnsi="Times New Roman" w:eastAsia="宋体" w:cs="Times New Roman"/>
                <w:kern w:val="2"/>
                <w:sz w:val="24"/>
                <w:szCs w:val="32"/>
                <w:highlight w:val="none"/>
                <w:lang w:val="en-US" w:eastAsia="zh-CN" w:bidi="ar-SA"/>
              </w:rPr>
            </w:pPr>
          </w:p>
        </w:tc>
      </w:tr>
      <w:tr w14:paraId="382A179B">
        <w:tblPrEx>
          <w:tblCellMar>
            <w:top w:w="0" w:type="dxa"/>
            <w:left w:w="108" w:type="dxa"/>
            <w:bottom w:w="0" w:type="dxa"/>
            <w:right w:w="108" w:type="dxa"/>
          </w:tblCellMar>
        </w:tblPrEx>
        <w:trPr>
          <w:trHeight w:val="965"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0E76AE46">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压型</w:t>
            </w:r>
          </w:p>
        </w:tc>
        <w:tc>
          <w:tcPr>
            <w:tcW w:w="3553" w:type="dxa"/>
            <w:tcBorders>
              <w:top w:val="nil"/>
              <w:left w:val="nil"/>
              <w:bottom w:val="single" w:color="auto" w:sz="8" w:space="0"/>
              <w:right w:val="single" w:color="auto" w:sz="8" w:space="0"/>
            </w:tcBorders>
            <w:shd w:val="clear" w:color="auto" w:fill="auto"/>
            <w:vAlign w:val="center"/>
          </w:tcPr>
          <w:p w14:paraId="1EBC9845">
            <w:pPr>
              <w:jc w:val="center"/>
              <w:rPr>
                <w:rFonts w:hint="default"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噪声、高温、甲烷、一氧化碳、二氧化碳、红外辐射、氢氧化铝</w:t>
            </w:r>
          </w:p>
        </w:tc>
        <w:tc>
          <w:tcPr>
            <w:tcW w:w="3260" w:type="dxa"/>
            <w:tcBorders>
              <w:top w:val="nil"/>
              <w:left w:val="nil"/>
              <w:bottom w:val="single" w:color="auto" w:sz="8" w:space="0"/>
              <w:right w:val="single" w:color="auto" w:sz="8" w:space="0"/>
            </w:tcBorders>
            <w:shd w:val="clear" w:color="auto" w:fill="auto"/>
            <w:vAlign w:val="center"/>
          </w:tcPr>
          <w:p w14:paraId="1B8C6DFA">
            <w:pPr>
              <w:jc w:val="center"/>
              <w:rPr>
                <w:rFonts w:hint="default" w:ascii="Times New Roman" w:hAnsi="Times New Roman" w:eastAsia="宋体" w:cs="Times New Roman"/>
                <w:kern w:val="2"/>
                <w:sz w:val="24"/>
                <w:szCs w:val="32"/>
                <w:highlight w:val="none"/>
                <w:lang w:val="en-US" w:eastAsia="zh-CN" w:bidi="ar-SA"/>
              </w:rPr>
            </w:pPr>
            <w:r>
              <w:rPr>
                <w:rFonts w:hint="eastAsia"/>
                <w:sz w:val="24"/>
                <w:szCs w:val="32"/>
                <w:highlight w:val="none"/>
              </w:rPr>
              <w:t>噪声、高温、一氧化碳、其他粉尘</w:t>
            </w:r>
          </w:p>
        </w:tc>
        <w:tc>
          <w:tcPr>
            <w:tcW w:w="1418" w:type="dxa"/>
            <w:tcBorders>
              <w:top w:val="nil"/>
              <w:left w:val="nil"/>
              <w:bottom w:val="single" w:color="auto" w:sz="8" w:space="0"/>
              <w:right w:val="single" w:color="auto" w:sz="8" w:space="0"/>
            </w:tcBorders>
            <w:shd w:val="clear" w:color="auto" w:fill="auto"/>
            <w:vAlign w:val="center"/>
          </w:tcPr>
          <w:p w14:paraId="00648821">
            <w:pPr>
              <w:jc w:val="center"/>
              <w:rPr>
                <w:rFonts w:ascii="Times New Roman" w:hAnsi="Times New Roman" w:eastAsia="宋体" w:cs="Times New Roman"/>
                <w:kern w:val="2"/>
                <w:sz w:val="24"/>
                <w:szCs w:val="32"/>
                <w:highlight w:val="none"/>
                <w:lang w:val="en-US" w:eastAsia="zh-CN" w:bidi="ar-SA"/>
              </w:rPr>
            </w:pPr>
          </w:p>
        </w:tc>
      </w:tr>
      <w:tr w14:paraId="3E9BD66D">
        <w:tblPrEx>
          <w:tblCellMar>
            <w:top w:w="0" w:type="dxa"/>
            <w:left w:w="108" w:type="dxa"/>
            <w:bottom w:w="0" w:type="dxa"/>
            <w:right w:w="108" w:type="dxa"/>
          </w:tblCellMar>
        </w:tblPrEx>
        <w:trPr>
          <w:trHeight w:val="585"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5F892BC0">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回火</w:t>
            </w:r>
          </w:p>
        </w:tc>
        <w:tc>
          <w:tcPr>
            <w:tcW w:w="3553" w:type="dxa"/>
            <w:tcBorders>
              <w:top w:val="nil"/>
              <w:left w:val="nil"/>
              <w:bottom w:val="single" w:color="auto" w:sz="8" w:space="0"/>
              <w:right w:val="single" w:color="auto" w:sz="8" w:space="0"/>
            </w:tcBorders>
            <w:shd w:val="clear" w:color="auto" w:fill="auto"/>
            <w:vAlign w:val="center"/>
          </w:tcPr>
          <w:p w14:paraId="601357E8">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噪声、高温</w:t>
            </w:r>
          </w:p>
        </w:tc>
        <w:tc>
          <w:tcPr>
            <w:tcW w:w="3260" w:type="dxa"/>
            <w:tcBorders>
              <w:top w:val="nil"/>
              <w:left w:val="nil"/>
              <w:bottom w:val="single" w:color="auto" w:sz="8" w:space="0"/>
              <w:right w:val="single" w:color="auto" w:sz="8" w:space="0"/>
            </w:tcBorders>
            <w:shd w:val="clear" w:color="auto" w:fill="auto"/>
            <w:vAlign w:val="center"/>
          </w:tcPr>
          <w:p w14:paraId="31DBA7D4">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w:t>
            </w:r>
            <w:r>
              <w:rPr>
                <w:rFonts w:hint="eastAsia"/>
                <w:sz w:val="24"/>
                <w:szCs w:val="32"/>
                <w:highlight w:val="none"/>
              </w:rPr>
              <w:t>高温</w:t>
            </w:r>
          </w:p>
        </w:tc>
        <w:tc>
          <w:tcPr>
            <w:tcW w:w="1418" w:type="dxa"/>
            <w:tcBorders>
              <w:top w:val="nil"/>
              <w:left w:val="nil"/>
              <w:bottom w:val="single" w:color="auto" w:sz="8" w:space="0"/>
              <w:right w:val="single" w:color="auto" w:sz="8" w:space="0"/>
            </w:tcBorders>
            <w:shd w:val="clear" w:color="auto" w:fill="auto"/>
            <w:vAlign w:val="center"/>
          </w:tcPr>
          <w:p w14:paraId="33E51B6F">
            <w:pPr>
              <w:jc w:val="center"/>
              <w:rPr>
                <w:rFonts w:ascii="Times New Roman" w:hAnsi="Times New Roman" w:eastAsia="宋体" w:cs="Times New Roman"/>
                <w:kern w:val="2"/>
                <w:sz w:val="24"/>
                <w:szCs w:val="32"/>
                <w:highlight w:val="none"/>
                <w:lang w:val="en-US" w:eastAsia="zh-CN" w:bidi="ar-SA"/>
              </w:rPr>
            </w:pPr>
          </w:p>
        </w:tc>
      </w:tr>
      <w:tr w14:paraId="2B927D45">
        <w:tblPrEx>
          <w:tblCellMar>
            <w:top w:w="0" w:type="dxa"/>
            <w:left w:w="108" w:type="dxa"/>
            <w:bottom w:w="0" w:type="dxa"/>
            <w:right w:w="108" w:type="dxa"/>
          </w:tblCellMar>
        </w:tblPrEx>
        <w:trPr>
          <w:trHeight w:val="585"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3BF467AA">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包装</w:t>
            </w:r>
          </w:p>
        </w:tc>
        <w:tc>
          <w:tcPr>
            <w:tcW w:w="3553" w:type="dxa"/>
            <w:tcBorders>
              <w:top w:val="nil"/>
              <w:left w:val="nil"/>
              <w:bottom w:val="single" w:color="auto" w:sz="8" w:space="0"/>
              <w:right w:val="single" w:color="auto" w:sz="8" w:space="0"/>
            </w:tcBorders>
            <w:shd w:val="clear" w:color="auto" w:fill="auto"/>
            <w:vAlign w:val="center"/>
          </w:tcPr>
          <w:p w14:paraId="17CF0493">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噪声、紫外辐射</w:t>
            </w:r>
          </w:p>
        </w:tc>
        <w:tc>
          <w:tcPr>
            <w:tcW w:w="3260" w:type="dxa"/>
            <w:tcBorders>
              <w:top w:val="nil"/>
              <w:left w:val="nil"/>
              <w:bottom w:val="single" w:color="auto" w:sz="8" w:space="0"/>
              <w:right w:val="single" w:color="auto" w:sz="8" w:space="0"/>
            </w:tcBorders>
            <w:shd w:val="clear" w:color="auto" w:fill="auto"/>
            <w:vAlign w:val="center"/>
          </w:tcPr>
          <w:p w14:paraId="2F6A1EED">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w:t>
            </w:r>
            <w:r>
              <w:rPr>
                <w:rFonts w:hint="eastAsia"/>
                <w:sz w:val="24"/>
                <w:szCs w:val="32"/>
                <w:highlight w:val="none"/>
              </w:rPr>
              <w:t>紫外辐射</w:t>
            </w:r>
          </w:p>
        </w:tc>
        <w:tc>
          <w:tcPr>
            <w:tcW w:w="1418" w:type="dxa"/>
            <w:tcBorders>
              <w:top w:val="nil"/>
              <w:left w:val="nil"/>
              <w:bottom w:val="single" w:color="auto" w:sz="8" w:space="0"/>
              <w:right w:val="single" w:color="auto" w:sz="8" w:space="0"/>
            </w:tcBorders>
            <w:shd w:val="clear" w:color="auto" w:fill="auto"/>
            <w:vAlign w:val="center"/>
          </w:tcPr>
          <w:p w14:paraId="7FED12F7">
            <w:pPr>
              <w:jc w:val="center"/>
              <w:rPr>
                <w:rFonts w:ascii="Times New Roman" w:hAnsi="Times New Roman" w:eastAsia="宋体" w:cs="Times New Roman"/>
                <w:kern w:val="2"/>
                <w:sz w:val="24"/>
                <w:szCs w:val="32"/>
                <w:highlight w:val="none"/>
                <w:lang w:val="en-US" w:eastAsia="zh-CN" w:bidi="ar-SA"/>
              </w:rPr>
            </w:pPr>
          </w:p>
        </w:tc>
      </w:tr>
      <w:tr w14:paraId="0ACA81EF">
        <w:tblPrEx>
          <w:tblCellMar>
            <w:top w:w="0" w:type="dxa"/>
            <w:left w:w="108" w:type="dxa"/>
            <w:bottom w:w="0" w:type="dxa"/>
            <w:right w:w="108" w:type="dxa"/>
          </w:tblCellMar>
        </w:tblPrEx>
        <w:trPr>
          <w:trHeight w:val="1075" w:hRule="atLeast"/>
        </w:trPr>
        <w:tc>
          <w:tcPr>
            <w:tcW w:w="1140" w:type="dxa"/>
            <w:tcBorders>
              <w:top w:val="nil"/>
              <w:left w:val="single" w:color="auto" w:sz="8" w:space="0"/>
              <w:bottom w:val="single" w:color="auto" w:sz="8" w:space="0"/>
              <w:right w:val="single" w:color="auto" w:sz="8" w:space="0"/>
            </w:tcBorders>
            <w:shd w:val="clear" w:color="auto" w:fill="auto"/>
            <w:vAlign w:val="center"/>
          </w:tcPr>
          <w:p w14:paraId="23DF09ED">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设备、机修</w:t>
            </w:r>
          </w:p>
        </w:tc>
        <w:tc>
          <w:tcPr>
            <w:tcW w:w="3553" w:type="dxa"/>
            <w:tcBorders>
              <w:top w:val="nil"/>
              <w:left w:val="nil"/>
              <w:bottom w:val="single" w:color="auto" w:sz="8" w:space="0"/>
              <w:right w:val="single" w:color="auto" w:sz="8" w:space="0"/>
            </w:tcBorders>
            <w:shd w:val="clear" w:color="auto" w:fill="auto"/>
            <w:vAlign w:val="center"/>
          </w:tcPr>
          <w:p w14:paraId="4F4AA039">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噪声、电焊弧光、电焊烟尘、锰及其无机化合物、一氧化碳、二氧化碳、氮氧化物</w:t>
            </w:r>
          </w:p>
        </w:tc>
        <w:tc>
          <w:tcPr>
            <w:tcW w:w="3260" w:type="dxa"/>
            <w:tcBorders>
              <w:top w:val="nil"/>
              <w:left w:val="nil"/>
              <w:bottom w:val="single" w:color="auto" w:sz="8" w:space="0"/>
              <w:right w:val="single" w:color="auto" w:sz="8" w:space="0"/>
            </w:tcBorders>
            <w:shd w:val="clear" w:color="auto" w:fill="auto"/>
            <w:vAlign w:val="center"/>
          </w:tcPr>
          <w:p w14:paraId="51F44146">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噪声、电焊烟尘、紫外辐射、锰及其无机化合物、电工作业</w:t>
            </w:r>
          </w:p>
        </w:tc>
        <w:tc>
          <w:tcPr>
            <w:tcW w:w="1418" w:type="dxa"/>
            <w:tcBorders>
              <w:top w:val="nil"/>
              <w:left w:val="nil"/>
              <w:bottom w:val="single" w:color="auto" w:sz="8" w:space="0"/>
              <w:right w:val="single" w:color="auto" w:sz="8" w:space="0"/>
            </w:tcBorders>
            <w:shd w:val="clear" w:color="auto" w:fill="auto"/>
            <w:vAlign w:val="center"/>
          </w:tcPr>
          <w:p w14:paraId="094EBD2A">
            <w:pPr>
              <w:jc w:val="center"/>
              <w:rPr>
                <w:rFonts w:ascii="Times New Roman" w:hAnsi="Times New Roman" w:eastAsia="宋体" w:cs="Times New Roman"/>
                <w:kern w:val="2"/>
                <w:sz w:val="24"/>
                <w:szCs w:val="32"/>
                <w:highlight w:val="none"/>
                <w:lang w:val="en-US" w:eastAsia="zh-CN" w:bidi="ar-SA"/>
              </w:rPr>
            </w:pPr>
          </w:p>
        </w:tc>
      </w:tr>
      <w:tr w14:paraId="1EC37FFA">
        <w:tblPrEx>
          <w:tblCellMar>
            <w:top w:w="0" w:type="dxa"/>
            <w:left w:w="108" w:type="dxa"/>
            <w:bottom w:w="0" w:type="dxa"/>
            <w:right w:w="108" w:type="dxa"/>
          </w:tblCellMar>
        </w:tblPrEx>
        <w:trPr>
          <w:trHeight w:val="585" w:hRule="atLeast"/>
        </w:trPr>
        <w:tc>
          <w:tcPr>
            <w:tcW w:w="1140" w:type="dxa"/>
            <w:tcBorders>
              <w:top w:val="nil"/>
              <w:left w:val="single" w:color="auto" w:sz="8" w:space="0"/>
              <w:bottom w:val="single" w:color="auto" w:sz="4" w:space="0"/>
              <w:right w:val="single" w:color="auto" w:sz="8" w:space="0"/>
            </w:tcBorders>
            <w:shd w:val="clear" w:color="auto" w:fill="auto"/>
            <w:vAlign w:val="center"/>
          </w:tcPr>
          <w:p w14:paraId="00B23683">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巡检</w:t>
            </w:r>
          </w:p>
        </w:tc>
        <w:tc>
          <w:tcPr>
            <w:tcW w:w="3553" w:type="dxa"/>
            <w:tcBorders>
              <w:top w:val="nil"/>
              <w:left w:val="nil"/>
              <w:bottom w:val="single" w:color="auto" w:sz="4" w:space="0"/>
              <w:right w:val="single" w:color="auto" w:sz="8" w:space="0"/>
            </w:tcBorders>
            <w:shd w:val="clear" w:color="auto" w:fill="auto"/>
            <w:vAlign w:val="center"/>
          </w:tcPr>
          <w:p w14:paraId="32799233">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噪声、高温</w:t>
            </w:r>
          </w:p>
        </w:tc>
        <w:tc>
          <w:tcPr>
            <w:tcW w:w="3260" w:type="dxa"/>
            <w:tcBorders>
              <w:top w:val="nil"/>
              <w:left w:val="nil"/>
              <w:bottom w:val="single" w:color="auto" w:sz="4" w:space="0"/>
              <w:right w:val="single" w:color="auto" w:sz="8" w:space="0"/>
            </w:tcBorders>
            <w:shd w:val="clear" w:color="auto" w:fill="auto"/>
            <w:vAlign w:val="center"/>
          </w:tcPr>
          <w:p w14:paraId="05291FE4">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w:t>
            </w:r>
            <w:r>
              <w:rPr>
                <w:rFonts w:hint="eastAsia"/>
                <w:sz w:val="24"/>
                <w:szCs w:val="32"/>
                <w:highlight w:val="none"/>
              </w:rPr>
              <w:t>高温</w:t>
            </w:r>
          </w:p>
        </w:tc>
        <w:tc>
          <w:tcPr>
            <w:tcW w:w="1418" w:type="dxa"/>
            <w:tcBorders>
              <w:top w:val="nil"/>
              <w:left w:val="nil"/>
              <w:bottom w:val="single" w:color="auto" w:sz="4" w:space="0"/>
              <w:right w:val="single" w:color="auto" w:sz="8" w:space="0"/>
            </w:tcBorders>
            <w:shd w:val="clear" w:color="auto" w:fill="auto"/>
            <w:vAlign w:val="center"/>
          </w:tcPr>
          <w:p w14:paraId="5145A44C">
            <w:pPr>
              <w:jc w:val="center"/>
              <w:rPr>
                <w:rFonts w:ascii="Times New Roman" w:hAnsi="Times New Roman" w:eastAsia="宋体" w:cs="Times New Roman"/>
                <w:kern w:val="2"/>
                <w:sz w:val="24"/>
                <w:szCs w:val="32"/>
                <w:highlight w:val="none"/>
                <w:lang w:val="en-US" w:eastAsia="zh-CN" w:bidi="ar-SA"/>
              </w:rPr>
            </w:pPr>
          </w:p>
        </w:tc>
      </w:tr>
      <w:tr w14:paraId="30201C77">
        <w:tblPrEx>
          <w:tblCellMar>
            <w:top w:w="0" w:type="dxa"/>
            <w:left w:w="108" w:type="dxa"/>
            <w:bottom w:w="0" w:type="dxa"/>
            <w:right w:w="108" w:type="dxa"/>
          </w:tblCellMar>
        </w:tblPrEx>
        <w:trPr>
          <w:trHeight w:val="585" w:hRule="atLeast"/>
        </w:trPr>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2198716A">
            <w:pPr>
              <w:jc w:val="center"/>
              <w:rPr>
                <w:rFonts w:ascii="Times New Roman" w:hAnsi="Times New Roman" w:eastAsia="宋体" w:cs="Times New Roman"/>
                <w:kern w:val="2"/>
                <w:sz w:val="24"/>
                <w:szCs w:val="32"/>
                <w:highlight w:val="none"/>
                <w:lang w:val="en-US" w:eastAsia="zh-CN" w:bidi="ar-SA"/>
              </w:rPr>
            </w:pPr>
            <w:r>
              <w:rPr>
                <w:rFonts w:hint="eastAsia" w:cstheme="minorBidi"/>
                <w:sz w:val="24"/>
                <w:szCs w:val="32"/>
                <w:highlight w:val="none"/>
              </w:rPr>
              <w:t>模具加工</w:t>
            </w:r>
          </w:p>
        </w:tc>
        <w:tc>
          <w:tcPr>
            <w:tcW w:w="3553" w:type="dxa"/>
            <w:tcBorders>
              <w:top w:val="single" w:color="auto" w:sz="4" w:space="0"/>
              <w:left w:val="single" w:color="auto" w:sz="4" w:space="0"/>
              <w:bottom w:val="single" w:color="auto" w:sz="4" w:space="0"/>
              <w:right w:val="single" w:color="auto" w:sz="4" w:space="0"/>
            </w:tcBorders>
            <w:shd w:val="clear" w:color="auto" w:fill="auto"/>
            <w:vAlign w:val="center"/>
          </w:tcPr>
          <w:p w14:paraId="7065D9C6">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rPr>
              <w:t>噪声、其他粉尘</w:t>
            </w:r>
          </w:p>
        </w:tc>
        <w:tc>
          <w:tcPr>
            <w:tcW w:w="3260" w:type="dxa"/>
            <w:tcBorders>
              <w:top w:val="single" w:color="auto" w:sz="4" w:space="0"/>
              <w:left w:val="single" w:color="auto" w:sz="4" w:space="0"/>
              <w:bottom w:val="single" w:color="auto" w:sz="4" w:space="0"/>
              <w:right w:val="single" w:color="auto" w:sz="4" w:space="0"/>
            </w:tcBorders>
            <w:shd w:val="clear" w:color="auto" w:fill="auto"/>
            <w:vAlign w:val="center"/>
          </w:tcPr>
          <w:p w14:paraId="56BD3470">
            <w:pPr>
              <w:jc w:val="center"/>
              <w:rPr>
                <w:rFonts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w:t>
            </w:r>
            <w:r>
              <w:rPr>
                <w:rFonts w:hint="eastAsia"/>
                <w:sz w:val="24"/>
                <w:szCs w:val="32"/>
                <w:highlight w:val="none"/>
              </w:rPr>
              <w:t>其他粉尘</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481FF9AD">
            <w:pPr>
              <w:jc w:val="center"/>
              <w:rPr>
                <w:rFonts w:ascii="Times New Roman" w:hAnsi="Times New Roman" w:eastAsia="宋体" w:cs="Times New Roman"/>
                <w:kern w:val="2"/>
                <w:sz w:val="24"/>
                <w:szCs w:val="32"/>
                <w:highlight w:val="none"/>
                <w:lang w:val="en-US" w:eastAsia="zh-CN" w:bidi="ar-SA"/>
              </w:rPr>
            </w:pPr>
          </w:p>
        </w:tc>
      </w:tr>
      <w:tr w14:paraId="3F3E1999">
        <w:tblPrEx>
          <w:tblCellMar>
            <w:top w:w="0" w:type="dxa"/>
            <w:left w:w="108" w:type="dxa"/>
            <w:bottom w:w="0" w:type="dxa"/>
            <w:right w:w="108" w:type="dxa"/>
          </w:tblCellMar>
        </w:tblPrEx>
        <w:trPr>
          <w:trHeight w:val="585" w:hRule="atLeast"/>
        </w:trPr>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64571DAB">
            <w:pPr>
              <w:jc w:val="center"/>
              <w:rPr>
                <w:rFonts w:hint="eastAsia" w:ascii="Times New Roman" w:hAnsi="Times New Roman" w:eastAsia="宋体" w:cstheme="minorBidi"/>
                <w:kern w:val="2"/>
                <w:sz w:val="24"/>
                <w:szCs w:val="32"/>
                <w:highlight w:val="none"/>
                <w:lang w:val="en-US" w:eastAsia="zh-CN" w:bidi="ar-SA"/>
              </w:rPr>
            </w:pPr>
            <w:r>
              <w:rPr>
                <w:rFonts w:hint="eastAsia" w:cstheme="minorBidi"/>
                <w:sz w:val="24"/>
                <w:szCs w:val="32"/>
                <w:highlight w:val="none"/>
              </w:rPr>
              <w:t>分称</w:t>
            </w:r>
          </w:p>
        </w:tc>
        <w:tc>
          <w:tcPr>
            <w:tcW w:w="3553" w:type="dxa"/>
            <w:tcBorders>
              <w:top w:val="single" w:color="auto" w:sz="4" w:space="0"/>
              <w:left w:val="single" w:color="auto" w:sz="4" w:space="0"/>
              <w:bottom w:val="single" w:color="auto" w:sz="4" w:space="0"/>
              <w:right w:val="single" w:color="auto" w:sz="4" w:space="0"/>
            </w:tcBorders>
            <w:shd w:val="clear" w:color="auto" w:fill="auto"/>
            <w:vAlign w:val="center"/>
          </w:tcPr>
          <w:p w14:paraId="2538C802">
            <w:pPr>
              <w:jc w:val="center"/>
              <w:rPr>
                <w:rFonts w:hint="eastAsia" w:ascii="Times New Roman" w:hAnsi="Times New Roman" w:eastAsia="宋体" w:cs="Times New Roman"/>
                <w:kern w:val="2"/>
                <w:sz w:val="24"/>
                <w:szCs w:val="32"/>
                <w:highlight w:val="none"/>
                <w:lang w:val="en-US" w:eastAsia="zh-CN" w:bidi="ar-SA"/>
              </w:rPr>
            </w:pPr>
            <w:r>
              <w:rPr>
                <w:rFonts w:hint="eastAsia"/>
                <w:sz w:val="24"/>
                <w:szCs w:val="32"/>
                <w:highlight w:val="none"/>
              </w:rPr>
              <w:t>噪声</w:t>
            </w:r>
          </w:p>
        </w:tc>
        <w:tc>
          <w:tcPr>
            <w:tcW w:w="3260" w:type="dxa"/>
            <w:tcBorders>
              <w:top w:val="single" w:color="auto" w:sz="4" w:space="0"/>
              <w:left w:val="single" w:color="auto" w:sz="4" w:space="0"/>
              <w:bottom w:val="single" w:color="auto" w:sz="4" w:space="0"/>
              <w:right w:val="single" w:color="auto" w:sz="4" w:space="0"/>
            </w:tcBorders>
            <w:shd w:val="clear" w:color="auto" w:fill="auto"/>
            <w:vAlign w:val="center"/>
          </w:tcPr>
          <w:p w14:paraId="5007AA0F">
            <w:pPr>
              <w:jc w:val="center"/>
              <w:rPr>
                <w:rFonts w:hint="eastAsia" w:ascii="Times New Roman" w:hAnsi="Times New Roman" w:eastAsia="宋体" w:cs="Times New Roman"/>
                <w:kern w:val="2"/>
                <w:sz w:val="24"/>
                <w:szCs w:val="32"/>
                <w:highlight w:val="none"/>
                <w:lang w:val="en-US" w:eastAsia="zh-CN" w:bidi="ar-SA"/>
              </w:rPr>
            </w:pPr>
            <w:r>
              <w:rPr>
                <w:rFonts w:hint="eastAsia"/>
                <w:sz w:val="24"/>
                <w:szCs w:val="32"/>
                <w:highlight w:val="none"/>
              </w:rPr>
              <w:t>噪声</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2B084422">
            <w:pPr>
              <w:jc w:val="center"/>
              <w:rPr>
                <w:rFonts w:hint="eastAsia" w:ascii="Times New Roman" w:hAnsi="Times New Roman" w:eastAsia="宋体" w:cs="Times New Roman"/>
                <w:kern w:val="2"/>
                <w:sz w:val="24"/>
                <w:szCs w:val="32"/>
                <w:highlight w:val="none"/>
                <w:lang w:val="en-US" w:eastAsia="zh-CN" w:bidi="ar-SA"/>
              </w:rPr>
            </w:pPr>
          </w:p>
        </w:tc>
      </w:tr>
      <w:tr w14:paraId="67F544FC">
        <w:tblPrEx>
          <w:tblCellMar>
            <w:top w:w="0" w:type="dxa"/>
            <w:left w:w="108" w:type="dxa"/>
            <w:bottom w:w="0" w:type="dxa"/>
            <w:right w:w="108" w:type="dxa"/>
          </w:tblCellMar>
        </w:tblPrEx>
        <w:trPr>
          <w:trHeight w:val="585" w:hRule="atLeast"/>
        </w:trPr>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3EC00BAC">
            <w:pPr>
              <w:jc w:val="center"/>
              <w:rPr>
                <w:rFonts w:hint="eastAsia" w:ascii="Times New Roman" w:hAnsi="Times New Roman" w:eastAsia="宋体" w:cstheme="minorBidi"/>
                <w:kern w:val="2"/>
                <w:sz w:val="24"/>
                <w:szCs w:val="32"/>
                <w:highlight w:val="none"/>
                <w:lang w:val="en-US" w:eastAsia="zh-CN" w:bidi="ar-SA"/>
              </w:rPr>
            </w:pPr>
            <w:r>
              <w:rPr>
                <w:rFonts w:hint="eastAsia" w:cstheme="minorBidi"/>
                <w:sz w:val="24"/>
                <w:szCs w:val="32"/>
                <w:highlight w:val="none"/>
                <w:lang w:val="en-US" w:eastAsia="zh-CN"/>
              </w:rPr>
              <w:t>炸料</w:t>
            </w:r>
          </w:p>
        </w:tc>
        <w:tc>
          <w:tcPr>
            <w:tcW w:w="3553" w:type="dxa"/>
            <w:tcBorders>
              <w:top w:val="single" w:color="auto" w:sz="4" w:space="0"/>
              <w:left w:val="single" w:color="auto" w:sz="4" w:space="0"/>
              <w:bottom w:val="single" w:color="auto" w:sz="4" w:space="0"/>
              <w:right w:val="single" w:color="auto" w:sz="4" w:space="0"/>
            </w:tcBorders>
            <w:shd w:val="clear" w:color="auto" w:fill="auto"/>
            <w:vAlign w:val="center"/>
          </w:tcPr>
          <w:p w14:paraId="74AFB8EC">
            <w:pPr>
              <w:jc w:val="center"/>
              <w:rPr>
                <w:rFonts w:hint="eastAsia"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噪声、高温</w:t>
            </w:r>
          </w:p>
        </w:tc>
        <w:tc>
          <w:tcPr>
            <w:tcW w:w="3260" w:type="dxa"/>
            <w:tcBorders>
              <w:top w:val="single" w:color="auto" w:sz="4" w:space="0"/>
              <w:left w:val="single" w:color="auto" w:sz="4" w:space="0"/>
              <w:bottom w:val="single" w:color="auto" w:sz="4" w:space="0"/>
              <w:right w:val="single" w:color="auto" w:sz="4" w:space="0"/>
            </w:tcBorders>
            <w:shd w:val="clear" w:color="auto" w:fill="auto"/>
            <w:vAlign w:val="center"/>
          </w:tcPr>
          <w:p w14:paraId="099AEEC6">
            <w:pPr>
              <w:jc w:val="center"/>
              <w:rPr>
                <w:rFonts w:hint="eastAsia" w:ascii="Times New Roman" w:hAnsi="Times New Roman" w:eastAsia="宋体" w:cs="Times New Roman"/>
                <w:kern w:val="2"/>
                <w:sz w:val="24"/>
                <w:szCs w:val="32"/>
                <w:highlight w:val="none"/>
                <w:lang w:val="en-US" w:eastAsia="zh-CN" w:bidi="ar-SA"/>
              </w:rPr>
            </w:pPr>
            <w:r>
              <w:rPr>
                <w:rFonts w:hint="eastAsia"/>
                <w:sz w:val="24"/>
                <w:szCs w:val="32"/>
                <w:highlight w:val="none"/>
                <w:lang w:val="en-US" w:eastAsia="zh-CN"/>
              </w:rPr>
              <w:t>噪声、高温</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1EA6D3B7">
            <w:pPr>
              <w:jc w:val="center"/>
              <w:rPr>
                <w:rFonts w:hint="default" w:ascii="Times New Roman" w:hAnsi="Times New Roman" w:eastAsia="宋体" w:cs="Times New Roman"/>
                <w:kern w:val="2"/>
                <w:sz w:val="24"/>
                <w:szCs w:val="32"/>
                <w:highlight w:val="none"/>
                <w:lang w:val="en-US" w:eastAsia="zh-CN" w:bidi="ar-SA"/>
              </w:rPr>
            </w:pPr>
          </w:p>
        </w:tc>
      </w:tr>
    </w:tbl>
    <w:p w14:paraId="7E872335">
      <w:pPr>
        <w:spacing w:line="360" w:lineRule="auto"/>
        <w:jc w:val="left"/>
        <w:rPr>
          <w:rFonts w:hint="eastAsia" w:ascii="宋体" w:hAnsi="宋体" w:cs="宋体"/>
          <w:b/>
          <w:color w:val="000000"/>
          <w:sz w:val="24"/>
        </w:rPr>
      </w:pPr>
      <w:r>
        <w:rPr>
          <w:rFonts w:hint="eastAsia" w:ascii="宋体" w:hAnsi="宋体" w:cs="宋体"/>
          <w:b/>
          <w:color w:val="000000"/>
          <w:sz w:val="24"/>
        </w:rPr>
        <w:t>注：1.询价文件中未列出的在服务过程中涉及到的其它一切费用（包含但不限于人工费、交通费、检测费、文本费等）应在报价时一并考虑，项目实施过程中不再单独结算。</w:t>
      </w:r>
    </w:p>
    <w:p w14:paraId="70FF50A6">
      <w:pPr>
        <w:spacing w:line="360" w:lineRule="auto"/>
        <w:jc w:val="left"/>
        <w:rPr>
          <w:rFonts w:hint="eastAsia" w:ascii="宋体" w:hAnsi="宋体" w:cs="宋体"/>
          <w:b/>
          <w:color w:val="000000"/>
          <w:sz w:val="24"/>
        </w:rPr>
      </w:pPr>
      <w:r>
        <w:rPr>
          <w:rFonts w:ascii="宋体" w:hAnsi="宋体" w:cs="宋体"/>
          <w:b/>
          <w:color w:val="000000"/>
          <w:sz w:val="24"/>
        </w:rPr>
        <w:t xml:space="preserve">    2.</w:t>
      </w:r>
      <w:r>
        <w:rPr>
          <w:rFonts w:hint="eastAsia" w:ascii="宋体" w:hAnsi="宋体" w:cs="宋体"/>
          <w:b/>
          <w:color w:val="000000"/>
          <w:sz w:val="24"/>
        </w:rPr>
        <w:t xml:space="preserve"> 报价表中所列报价空格均需填报价格</w:t>
      </w:r>
      <w:r>
        <w:rPr>
          <w:rFonts w:ascii="宋体" w:hAnsi="宋体" w:cs="宋体"/>
          <w:b/>
          <w:color w:val="000000"/>
          <w:sz w:val="24"/>
        </w:rPr>
        <w:t>，不得遗漏，</w:t>
      </w:r>
      <w:r>
        <w:rPr>
          <w:rFonts w:hint="eastAsia" w:ascii="宋体" w:hAnsi="宋体" w:cs="宋体"/>
          <w:b/>
          <w:color w:val="000000"/>
          <w:sz w:val="24"/>
        </w:rPr>
        <w:t>否则</w:t>
      </w:r>
      <w:r>
        <w:rPr>
          <w:rFonts w:ascii="宋体" w:hAnsi="宋体" w:cs="宋体"/>
          <w:b/>
          <w:color w:val="000000"/>
          <w:sz w:val="24"/>
        </w:rPr>
        <w:t>视为废标。</w:t>
      </w:r>
    </w:p>
    <w:p w14:paraId="366DE73B">
      <w:pPr>
        <w:jc w:val="left"/>
        <w:rPr>
          <w:rFonts w:hint="eastAsia" w:asciiTheme="majorEastAsia" w:hAnsiTheme="majorEastAsia" w:eastAsiaTheme="majorEastAsia"/>
          <w:sz w:val="24"/>
        </w:rPr>
      </w:pPr>
      <w:r>
        <w:rPr>
          <w:rFonts w:hint="eastAsia" w:asciiTheme="majorEastAsia" w:hAnsiTheme="majorEastAsia" w:eastAsiaTheme="majorEastAsia"/>
          <w:sz w:val="24"/>
        </w:rPr>
        <w:t>文件五</w:t>
      </w:r>
    </w:p>
    <w:p w14:paraId="472F004D">
      <w:pPr>
        <w:jc w:val="center"/>
      </w:pPr>
      <w:r>
        <w:rPr>
          <w:rFonts w:hint="eastAsia" w:eastAsia="黑体"/>
          <w:sz w:val="30"/>
          <w:szCs w:val="30"/>
        </w:rPr>
        <w:t>商务部分响应表</w:t>
      </w:r>
    </w:p>
    <w:tbl>
      <w:tblPr>
        <w:tblStyle w:val="17"/>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17"/>
        <w:gridCol w:w="4111"/>
        <w:gridCol w:w="1417"/>
        <w:gridCol w:w="1294"/>
      </w:tblGrid>
      <w:tr w14:paraId="59D2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tcPr>
          <w:p w14:paraId="565EF2D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417" w:type="dxa"/>
            <w:tcBorders>
              <w:top w:val="single" w:color="auto" w:sz="12" w:space="0"/>
            </w:tcBorders>
          </w:tcPr>
          <w:p w14:paraId="51A6E13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对应条款</w:t>
            </w:r>
          </w:p>
        </w:tc>
        <w:tc>
          <w:tcPr>
            <w:tcW w:w="4111" w:type="dxa"/>
            <w:tcBorders>
              <w:top w:val="single" w:color="auto" w:sz="12" w:space="0"/>
            </w:tcBorders>
          </w:tcPr>
          <w:p w14:paraId="2D037919">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417" w:type="dxa"/>
            <w:tcBorders>
              <w:top w:val="single" w:color="auto" w:sz="12" w:space="0"/>
            </w:tcBorders>
          </w:tcPr>
          <w:p w14:paraId="63F688D6">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响应/偏离</w:t>
            </w:r>
          </w:p>
        </w:tc>
        <w:tc>
          <w:tcPr>
            <w:tcW w:w="1294" w:type="dxa"/>
            <w:tcBorders>
              <w:top w:val="single" w:color="auto" w:sz="12" w:space="0"/>
            </w:tcBorders>
          </w:tcPr>
          <w:p w14:paraId="655CDB6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偏离描述</w:t>
            </w:r>
          </w:p>
        </w:tc>
      </w:tr>
      <w:tr w14:paraId="07000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Align w:val="center"/>
          </w:tcPr>
          <w:p w14:paraId="108637A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1</w:t>
            </w:r>
          </w:p>
        </w:tc>
        <w:tc>
          <w:tcPr>
            <w:tcW w:w="1417" w:type="dxa"/>
            <w:vAlign w:val="center"/>
          </w:tcPr>
          <w:p w14:paraId="49C7107F">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一、项目实施时间</w:t>
            </w:r>
          </w:p>
        </w:tc>
        <w:tc>
          <w:tcPr>
            <w:tcW w:w="4111" w:type="dxa"/>
          </w:tcPr>
          <w:p w14:paraId="342FD441">
            <w:pPr>
              <w:spacing w:line="300" w:lineRule="exact"/>
              <w:rPr>
                <w:rFonts w:ascii="仿宋_GB2312" w:eastAsia="仿宋_GB2312"/>
                <w:color w:val="000000"/>
                <w:sz w:val="24"/>
                <w:szCs w:val="21"/>
              </w:rPr>
            </w:pPr>
            <w:r>
              <w:rPr>
                <w:rFonts w:hint="eastAsia" w:ascii="仿宋_GB2312" w:eastAsia="仿宋_GB2312"/>
                <w:color w:val="000000"/>
                <w:sz w:val="24"/>
                <w:szCs w:val="21"/>
              </w:rPr>
              <w:t>从合同签署之日起1年。</w:t>
            </w:r>
          </w:p>
        </w:tc>
        <w:tc>
          <w:tcPr>
            <w:tcW w:w="1417" w:type="dxa"/>
          </w:tcPr>
          <w:p w14:paraId="1E556944">
            <w:pPr>
              <w:spacing w:line="480" w:lineRule="auto"/>
              <w:rPr>
                <w:rFonts w:ascii="仿宋_GB2312" w:eastAsia="仿宋_GB2312"/>
                <w:color w:val="000000"/>
                <w:sz w:val="24"/>
                <w:szCs w:val="21"/>
              </w:rPr>
            </w:pPr>
          </w:p>
        </w:tc>
        <w:tc>
          <w:tcPr>
            <w:tcW w:w="1294" w:type="dxa"/>
          </w:tcPr>
          <w:p w14:paraId="7348B644">
            <w:pPr>
              <w:spacing w:line="480" w:lineRule="auto"/>
              <w:rPr>
                <w:rFonts w:ascii="仿宋_GB2312" w:eastAsia="仿宋_GB2312"/>
                <w:color w:val="000000"/>
                <w:sz w:val="24"/>
                <w:szCs w:val="21"/>
              </w:rPr>
            </w:pPr>
          </w:p>
        </w:tc>
      </w:tr>
      <w:tr w14:paraId="54C7AB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Merge w:val="restart"/>
            <w:vAlign w:val="center"/>
          </w:tcPr>
          <w:p w14:paraId="57844D8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2</w:t>
            </w:r>
          </w:p>
          <w:p w14:paraId="74CA515B">
            <w:pPr>
              <w:spacing w:line="300" w:lineRule="exact"/>
              <w:jc w:val="center"/>
              <w:rPr>
                <w:rFonts w:ascii="仿宋_GB2312" w:eastAsia="仿宋_GB2312"/>
                <w:color w:val="000000"/>
                <w:sz w:val="24"/>
                <w:szCs w:val="21"/>
              </w:rPr>
            </w:pPr>
          </w:p>
        </w:tc>
        <w:tc>
          <w:tcPr>
            <w:tcW w:w="1417" w:type="dxa"/>
            <w:vMerge w:val="restart"/>
            <w:vAlign w:val="center"/>
          </w:tcPr>
          <w:p w14:paraId="4492AD7E">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二、付款方法和条件</w:t>
            </w:r>
          </w:p>
          <w:p w14:paraId="59FD4FC6">
            <w:pPr>
              <w:spacing w:line="300" w:lineRule="exact"/>
              <w:jc w:val="center"/>
              <w:rPr>
                <w:rFonts w:ascii="仿宋_GB2312" w:eastAsia="仿宋_GB2312"/>
                <w:color w:val="000000"/>
                <w:sz w:val="24"/>
                <w:szCs w:val="21"/>
              </w:rPr>
            </w:pPr>
          </w:p>
        </w:tc>
        <w:tc>
          <w:tcPr>
            <w:tcW w:w="4111" w:type="dxa"/>
          </w:tcPr>
          <w:p w14:paraId="63567D9E">
            <w:pPr>
              <w:spacing w:line="300" w:lineRule="exact"/>
              <w:rPr>
                <w:rFonts w:ascii="仿宋_GB2312" w:eastAsia="仿宋_GB2312"/>
                <w:color w:val="000000"/>
                <w:sz w:val="24"/>
                <w:szCs w:val="21"/>
              </w:rPr>
            </w:pPr>
            <w:r>
              <w:rPr>
                <w:rFonts w:hint="eastAsia" w:ascii="仿宋_GB2312" w:eastAsia="仿宋_GB2312"/>
                <w:color w:val="000000"/>
                <w:sz w:val="24"/>
                <w:szCs w:val="21"/>
              </w:rPr>
              <w:t>★（一）每月20日，采购人根据当月（上月21日至当月20日）收到的供应商实际出具的纸质检查报告数量、参照合同标明的检查项目及检查类别的收费标准拟订月度对账单发送给供应商，供应商核对无误后3天内开具发票，随同将签字盖章确认后的对账单至采购人，采购人办理付款手续。</w:t>
            </w:r>
          </w:p>
        </w:tc>
        <w:tc>
          <w:tcPr>
            <w:tcW w:w="1417" w:type="dxa"/>
          </w:tcPr>
          <w:p w14:paraId="46D05768">
            <w:pPr>
              <w:spacing w:line="480" w:lineRule="auto"/>
              <w:rPr>
                <w:rFonts w:ascii="仿宋_GB2312" w:eastAsia="仿宋_GB2312"/>
                <w:color w:val="000000"/>
                <w:sz w:val="24"/>
                <w:szCs w:val="21"/>
              </w:rPr>
            </w:pPr>
          </w:p>
        </w:tc>
        <w:tc>
          <w:tcPr>
            <w:tcW w:w="1294" w:type="dxa"/>
          </w:tcPr>
          <w:p w14:paraId="1614C8C5">
            <w:pPr>
              <w:spacing w:line="480" w:lineRule="auto"/>
              <w:rPr>
                <w:rFonts w:ascii="仿宋_GB2312" w:eastAsia="仿宋_GB2312"/>
                <w:color w:val="000000"/>
                <w:sz w:val="24"/>
                <w:szCs w:val="21"/>
              </w:rPr>
            </w:pPr>
          </w:p>
        </w:tc>
      </w:tr>
      <w:tr w14:paraId="1FFB9A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Merge w:val="continue"/>
            <w:vAlign w:val="center"/>
          </w:tcPr>
          <w:p w14:paraId="1948FE9F">
            <w:pPr>
              <w:spacing w:line="300" w:lineRule="exact"/>
              <w:jc w:val="center"/>
              <w:rPr>
                <w:rFonts w:ascii="仿宋_GB2312" w:eastAsia="仿宋_GB2312"/>
                <w:color w:val="000000"/>
                <w:sz w:val="24"/>
                <w:szCs w:val="21"/>
              </w:rPr>
            </w:pPr>
          </w:p>
        </w:tc>
        <w:tc>
          <w:tcPr>
            <w:tcW w:w="1417" w:type="dxa"/>
            <w:vMerge w:val="continue"/>
            <w:vAlign w:val="center"/>
          </w:tcPr>
          <w:p w14:paraId="29A007C1">
            <w:pPr>
              <w:spacing w:line="300" w:lineRule="exact"/>
              <w:jc w:val="center"/>
              <w:rPr>
                <w:rFonts w:ascii="仿宋_GB2312" w:eastAsia="仿宋_GB2312"/>
                <w:color w:val="000000"/>
                <w:sz w:val="24"/>
                <w:szCs w:val="21"/>
              </w:rPr>
            </w:pPr>
          </w:p>
        </w:tc>
        <w:tc>
          <w:tcPr>
            <w:tcW w:w="4111" w:type="dxa"/>
          </w:tcPr>
          <w:p w14:paraId="0A19D568">
            <w:pPr>
              <w:spacing w:line="300" w:lineRule="exact"/>
              <w:rPr>
                <w:rFonts w:ascii="仿宋_GB2312" w:eastAsia="仿宋_GB2312"/>
                <w:color w:val="000000"/>
                <w:sz w:val="24"/>
                <w:szCs w:val="21"/>
              </w:rPr>
            </w:pPr>
            <w:r>
              <w:rPr>
                <w:rFonts w:hint="eastAsia" w:ascii="仿宋_GB2312" w:eastAsia="仿宋_GB2312"/>
                <w:color w:val="000000"/>
                <w:sz w:val="24"/>
                <w:szCs w:val="21"/>
              </w:rPr>
              <w:t>★（二）检查费用采取当月挂账次月支付的原则支付。</w:t>
            </w:r>
          </w:p>
        </w:tc>
        <w:tc>
          <w:tcPr>
            <w:tcW w:w="1417" w:type="dxa"/>
          </w:tcPr>
          <w:p w14:paraId="6F04593F">
            <w:pPr>
              <w:spacing w:line="480" w:lineRule="auto"/>
              <w:rPr>
                <w:rFonts w:ascii="仿宋_GB2312" w:eastAsia="仿宋_GB2312"/>
                <w:color w:val="000000"/>
                <w:sz w:val="24"/>
                <w:szCs w:val="21"/>
              </w:rPr>
            </w:pPr>
          </w:p>
        </w:tc>
        <w:tc>
          <w:tcPr>
            <w:tcW w:w="1294" w:type="dxa"/>
          </w:tcPr>
          <w:p w14:paraId="29C09860">
            <w:pPr>
              <w:spacing w:line="480" w:lineRule="auto"/>
              <w:rPr>
                <w:rFonts w:ascii="仿宋_GB2312" w:eastAsia="仿宋_GB2312"/>
                <w:color w:val="000000"/>
                <w:sz w:val="24"/>
                <w:szCs w:val="21"/>
              </w:rPr>
            </w:pPr>
          </w:p>
        </w:tc>
      </w:tr>
      <w:tr w14:paraId="2C20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bottom w:val="single" w:color="auto" w:sz="12" w:space="0"/>
            </w:tcBorders>
            <w:vAlign w:val="center"/>
          </w:tcPr>
          <w:p w14:paraId="5F02A984">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3</w:t>
            </w:r>
          </w:p>
        </w:tc>
        <w:tc>
          <w:tcPr>
            <w:tcW w:w="1417" w:type="dxa"/>
            <w:tcBorders>
              <w:bottom w:val="single" w:color="auto" w:sz="12" w:space="0"/>
            </w:tcBorders>
            <w:vAlign w:val="center"/>
          </w:tcPr>
          <w:p w14:paraId="505FD1F7">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三、法律管辖及仲裁：</w:t>
            </w:r>
          </w:p>
        </w:tc>
        <w:tc>
          <w:tcPr>
            <w:tcW w:w="4111" w:type="dxa"/>
            <w:tcBorders>
              <w:bottom w:val="single" w:color="auto" w:sz="12" w:space="0"/>
            </w:tcBorders>
          </w:tcPr>
          <w:p w14:paraId="6F15EC8E">
            <w:pPr>
              <w:adjustRightInd w:val="0"/>
              <w:spacing w:line="300" w:lineRule="exact"/>
              <w:textAlignment w:val="baseline"/>
              <w:rPr>
                <w:rFonts w:ascii="仿宋_GB2312" w:eastAsia="仿宋_GB2312"/>
                <w:color w:val="000000"/>
                <w:sz w:val="24"/>
                <w:szCs w:val="21"/>
              </w:rPr>
            </w:pPr>
            <w:r>
              <w:rPr>
                <w:rFonts w:hint="eastAsia" w:ascii="仿宋_GB2312" w:eastAsia="仿宋_GB2312"/>
                <w:color w:val="000000"/>
                <w:sz w:val="24"/>
                <w:szCs w:val="21"/>
              </w:rPr>
              <w:t>买卖双方之合同受中华人民共和国法律之管辖并依其进行解释。如有争议，在双方友好交涉无法解决时，向供应商所在地人民法院提起公诉。</w:t>
            </w:r>
          </w:p>
        </w:tc>
        <w:tc>
          <w:tcPr>
            <w:tcW w:w="1417" w:type="dxa"/>
            <w:tcBorders>
              <w:bottom w:val="single" w:color="auto" w:sz="12" w:space="0"/>
            </w:tcBorders>
          </w:tcPr>
          <w:p w14:paraId="6FD17454">
            <w:pPr>
              <w:spacing w:line="480" w:lineRule="auto"/>
              <w:rPr>
                <w:rFonts w:ascii="仿宋_GB2312" w:eastAsia="仿宋_GB2312"/>
                <w:color w:val="000000"/>
                <w:sz w:val="24"/>
                <w:szCs w:val="21"/>
              </w:rPr>
            </w:pPr>
          </w:p>
        </w:tc>
        <w:tc>
          <w:tcPr>
            <w:tcW w:w="1294" w:type="dxa"/>
            <w:tcBorders>
              <w:bottom w:val="single" w:color="auto" w:sz="12" w:space="0"/>
            </w:tcBorders>
          </w:tcPr>
          <w:p w14:paraId="064D1297">
            <w:pPr>
              <w:spacing w:line="480" w:lineRule="auto"/>
              <w:rPr>
                <w:rFonts w:ascii="仿宋_GB2312" w:eastAsia="仿宋_GB2312"/>
                <w:color w:val="000000"/>
                <w:sz w:val="24"/>
                <w:szCs w:val="21"/>
              </w:rPr>
            </w:pPr>
          </w:p>
        </w:tc>
      </w:tr>
    </w:tbl>
    <w:p w14:paraId="237C18A1">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2BBD0BA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11DD291E">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54DFD1C2">
      <w:pPr>
        <w:jc w:val="left"/>
        <w:rPr>
          <w:rFonts w:hint="eastAsia" w:asciiTheme="majorEastAsia" w:hAnsiTheme="majorEastAsia" w:eastAsiaTheme="majorEastAsia"/>
          <w:sz w:val="24"/>
        </w:rPr>
      </w:pPr>
      <w:r>
        <w:rPr>
          <w:rFonts w:asciiTheme="majorEastAsia" w:hAnsiTheme="majorEastAsia" w:eastAsiaTheme="majorEastAsia"/>
          <w:sz w:val="24"/>
        </w:rPr>
        <w:tab/>
      </w:r>
    </w:p>
    <w:p w14:paraId="7F64184C">
      <w:pPr>
        <w:jc w:val="left"/>
        <w:rPr>
          <w:rFonts w:hint="eastAsia" w:asciiTheme="majorEastAsia" w:hAnsiTheme="majorEastAsia" w:eastAsiaTheme="majorEastAsia"/>
          <w:sz w:val="24"/>
        </w:rPr>
      </w:pPr>
    </w:p>
    <w:p w14:paraId="3432C11E">
      <w:pPr>
        <w:jc w:val="left"/>
        <w:rPr>
          <w:rFonts w:hint="eastAsia" w:asciiTheme="majorEastAsia" w:hAnsiTheme="majorEastAsia" w:eastAsiaTheme="majorEastAsia"/>
          <w:sz w:val="24"/>
        </w:rPr>
      </w:pPr>
    </w:p>
    <w:p w14:paraId="22AC6554">
      <w:pPr>
        <w:jc w:val="left"/>
        <w:rPr>
          <w:rFonts w:hint="eastAsia" w:asciiTheme="majorEastAsia" w:hAnsiTheme="majorEastAsia" w:eastAsiaTheme="majorEastAsia"/>
          <w:sz w:val="24"/>
        </w:rPr>
      </w:pPr>
    </w:p>
    <w:p w14:paraId="55140EF9">
      <w:pPr>
        <w:jc w:val="left"/>
        <w:rPr>
          <w:rFonts w:hint="eastAsia" w:asciiTheme="majorEastAsia" w:hAnsiTheme="majorEastAsia" w:eastAsiaTheme="majorEastAsia"/>
          <w:sz w:val="24"/>
        </w:rPr>
      </w:pPr>
    </w:p>
    <w:p w14:paraId="71AE7DBE">
      <w:pPr>
        <w:jc w:val="left"/>
        <w:rPr>
          <w:rFonts w:hint="eastAsia" w:asciiTheme="majorEastAsia" w:hAnsiTheme="majorEastAsia" w:eastAsiaTheme="majorEastAsia"/>
          <w:sz w:val="24"/>
        </w:rPr>
      </w:pPr>
    </w:p>
    <w:p w14:paraId="44E8D1F6">
      <w:pPr>
        <w:jc w:val="left"/>
        <w:rPr>
          <w:rFonts w:hint="eastAsia" w:asciiTheme="majorEastAsia" w:hAnsiTheme="majorEastAsia" w:eastAsiaTheme="majorEastAsia"/>
          <w:sz w:val="24"/>
        </w:rPr>
      </w:pPr>
    </w:p>
    <w:p w14:paraId="7051D81D">
      <w:pPr>
        <w:jc w:val="left"/>
        <w:rPr>
          <w:rFonts w:hint="eastAsia" w:asciiTheme="majorEastAsia" w:hAnsiTheme="majorEastAsia" w:eastAsiaTheme="majorEastAsia"/>
          <w:sz w:val="24"/>
        </w:rPr>
      </w:pPr>
    </w:p>
    <w:p w14:paraId="761F0160">
      <w:pPr>
        <w:jc w:val="left"/>
        <w:rPr>
          <w:rFonts w:hint="eastAsia" w:asciiTheme="majorEastAsia" w:hAnsiTheme="majorEastAsia" w:eastAsiaTheme="majorEastAsia"/>
          <w:sz w:val="24"/>
        </w:rPr>
      </w:pPr>
    </w:p>
    <w:p w14:paraId="19E2F61C">
      <w:pPr>
        <w:jc w:val="left"/>
        <w:rPr>
          <w:rFonts w:hint="eastAsia" w:asciiTheme="majorEastAsia" w:hAnsiTheme="majorEastAsia" w:eastAsiaTheme="majorEastAsia"/>
          <w:sz w:val="24"/>
        </w:rPr>
      </w:pPr>
    </w:p>
    <w:p w14:paraId="504BB8A7">
      <w:pPr>
        <w:jc w:val="left"/>
        <w:rPr>
          <w:rFonts w:hint="eastAsia" w:asciiTheme="majorEastAsia" w:hAnsiTheme="majorEastAsia" w:eastAsiaTheme="majorEastAsia"/>
          <w:sz w:val="24"/>
        </w:rPr>
      </w:pPr>
    </w:p>
    <w:p w14:paraId="31F87B0B">
      <w:pPr>
        <w:jc w:val="left"/>
        <w:rPr>
          <w:rFonts w:hint="eastAsia" w:asciiTheme="majorEastAsia" w:hAnsiTheme="majorEastAsia" w:eastAsiaTheme="majorEastAsia"/>
          <w:sz w:val="24"/>
        </w:rPr>
      </w:pPr>
    </w:p>
    <w:p w14:paraId="5237F6D5">
      <w:pPr>
        <w:jc w:val="left"/>
        <w:rPr>
          <w:rFonts w:hint="eastAsia" w:asciiTheme="majorEastAsia" w:hAnsiTheme="majorEastAsia" w:eastAsiaTheme="majorEastAsia"/>
          <w:sz w:val="24"/>
        </w:rPr>
      </w:pPr>
    </w:p>
    <w:p w14:paraId="363E28C5">
      <w:pPr>
        <w:jc w:val="left"/>
        <w:rPr>
          <w:rFonts w:hint="eastAsia" w:asciiTheme="majorEastAsia" w:hAnsiTheme="majorEastAsia" w:eastAsiaTheme="majorEastAsia"/>
          <w:sz w:val="24"/>
        </w:rPr>
      </w:pPr>
    </w:p>
    <w:p w14:paraId="54E2DBE5">
      <w:pPr>
        <w:jc w:val="left"/>
        <w:rPr>
          <w:rFonts w:hint="eastAsia" w:asciiTheme="majorEastAsia" w:hAnsiTheme="majorEastAsia" w:eastAsiaTheme="majorEastAsia"/>
          <w:sz w:val="24"/>
        </w:rPr>
      </w:pPr>
    </w:p>
    <w:p w14:paraId="5001ABFF">
      <w:pPr>
        <w:jc w:val="left"/>
        <w:rPr>
          <w:rFonts w:hint="eastAsia" w:asciiTheme="majorEastAsia" w:hAnsiTheme="majorEastAsia" w:eastAsiaTheme="majorEastAsia"/>
          <w:sz w:val="24"/>
        </w:rPr>
      </w:pPr>
    </w:p>
    <w:p w14:paraId="1FCB5076">
      <w:pPr>
        <w:jc w:val="left"/>
        <w:rPr>
          <w:rFonts w:hint="eastAsia" w:asciiTheme="majorEastAsia" w:hAnsiTheme="majorEastAsia" w:eastAsiaTheme="majorEastAsia"/>
          <w:sz w:val="24"/>
        </w:rPr>
      </w:pPr>
      <w:r>
        <w:rPr>
          <w:rFonts w:hint="eastAsia" w:asciiTheme="majorEastAsia" w:hAnsiTheme="majorEastAsia" w:eastAsiaTheme="majorEastAsia"/>
          <w:sz w:val="24"/>
        </w:rPr>
        <w:t>文件六</w:t>
      </w:r>
    </w:p>
    <w:p w14:paraId="181B03D7">
      <w:pPr>
        <w:jc w:val="center"/>
      </w:pPr>
      <w:r>
        <w:rPr>
          <w:rFonts w:hint="eastAsia" w:eastAsia="黑体"/>
          <w:sz w:val="30"/>
          <w:szCs w:val="30"/>
        </w:rPr>
        <w:t>技术服务要求响应表</w:t>
      </w:r>
    </w:p>
    <w:tbl>
      <w:tblPr>
        <w:tblStyle w:val="17"/>
        <w:tblW w:w="97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276"/>
        <w:gridCol w:w="4394"/>
        <w:gridCol w:w="1563"/>
        <w:gridCol w:w="1422"/>
      </w:tblGrid>
      <w:tr w14:paraId="60AE31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tcBorders>
              <w:top w:val="single" w:color="auto" w:sz="12" w:space="0"/>
            </w:tcBorders>
          </w:tcPr>
          <w:p w14:paraId="250727A4">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276" w:type="dxa"/>
            <w:tcBorders>
              <w:top w:val="single" w:color="auto" w:sz="12" w:space="0"/>
            </w:tcBorders>
          </w:tcPr>
          <w:p w14:paraId="0BCF95BD">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4394" w:type="dxa"/>
            <w:tcBorders>
              <w:top w:val="single" w:color="auto" w:sz="12" w:space="0"/>
            </w:tcBorders>
          </w:tcPr>
          <w:p w14:paraId="43FAC12B">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563" w:type="dxa"/>
            <w:tcBorders>
              <w:top w:val="single" w:color="auto" w:sz="12" w:space="0"/>
            </w:tcBorders>
          </w:tcPr>
          <w:p w14:paraId="32981331">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c>
          <w:tcPr>
            <w:tcW w:w="1422" w:type="dxa"/>
            <w:tcBorders>
              <w:top w:val="single" w:color="auto" w:sz="12" w:space="0"/>
            </w:tcBorders>
          </w:tcPr>
          <w:p w14:paraId="057270FF">
            <w:pPr>
              <w:spacing w:line="480" w:lineRule="auto"/>
              <w:rPr>
                <w:rFonts w:ascii="仿宋_GB2312" w:eastAsia="仿宋_GB2312"/>
                <w:color w:val="000000"/>
                <w:sz w:val="24"/>
                <w:szCs w:val="21"/>
              </w:rPr>
            </w:pPr>
            <w:r>
              <w:rPr>
                <w:rFonts w:hint="eastAsia" w:ascii="仿宋_GB2312" w:eastAsia="仿宋_GB2312"/>
                <w:color w:val="000000"/>
                <w:sz w:val="24"/>
                <w:szCs w:val="21"/>
              </w:rPr>
              <w:t>偏离描述</w:t>
            </w:r>
          </w:p>
        </w:tc>
      </w:tr>
      <w:tr w14:paraId="2115E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tcPr>
          <w:p w14:paraId="6A32B739">
            <w:pPr>
              <w:spacing w:line="480" w:lineRule="auto"/>
              <w:rPr>
                <w:rFonts w:ascii="仿宋_GB2312" w:eastAsia="仿宋_GB2312"/>
                <w:color w:val="000000"/>
                <w:sz w:val="24"/>
                <w:szCs w:val="21"/>
              </w:rPr>
            </w:pPr>
            <w:r>
              <w:rPr>
                <w:rFonts w:hint="eastAsia" w:ascii="仿宋_GB2312" w:eastAsia="仿宋_GB2312"/>
                <w:color w:val="000000"/>
                <w:sz w:val="24"/>
                <w:szCs w:val="21"/>
              </w:rPr>
              <w:t>1</w:t>
            </w:r>
          </w:p>
          <w:p w14:paraId="73E9C4C4">
            <w:pPr>
              <w:spacing w:line="480" w:lineRule="auto"/>
              <w:rPr>
                <w:rFonts w:ascii="仿宋_GB2312" w:eastAsia="仿宋_GB2312"/>
                <w:color w:val="000000"/>
                <w:sz w:val="24"/>
                <w:szCs w:val="21"/>
              </w:rPr>
            </w:pPr>
          </w:p>
        </w:tc>
        <w:tc>
          <w:tcPr>
            <w:tcW w:w="1276" w:type="dxa"/>
            <w:vMerge w:val="restart"/>
          </w:tcPr>
          <w:p w14:paraId="3A3AD88E">
            <w:pPr>
              <w:spacing w:line="300" w:lineRule="exact"/>
              <w:rPr>
                <w:rFonts w:ascii="仿宋_GB2312" w:eastAsia="仿宋_GB2312"/>
                <w:color w:val="000000"/>
                <w:sz w:val="24"/>
                <w:szCs w:val="21"/>
              </w:rPr>
            </w:pPr>
            <w:r>
              <w:rPr>
                <w:rFonts w:hint="eastAsia" w:ascii="仿宋_GB2312" w:eastAsia="仿宋_GB2312"/>
                <w:color w:val="000000"/>
                <w:sz w:val="24"/>
                <w:szCs w:val="21"/>
              </w:rPr>
              <w:t>一、检查要求</w:t>
            </w:r>
          </w:p>
          <w:p w14:paraId="1CCB767F">
            <w:pPr>
              <w:spacing w:line="300" w:lineRule="exact"/>
              <w:rPr>
                <w:rFonts w:ascii="仿宋_GB2312" w:eastAsia="仿宋_GB2312"/>
                <w:color w:val="000000"/>
                <w:sz w:val="24"/>
                <w:szCs w:val="21"/>
              </w:rPr>
            </w:pPr>
          </w:p>
        </w:tc>
        <w:tc>
          <w:tcPr>
            <w:tcW w:w="4394" w:type="dxa"/>
          </w:tcPr>
          <w:p w14:paraId="1ED63CE4">
            <w:pPr>
              <w:spacing w:line="300" w:lineRule="exact"/>
              <w:rPr>
                <w:rFonts w:ascii="仿宋_GB2312" w:eastAsia="仿宋_GB2312"/>
                <w:color w:val="000000"/>
                <w:sz w:val="24"/>
                <w:szCs w:val="21"/>
              </w:rPr>
            </w:pPr>
            <w:r>
              <w:rPr>
                <w:rFonts w:hint="eastAsia" w:ascii="仿宋_GB2312" w:eastAsia="仿宋_GB2312"/>
                <w:color w:val="000000"/>
                <w:sz w:val="24"/>
                <w:szCs w:val="21"/>
              </w:rPr>
              <w:t>★（一）检查依据：供应商应当依照《职业健康监护技术规范》（GBZ188-2014）、《放射工作人员职业健康监护技术规范》（GBZ235）等国家职业卫生标准的要求，</w:t>
            </w:r>
            <w:r>
              <w:rPr>
                <w:rFonts w:ascii="仿宋_GB2312" w:eastAsia="仿宋_GB2312"/>
                <w:color w:val="000000"/>
                <w:sz w:val="24"/>
                <w:szCs w:val="21"/>
              </w:rPr>
              <w:t xml:space="preserve"> </w:t>
            </w:r>
          </w:p>
        </w:tc>
        <w:tc>
          <w:tcPr>
            <w:tcW w:w="1563" w:type="dxa"/>
          </w:tcPr>
          <w:p w14:paraId="65BE2543">
            <w:pPr>
              <w:spacing w:line="480" w:lineRule="auto"/>
              <w:rPr>
                <w:rFonts w:ascii="仿宋_GB2312" w:eastAsia="仿宋_GB2312"/>
                <w:color w:val="000000"/>
                <w:sz w:val="24"/>
                <w:szCs w:val="21"/>
              </w:rPr>
            </w:pPr>
          </w:p>
        </w:tc>
        <w:tc>
          <w:tcPr>
            <w:tcW w:w="1422" w:type="dxa"/>
          </w:tcPr>
          <w:p w14:paraId="3C4DD551">
            <w:pPr>
              <w:spacing w:line="480" w:lineRule="auto"/>
              <w:rPr>
                <w:rFonts w:ascii="仿宋_GB2312" w:eastAsia="仿宋_GB2312"/>
                <w:color w:val="000000"/>
                <w:sz w:val="24"/>
                <w:szCs w:val="21"/>
              </w:rPr>
            </w:pPr>
          </w:p>
        </w:tc>
      </w:tr>
      <w:tr w14:paraId="10118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tcPr>
          <w:p w14:paraId="5DA1D9DC">
            <w:pPr>
              <w:spacing w:line="480" w:lineRule="auto"/>
              <w:rPr>
                <w:rFonts w:ascii="仿宋_GB2312" w:eastAsia="仿宋_GB2312"/>
                <w:color w:val="000000"/>
                <w:sz w:val="24"/>
                <w:szCs w:val="21"/>
              </w:rPr>
            </w:pPr>
          </w:p>
        </w:tc>
        <w:tc>
          <w:tcPr>
            <w:tcW w:w="1276" w:type="dxa"/>
            <w:vMerge w:val="continue"/>
          </w:tcPr>
          <w:p w14:paraId="656A38F6">
            <w:pPr>
              <w:spacing w:line="480" w:lineRule="auto"/>
              <w:rPr>
                <w:rFonts w:ascii="仿宋_GB2312" w:eastAsia="仿宋_GB2312"/>
                <w:color w:val="000000"/>
                <w:sz w:val="24"/>
                <w:szCs w:val="21"/>
              </w:rPr>
            </w:pPr>
          </w:p>
        </w:tc>
        <w:tc>
          <w:tcPr>
            <w:tcW w:w="4394" w:type="dxa"/>
          </w:tcPr>
          <w:p w14:paraId="15CA23B0">
            <w:pPr>
              <w:spacing w:line="300" w:lineRule="exact"/>
              <w:rPr>
                <w:rFonts w:ascii="仿宋_GB2312" w:eastAsia="仿宋_GB2312"/>
                <w:color w:val="000000"/>
                <w:sz w:val="24"/>
                <w:szCs w:val="21"/>
              </w:rPr>
            </w:pPr>
            <w:r>
              <w:rPr>
                <w:rFonts w:hint="eastAsia" w:ascii="仿宋_GB2312" w:eastAsia="仿宋_GB2312"/>
                <w:color w:val="000000"/>
                <w:sz w:val="24"/>
                <w:szCs w:val="21"/>
              </w:rPr>
              <w:t>★（二）检查要求：供应商自带检查设备、器材、配备医疗检查人员。</w:t>
            </w:r>
          </w:p>
        </w:tc>
        <w:tc>
          <w:tcPr>
            <w:tcW w:w="1563" w:type="dxa"/>
          </w:tcPr>
          <w:p w14:paraId="56178DA3">
            <w:pPr>
              <w:spacing w:line="480" w:lineRule="auto"/>
              <w:rPr>
                <w:rFonts w:ascii="仿宋_GB2312" w:eastAsia="仿宋_GB2312"/>
                <w:color w:val="000000"/>
                <w:sz w:val="24"/>
                <w:szCs w:val="21"/>
              </w:rPr>
            </w:pPr>
          </w:p>
        </w:tc>
        <w:tc>
          <w:tcPr>
            <w:tcW w:w="1422" w:type="dxa"/>
          </w:tcPr>
          <w:p w14:paraId="7DCFFD65">
            <w:pPr>
              <w:spacing w:line="480" w:lineRule="auto"/>
              <w:rPr>
                <w:rFonts w:ascii="仿宋_GB2312" w:eastAsia="仿宋_GB2312"/>
                <w:color w:val="000000"/>
                <w:sz w:val="24"/>
                <w:szCs w:val="21"/>
              </w:rPr>
            </w:pPr>
          </w:p>
        </w:tc>
      </w:tr>
      <w:tr w14:paraId="502334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tcPr>
          <w:p w14:paraId="6A350009">
            <w:pPr>
              <w:spacing w:line="480" w:lineRule="auto"/>
              <w:rPr>
                <w:rFonts w:ascii="仿宋_GB2312" w:eastAsia="仿宋_GB2312"/>
                <w:color w:val="000000"/>
                <w:sz w:val="24"/>
                <w:szCs w:val="21"/>
              </w:rPr>
            </w:pPr>
          </w:p>
        </w:tc>
        <w:tc>
          <w:tcPr>
            <w:tcW w:w="1276" w:type="dxa"/>
            <w:vMerge w:val="continue"/>
          </w:tcPr>
          <w:p w14:paraId="5CC66352">
            <w:pPr>
              <w:spacing w:line="480" w:lineRule="auto"/>
              <w:rPr>
                <w:rFonts w:ascii="仿宋_GB2312" w:eastAsia="仿宋_GB2312"/>
                <w:color w:val="000000"/>
                <w:sz w:val="24"/>
                <w:szCs w:val="21"/>
              </w:rPr>
            </w:pPr>
          </w:p>
        </w:tc>
        <w:tc>
          <w:tcPr>
            <w:tcW w:w="4394" w:type="dxa"/>
          </w:tcPr>
          <w:p w14:paraId="35DCA2AD">
            <w:pPr>
              <w:spacing w:line="300" w:lineRule="exact"/>
              <w:rPr>
                <w:rFonts w:ascii="仿宋_GB2312" w:eastAsia="仿宋_GB2312"/>
                <w:color w:val="000000"/>
                <w:sz w:val="24"/>
                <w:szCs w:val="21"/>
              </w:rPr>
            </w:pPr>
            <w:r>
              <w:rPr>
                <w:rFonts w:hint="eastAsia" w:ascii="仿宋_GB2312" w:eastAsia="仿宋_GB2312"/>
                <w:color w:val="000000"/>
                <w:sz w:val="24"/>
                <w:szCs w:val="21"/>
              </w:rPr>
              <w:t>★（三）检查地点：根据以下不同的检查类别确定检查地点。</w:t>
            </w:r>
          </w:p>
          <w:p w14:paraId="54013ACF">
            <w:pPr>
              <w:spacing w:line="300" w:lineRule="exact"/>
              <w:rPr>
                <w:rFonts w:ascii="仿宋_GB2312" w:eastAsia="仿宋_GB2312"/>
                <w:color w:val="000000"/>
                <w:sz w:val="24"/>
                <w:szCs w:val="21"/>
              </w:rPr>
            </w:pPr>
            <w:r>
              <w:rPr>
                <w:rFonts w:hint="eastAsia" w:ascii="仿宋_GB2312" w:eastAsia="仿宋_GB2312"/>
                <w:color w:val="000000"/>
                <w:sz w:val="24"/>
                <w:szCs w:val="21"/>
              </w:rPr>
              <w:t>1.入职、离岗检查：都江堰工业园区内。</w:t>
            </w:r>
          </w:p>
          <w:p w14:paraId="13A150BA">
            <w:pPr>
              <w:spacing w:line="300" w:lineRule="exact"/>
              <w:rPr>
                <w:rFonts w:ascii="仿宋_GB2312" w:eastAsia="仿宋_GB2312"/>
                <w:color w:val="000000"/>
                <w:sz w:val="24"/>
                <w:szCs w:val="21"/>
              </w:rPr>
            </w:pPr>
            <w:r>
              <w:rPr>
                <w:rFonts w:hint="eastAsia" w:ascii="仿宋_GB2312" w:eastAsia="仿宋_GB2312"/>
                <w:color w:val="000000"/>
                <w:sz w:val="24"/>
                <w:szCs w:val="21"/>
              </w:rPr>
              <w:t>2.在岗检查：成都恒达光学有限公司厂区内。</w:t>
            </w:r>
          </w:p>
        </w:tc>
        <w:tc>
          <w:tcPr>
            <w:tcW w:w="1563" w:type="dxa"/>
          </w:tcPr>
          <w:p w14:paraId="243983AB">
            <w:pPr>
              <w:spacing w:line="480" w:lineRule="auto"/>
              <w:rPr>
                <w:rFonts w:ascii="仿宋_GB2312" w:eastAsia="仿宋_GB2312"/>
                <w:color w:val="000000"/>
                <w:sz w:val="24"/>
                <w:szCs w:val="21"/>
              </w:rPr>
            </w:pPr>
          </w:p>
        </w:tc>
        <w:tc>
          <w:tcPr>
            <w:tcW w:w="1422" w:type="dxa"/>
          </w:tcPr>
          <w:p w14:paraId="5789AE84">
            <w:pPr>
              <w:spacing w:line="480" w:lineRule="auto"/>
              <w:rPr>
                <w:rFonts w:ascii="仿宋_GB2312" w:eastAsia="仿宋_GB2312"/>
                <w:color w:val="000000"/>
                <w:sz w:val="24"/>
                <w:szCs w:val="21"/>
              </w:rPr>
            </w:pPr>
          </w:p>
        </w:tc>
      </w:tr>
      <w:tr w14:paraId="5594D8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135" w:type="dxa"/>
            <w:vMerge w:val="restart"/>
          </w:tcPr>
          <w:p w14:paraId="2135A64B">
            <w:pPr>
              <w:spacing w:line="480" w:lineRule="auto"/>
              <w:rPr>
                <w:rFonts w:ascii="仿宋_GB2312" w:eastAsia="仿宋_GB2312"/>
                <w:color w:val="000000"/>
                <w:sz w:val="24"/>
                <w:szCs w:val="21"/>
              </w:rPr>
            </w:pPr>
          </w:p>
        </w:tc>
        <w:tc>
          <w:tcPr>
            <w:tcW w:w="1276" w:type="dxa"/>
            <w:vMerge w:val="restart"/>
          </w:tcPr>
          <w:p w14:paraId="6D9737C8">
            <w:pPr>
              <w:spacing w:line="300" w:lineRule="exact"/>
              <w:rPr>
                <w:rFonts w:ascii="仿宋_GB2312" w:eastAsia="仿宋_GB2312"/>
                <w:color w:val="000000"/>
                <w:sz w:val="24"/>
                <w:szCs w:val="21"/>
              </w:rPr>
            </w:pPr>
            <w:r>
              <w:rPr>
                <w:rFonts w:hint="eastAsia" w:ascii="仿宋_GB2312" w:eastAsia="仿宋_GB2312"/>
                <w:color w:val="000000"/>
                <w:sz w:val="24"/>
                <w:szCs w:val="21"/>
              </w:rPr>
              <w:t>二、检查程序</w:t>
            </w:r>
          </w:p>
          <w:p w14:paraId="136E7C17">
            <w:pPr>
              <w:spacing w:line="300" w:lineRule="exact"/>
              <w:rPr>
                <w:rFonts w:ascii="仿宋_GB2312" w:eastAsia="仿宋_GB2312"/>
                <w:color w:val="000000"/>
                <w:sz w:val="24"/>
                <w:szCs w:val="21"/>
              </w:rPr>
            </w:pPr>
          </w:p>
        </w:tc>
        <w:tc>
          <w:tcPr>
            <w:tcW w:w="4394" w:type="dxa"/>
          </w:tcPr>
          <w:p w14:paraId="6D2196FA">
            <w:pPr>
              <w:spacing w:line="300" w:lineRule="exact"/>
              <w:rPr>
                <w:rFonts w:ascii="仿宋_GB2312" w:eastAsia="仿宋_GB2312"/>
                <w:color w:val="000000"/>
                <w:sz w:val="24"/>
                <w:szCs w:val="21"/>
              </w:rPr>
            </w:pPr>
            <w:r>
              <w:rPr>
                <w:rFonts w:hint="eastAsia" w:ascii="仿宋_GB2312" w:eastAsia="仿宋_GB2312"/>
                <w:color w:val="000000"/>
                <w:sz w:val="24"/>
                <w:szCs w:val="21"/>
              </w:rPr>
              <w:t>（一）采购人提前向供应商提前发送通知，并按照职业健康检查要求提供纸质版待检查人员名册及相关文件、资料。</w:t>
            </w:r>
          </w:p>
        </w:tc>
        <w:tc>
          <w:tcPr>
            <w:tcW w:w="1563" w:type="dxa"/>
          </w:tcPr>
          <w:p w14:paraId="4FB9A6EA">
            <w:pPr>
              <w:spacing w:line="480" w:lineRule="auto"/>
              <w:rPr>
                <w:rFonts w:ascii="仿宋_GB2312" w:eastAsia="仿宋_GB2312"/>
                <w:color w:val="000000"/>
                <w:sz w:val="24"/>
                <w:szCs w:val="21"/>
              </w:rPr>
            </w:pPr>
          </w:p>
        </w:tc>
        <w:tc>
          <w:tcPr>
            <w:tcW w:w="1422" w:type="dxa"/>
          </w:tcPr>
          <w:p w14:paraId="6DA0B548">
            <w:pPr>
              <w:spacing w:line="480" w:lineRule="auto"/>
              <w:rPr>
                <w:rFonts w:ascii="仿宋_GB2312" w:eastAsia="仿宋_GB2312"/>
                <w:color w:val="000000"/>
                <w:sz w:val="24"/>
                <w:szCs w:val="21"/>
              </w:rPr>
            </w:pPr>
          </w:p>
        </w:tc>
      </w:tr>
      <w:tr w14:paraId="1F5D17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1135" w:type="dxa"/>
            <w:vMerge w:val="continue"/>
          </w:tcPr>
          <w:p w14:paraId="1BA314B7">
            <w:pPr>
              <w:spacing w:line="480" w:lineRule="auto"/>
              <w:rPr>
                <w:rFonts w:ascii="仿宋_GB2312" w:eastAsia="仿宋_GB2312"/>
                <w:color w:val="000000"/>
                <w:sz w:val="24"/>
                <w:szCs w:val="21"/>
              </w:rPr>
            </w:pPr>
          </w:p>
        </w:tc>
        <w:tc>
          <w:tcPr>
            <w:tcW w:w="1276" w:type="dxa"/>
            <w:vMerge w:val="continue"/>
          </w:tcPr>
          <w:p w14:paraId="702802C9">
            <w:pPr>
              <w:spacing w:line="300" w:lineRule="exact"/>
              <w:rPr>
                <w:rFonts w:hint="eastAsia" w:ascii="仿宋_GB2312" w:eastAsia="仿宋_GB2312"/>
                <w:color w:val="000000"/>
                <w:sz w:val="24"/>
                <w:szCs w:val="21"/>
              </w:rPr>
            </w:pPr>
          </w:p>
        </w:tc>
        <w:tc>
          <w:tcPr>
            <w:tcW w:w="4394" w:type="dxa"/>
          </w:tcPr>
          <w:p w14:paraId="53587A86">
            <w:pPr>
              <w:spacing w:line="300" w:lineRule="exact"/>
              <w:rPr>
                <w:rFonts w:hint="eastAsia" w:ascii="仿宋_GB2312" w:eastAsia="仿宋_GB2312"/>
                <w:color w:val="000000"/>
                <w:sz w:val="24"/>
                <w:szCs w:val="21"/>
              </w:rPr>
            </w:pPr>
            <w:r>
              <w:rPr>
                <w:rFonts w:hint="eastAsia" w:ascii="仿宋_GB2312" w:eastAsia="仿宋_GB2312"/>
                <w:color w:val="000000"/>
                <w:sz w:val="24"/>
                <w:szCs w:val="21"/>
              </w:rPr>
              <w:t>★（二）供应商接到采购人通知，应及时对采购人提供的文件、资料信息完整性进行检查，并在5天内组织实施职业健康检查，其中存在复查的，由双方协商确定检查时间。</w:t>
            </w:r>
          </w:p>
        </w:tc>
        <w:tc>
          <w:tcPr>
            <w:tcW w:w="1563" w:type="dxa"/>
          </w:tcPr>
          <w:p w14:paraId="348BCE36">
            <w:pPr>
              <w:spacing w:line="480" w:lineRule="auto"/>
              <w:rPr>
                <w:rFonts w:ascii="仿宋_GB2312" w:eastAsia="仿宋_GB2312"/>
                <w:color w:val="000000"/>
                <w:sz w:val="24"/>
                <w:szCs w:val="21"/>
              </w:rPr>
            </w:pPr>
          </w:p>
        </w:tc>
        <w:tc>
          <w:tcPr>
            <w:tcW w:w="1422" w:type="dxa"/>
          </w:tcPr>
          <w:p w14:paraId="06A6385E">
            <w:pPr>
              <w:spacing w:line="480" w:lineRule="auto"/>
              <w:rPr>
                <w:rFonts w:ascii="仿宋_GB2312" w:eastAsia="仿宋_GB2312"/>
                <w:color w:val="000000"/>
                <w:sz w:val="24"/>
                <w:szCs w:val="21"/>
              </w:rPr>
            </w:pPr>
          </w:p>
        </w:tc>
      </w:tr>
      <w:tr w14:paraId="390EF7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5" w:hRule="atLeast"/>
          <w:jc w:val="center"/>
        </w:trPr>
        <w:tc>
          <w:tcPr>
            <w:tcW w:w="1135" w:type="dxa"/>
            <w:vMerge w:val="continue"/>
          </w:tcPr>
          <w:p w14:paraId="0C166238">
            <w:pPr>
              <w:spacing w:line="480" w:lineRule="auto"/>
              <w:rPr>
                <w:rFonts w:ascii="仿宋_GB2312" w:eastAsia="仿宋_GB2312"/>
                <w:color w:val="000000"/>
                <w:sz w:val="24"/>
                <w:szCs w:val="21"/>
              </w:rPr>
            </w:pPr>
          </w:p>
        </w:tc>
        <w:tc>
          <w:tcPr>
            <w:tcW w:w="1276" w:type="dxa"/>
            <w:vMerge w:val="continue"/>
          </w:tcPr>
          <w:p w14:paraId="060910E1">
            <w:pPr>
              <w:spacing w:line="300" w:lineRule="exact"/>
              <w:rPr>
                <w:rFonts w:hint="eastAsia" w:ascii="仿宋_GB2312" w:eastAsia="仿宋_GB2312"/>
                <w:color w:val="000000"/>
                <w:sz w:val="24"/>
                <w:szCs w:val="21"/>
              </w:rPr>
            </w:pPr>
          </w:p>
        </w:tc>
        <w:tc>
          <w:tcPr>
            <w:tcW w:w="4394" w:type="dxa"/>
          </w:tcPr>
          <w:p w14:paraId="30FF69FE">
            <w:pPr>
              <w:spacing w:line="300" w:lineRule="exact"/>
              <w:rPr>
                <w:rFonts w:hint="eastAsia" w:ascii="仿宋_GB2312" w:eastAsia="仿宋_GB2312"/>
                <w:color w:val="000000"/>
                <w:sz w:val="24"/>
                <w:szCs w:val="21"/>
              </w:rPr>
            </w:pPr>
            <w:r>
              <w:rPr>
                <w:rFonts w:hint="eastAsia" w:ascii="仿宋_GB2312" w:eastAsia="仿宋_GB2312"/>
                <w:color w:val="000000"/>
                <w:sz w:val="24"/>
                <w:szCs w:val="21"/>
              </w:rPr>
              <w:t>★（三）检查完成后15天内，供应商应向采购人出具纸质版检查报告，报告应包含职业健康检查总体检查报告书、职业健康检查个人检查报告书、职业健康检查检查禁忌症通知单（若有）、职业健康检查复（补）查通知单（若有）等。</w:t>
            </w:r>
          </w:p>
        </w:tc>
        <w:tc>
          <w:tcPr>
            <w:tcW w:w="1563" w:type="dxa"/>
          </w:tcPr>
          <w:p w14:paraId="0D3AA371">
            <w:pPr>
              <w:spacing w:line="480" w:lineRule="auto"/>
              <w:rPr>
                <w:rFonts w:ascii="仿宋_GB2312" w:eastAsia="仿宋_GB2312"/>
                <w:color w:val="000000"/>
                <w:sz w:val="24"/>
                <w:szCs w:val="21"/>
              </w:rPr>
            </w:pPr>
          </w:p>
        </w:tc>
        <w:tc>
          <w:tcPr>
            <w:tcW w:w="1422" w:type="dxa"/>
            <w:tcBorders>
              <w:top w:val="single" w:color="auto" w:sz="4" w:space="0"/>
            </w:tcBorders>
          </w:tcPr>
          <w:p w14:paraId="092E2FA3">
            <w:pPr>
              <w:spacing w:line="480" w:lineRule="auto"/>
              <w:rPr>
                <w:rFonts w:ascii="仿宋_GB2312" w:eastAsia="仿宋_GB2312"/>
                <w:color w:val="000000"/>
                <w:sz w:val="24"/>
                <w:szCs w:val="21"/>
              </w:rPr>
            </w:pPr>
          </w:p>
        </w:tc>
      </w:tr>
      <w:tr w14:paraId="0FA6D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135" w:type="dxa"/>
            <w:vMerge w:val="continue"/>
          </w:tcPr>
          <w:p w14:paraId="4C9F4284">
            <w:pPr>
              <w:spacing w:line="480" w:lineRule="auto"/>
              <w:rPr>
                <w:rFonts w:ascii="仿宋_GB2312" w:eastAsia="仿宋_GB2312"/>
                <w:color w:val="000000"/>
                <w:sz w:val="24"/>
                <w:szCs w:val="21"/>
              </w:rPr>
            </w:pPr>
          </w:p>
        </w:tc>
        <w:tc>
          <w:tcPr>
            <w:tcW w:w="1276" w:type="dxa"/>
          </w:tcPr>
          <w:p w14:paraId="3190458C">
            <w:pPr>
              <w:spacing w:line="300" w:lineRule="exact"/>
              <w:rPr>
                <w:rFonts w:hint="eastAsia" w:ascii="仿宋_GB2312" w:eastAsia="仿宋_GB2312"/>
                <w:color w:val="000000"/>
                <w:sz w:val="24"/>
                <w:szCs w:val="21"/>
              </w:rPr>
            </w:pPr>
            <w:r>
              <w:rPr>
                <w:rFonts w:hint="eastAsia" w:ascii="仿宋_GB2312" w:eastAsia="仿宋_GB2312"/>
                <w:color w:val="000000"/>
                <w:sz w:val="24"/>
                <w:szCs w:val="21"/>
              </w:rPr>
              <w:t>三、疫情防控</w:t>
            </w:r>
          </w:p>
        </w:tc>
        <w:tc>
          <w:tcPr>
            <w:tcW w:w="4394" w:type="dxa"/>
          </w:tcPr>
          <w:p w14:paraId="5D03F16F">
            <w:pPr>
              <w:spacing w:line="300" w:lineRule="exact"/>
              <w:rPr>
                <w:rFonts w:hint="eastAsia" w:ascii="仿宋_GB2312" w:eastAsia="仿宋_GB2312"/>
                <w:color w:val="000000"/>
                <w:sz w:val="24"/>
                <w:szCs w:val="21"/>
              </w:rPr>
            </w:pPr>
            <w:r>
              <w:rPr>
                <w:rFonts w:hint="eastAsia" w:ascii="仿宋_GB2312" w:eastAsia="仿宋_GB2312"/>
                <w:color w:val="000000"/>
                <w:sz w:val="24"/>
                <w:szCs w:val="21"/>
              </w:rPr>
              <w:t>严格按照国家、地方的卫生健康主管部门的相关要求进行，并做好各项疫情防控工作。</w:t>
            </w:r>
          </w:p>
        </w:tc>
        <w:tc>
          <w:tcPr>
            <w:tcW w:w="1563" w:type="dxa"/>
            <w:vMerge w:val="restart"/>
          </w:tcPr>
          <w:p w14:paraId="7B90F146">
            <w:pPr>
              <w:spacing w:line="480" w:lineRule="auto"/>
              <w:rPr>
                <w:rFonts w:ascii="仿宋_GB2312" w:eastAsia="仿宋_GB2312"/>
                <w:color w:val="000000"/>
                <w:sz w:val="24"/>
                <w:szCs w:val="21"/>
              </w:rPr>
            </w:pPr>
          </w:p>
        </w:tc>
        <w:tc>
          <w:tcPr>
            <w:tcW w:w="1422" w:type="dxa"/>
            <w:vMerge w:val="restart"/>
            <w:tcBorders>
              <w:top w:val="single" w:color="auto" w:sz="4" w:space="0"/>
            </w:tcBorders>
          </w:tcPr>
          <w:p w14:paraId="56D2095A">
            <w:pPr>
              <w:spacing w:line="480" w:lineRule="auto"/>
              <w:rPr>
                <w:rFonts w:ascii="仿宋_GB2312" w:eastAsia="仿宋_GB2312"/>
                <w:color w:val="000000"/>
                <w:sz w:val="24"/>
                <w:szCs w:val="21"/>
              </w:rPr>
            </w:pPr>
          </w:p>
        </w:tc>
      </w:tr>
      <w:tr w14:paraId="3D7110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1135" w:type="dxa"/>
            <w:vMerge w:val="continue"/>
          </w:tcPr>
          <w:p w14:paraId="4B6F9FEB">
            <w:pPr>
              <w:spacing w:line="480" w:lineRule="auto"/>
              <w:rPr>
                <w:rFonts w:ascii="仿宋_GB2312" w:eastAsia="仿宋_GB2312"/>
                <w:color w:val="000000"/>
                <w:sz w:val="24"/>
                <w:szCs w:val="21"/>
              </w:rPr>
            </w:pPr>
          </w:p>
        </w:tc>
        <w:tc>
          <w:tcPr>
            <w:tcW w:w="1276" w:type="dxa"/>
          </w:tcPr>
          <w:p w14:paraId="7DB09007">
            <w:pPr>
              <w:spacing w:line="300" w:lineRule="exact"/>
              <w:rPr>
                <w:rFonts w:hint="eastAsia" w:ascii="仿宋_GB2312" w:eastAsia="仿宋_GB2312"/>
                <w:color w:val="000000"/>
                <w:sz w:val="24"/>
                <w:szCs w:val="21"/>
              </w:rPr>
            </w:pPr>
            <w:r>
              <w:rPr>
                <w:rFonts w:hint="eastAsia" w:ascii="仿宋_GB2312" w:eastAsia="仿宋_GB2312"/>
                <w:color w:val="000000"/>
                <w:sz w:val="24"/>
                <w:szCs w:val="21"/>
              </w:rPr>
              <w:t>四、其他要求</w:t>
            </w:r>
          </w:p>
        </w:tc>
        <w:tc>
          <w:tcPr>
            <w:tcW w:w="4394" w:type="dxa"/>
          </w:tcPr>
          <w:p w14:paraId="715DA7FB">
            <w:pPr>
              <w:pStyle w:val="7"/>
              <w:spacing w:after="0" w:line="300" w:lineRule="exact"/>
              <w:rPr>
                <w:rFonts w:ascii="仿宋_GB2312" w:eastAsia="仿宋_GB2312"/>
                <w:color w:val="000000"/>
                <w:kern w:val="2"/>
                <w:szCs w:val="21"/>
              </w:rPr>
            </w:pPr>
            <w:r>
              <w:rPr>
                <w:rFonts w:hint="eastAsia" w:ascii="仿宋_GB2312" w:eastAsia="仿宋_GB2312"/>
                <w:color w:val="000000"/>
                <w:kern w:val="2"/>
                <w:szCs w:val="21"/>
              </w:rPr>
              <w:t>四、遵守</w:t>
            </w:r>
            <w:r>
              <w:rPr>
                <w:rFonts w:ascii="仿宋_GB2312" w:eastAsia="仿宋_GB2312"/>
                <w:color w:val="000000"/>
                <w:kern w:val="2"/>
                <w:szCs w:val="21"/>
              </w:rPr>
              <w:t>成都恒达光学有限公司</w:t>
            </w:r>
            <w:r>
              <w:rPr>
                <w:rFonts w:hint="eastAsia" w:ascii="仿宋_GB2312" w:eastAsia="仿宋_GB2312"/>
                <w:color w:val="000000"/>
                <w:kern w:val="2"/>
                <w:szCs w:val="21"/>
              </w:rPr>
              <w:t>的各项管理制度（包含公司安全环保协议、相关保密要求等）、承诺保守在服务过程中获取的国家秘密及企业、个人秘密。</w:t>
            </w:r>
          </w:p>
          <w:p w14:paraId="4A889ACC">
            <w:pPr>
              <w:spacing w:line="300" w:lineRule="exact"/>
              <w:rPr>
                <w:rFonts w:hint="eastAsia" w:ascii="仿宋_GB2312" w:eastAsia="仿宋_GB2312"/>
                <w:color w:val="000000"/>
                <w:sz w:val="24"/>
                <w:szCs w:val="21"/>
              </w:rPr>
            </w:pPr>
          </w:p>
        </w:tc>
        <w:tc>
          <w:tcPr>
            <w:tcW w:w="1563" w:type="dxa"/>
            <w:vMerge w:val="continue"/>
          </w:tcPr>
          <w:p w14:paraId="5DE86605">
            <w:pPr>
              <w:spacing w:line="480" w:lineRule="auto"/>
              <w:rPr>
                <w:rFonts w:ascii="仿宋_GB2312" w:eastAsia="仿宋_GB2312"/>
                <w:color w:val="000000"/>
                <w:sz w:val="24"/>
                <w:szCs w:val="21"/>
              </w:rPr>
            </w:pPr>
          </w:p>
        </w:tc>
        <w:tc>
          <w:tcPr>
            <w:tcW w:w="1422" w:type="dxa"/>
            <w:vMerge w:val="continue"/>
          </w:tcPr>
          <w:p w14:paraId="1108F0AF">
            <w:pPr>
              <w:spacing w:line="480" w:lineRule="auto"/>
              <w:rPr>
                <w:rFonts w:ascii="仿宋_GB2312" w:eastAsia="仿宋_GB2312"/>
                <w:color w:val="000000"/>
                <w:sz w:val="24"/>
                <w:szCs w:val="21"/>
              </w:rPr>
            </w:pPr>
          </w:p>
        </w:tc>
      </w:tr>
    </w:tbl>
    <w:p w14:paraId="716ED24C">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45DDF51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2CF8C144">
      <w:pPr>
        <w:spacing w:line="36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70E4B43E">
      <w:pPr>
        <w:jc w:val="left"/>
        <w:rPr>
          <w:rFonts w:asciiTheme="majorEastAsia" w:hAnsiTheme="majorEastAsia" w:eastAsiaTheme="majorEastAsia"/>
          <w:sz w:val="24"/>
        </w:rPr>
      </w:pPr>
      <w:r>
        <w:rPr>
          <w:rFonts w:hint="eastAsia" w:asciiTheme="majorEastAsia" w:hAnsiTheme="majorEastAsia" w:eastAsiaTheme="majorEastAsia"/>
          <w:sz w:val="24"/>
        </w:rPr>
        <w:t>文件七</w:t>
      </w:r>
    </w:p>
    <w:p w14:paraId="5BCD6D05">
      <w:pPr>
        <w:jc w:val="center"/>
        <w:rPr>
          <w:rFonts w:hint="eastAsia" w:ascii="仿宋_GB2312" w:eastAsia="仿宋_GB2312"/>
          <w:sz w:val="30"/>
          <w:szCs w:val="30"/>
        </w:rPr>
      </w:pPr>
      <w:r>
        <w:rPr>
          <w:rFonts w:hint="eastAsia" w:ascii="仿宋_GB2312" w:eastAsia="仿宋_GB2312"/>
          <w:sz w:val="30"/>
          <w:szCs w:val="30"/>
        </w:rPr>
        <w:t>供应商类似项目业绩一览表</w:t>
      </w:r>
    </w:p>
    <w:tbl>
      <w:tblPr>
        <w:tblStyle w:val="17"/>
        <w:tblW w:w="798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18"/>
        <w:gridCol w:w="1560"/>
        <w:gridCol w:w="1539"/>
        <w:gridCol w:w="1863"/>
        <w:gridCol w:w="1701"/>
      </w:tblGrid>
      <w:tr w14:paraId="78E651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tcBorders>
              <w:top w:val="single" w:color="auto" w:sz="4" w:space="0"/>
            </w:tcBorders>
            <w:vAlign w:val="center"/>
          </w:tcPr>
          <w:p w14:paraId="142CE11F">
            <w:pPr>
              <w:jc w:val="center"/>
              <w:rPr>
                <w:rFonts w:ascii="仿宋" w:hAnsi="仿宋" w:eastAsia="仿宋"/>
                <w:sz w:val="28"/>
                <w:szCs w:val="28"/>
              </w:rPr>
            </w:pPr>
            <w:r>
              <w:rPr>
                <w:rFonts w:hint="eastAsia" w:ascii="仿宋" w:hAnsi="仿宋" w:eastAsia="仿宋"/>
                <w:sz w:val="28"/>
                <w:szCs w:val="28"/>
              </w:rPr>
              <w:t>年份</w:t>
            </w:r>
          </w:p>
        </w:tc>
        <w:tc>
          <w:tcPr>
            <w:tcW w:w="1560" w:type="dxa"/>
            <w:vAlign w:val="center"/>
          </w:tcPr>
          <w:p w14:paraId="5101CBB4">
            <w:pPr>
              <w:jc w:val="center"/>
              <w:rPr>
                <w:rFonts w:ascii="仿宋" w:hAnsi="仿宋" w:eastAsia="仿宋"/>
                <w:sz w:val="28"/>
                <w:szCs w:val="28"/>
              </w:rPr>
            </w:pPr>
            <w:r>
              <w:rPr>
                <w:rFonts w:hint="eastAsia" w:ascii="仿宋" w:hAnsi="仿宋" w:eastAsia="仿宋"/>
                <w:sz w:val="28"/>
                <w:szCs w:val="28"/>
              </w:rPr>
              <w:t>客户名称</w:t>
            </w:r>
          </w:p>
        </w:tc>
        <w:tc>
          <w:tcPr>
            <w:tcW w:w="1539" w:type="dxa"/>
            <w:vAlign w:val="center"/>
          </w:tcPr>
          <w:p w14:paraId="179F465F">
            <w:pPr>
              <w:jc w:val="center"/>
              <w:rPr>
                <w:rFonts w:ascii="仿宋" w:hAnsi="仿宋" w:eastAsia="仿宋"/>
                <w:sz w:val="28"/>
                <w:szCs w:val="28"/>
              </w:rPr>
            </w:pPr>
            <w:r>
              <w:rPr>
                <w:rFonts w:ascii="仿宋" w:hAnsi="仿宋" w:eastAsia="仿宋"/>
                <w:sz w:val="28"/>
                <w:szCs w:val="28"/>
              </w:rPr>
              <w:t>项目名称</w:t>
            </w:r>
          </w:p>
        </w:tc>
        <w:tc>
          <w:tcPr>
            <w:tcW w:w="1863" w:type="dxa"/>
            <w:vAlign w:val="center"/>
          </w:tcPr>
          <w:p w14:paraId="3C0FCD01">
            <w:pPr>
              <w:jc w:val="center"/>
              <w:rPr>
                <w:rFonts w:ascii="仿宋" w:hAnsi="仿宋" w:eastAsia="仿宋"/>
                <w:sz w:val="28"/>
                <w:szCs w:val="28"/>
              </w:rPr>
            </w:pPr>
            <w:r>
              <w:rPr>
                <w:rFonts w:hint="eastAsia" w:ascii="仿宋" w:hAnsi="仿宋" w:eastAsia="仿宋"/>
                <w:sz w:val="28"/>
                <w:szCs w:val="28"/>
              </w:rPr>
              <w:t>签订时间</w:t>
            </w:r>
          </w:p>
        </w:tc>
        <w:tc>
          <w:tcPr>
            <w:tcW w:w="1701" w:type="dxa"/>
            <w:tcBorders>
              <w:left w:val="single" w:color="auto" w:sz="4" w:space="0"/>
            </w:tcBorders>
            <w:vAlign w:val="center"/>
          </w:tcPr>
          <w:p w14:paraId="5E6269F7">
            <w:pPr>
              <w:jc w:val="center"/>
              <w:rPr>
                <w:rFonts w:ascii="仿宋" w:hAnsi="仿宋" w:eastAsia="仿宋"/>
                <w:sz w:val="28"/>
                <w:szCs w:val="28"/>
              </w:rPr>
            </w:pPr>
            <w:r>
              <w:rPr>
                <w:rFonts w:hint="eastAsia" w:ascii="仿宋" w:hAnsi="仿宋" w:eastAsia="仿宋"/>
                <w:sz w:val="28"/>
                <w:szCs w:val="28"/>
              </w:rPr>
              <w:t>备注</w:t>
            </w:r>
          </w:p>
        </w:tc>
      </w:tr>
      <w:tr w14:paraId="121646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5CAD6689">
            <w:pPr>
              <w:spacing w:line="400" w:lineRule="exact"/>
              <w:jc w:val="center"/>
              <w:rPr>
                <w:rFonts w:ascii="仿宋" w:hAnsi="仿宋" w:eastAsia="仿宋" w:cs="Arial"/>
                <w:sz w:val="28"/>
                <w:szCs w:val="28"/>
              </w:rPr>
            </w:pPr>
          </w:p>
        </w:tc>
        <w:tc>
          <w:tcPr>
            <w:tcW w:w="1560" w:type="dxa"/>
            <w:vAlign w:val="center"/>
          </w:tcPr>
          <w:p w14:paraId="6A615BD2">
            <w:pPr>
              <w:spacing w:line="400" w:lineRule="exact"/>
              <w:jc w:val="center"/>
              <w:rPr>
                <w:rFonts w:ascii="仿宋" w:hAnsi="仿宋" w:eastAsia="仿宋" w:cs="Arial"/>
                <w:sz w:val="28"/>
                <w:szCs w:val="28"/>
              </w:rPr>
            </w:pPr>
          </w:p>
        </w:tc>
        <w:tc>
          <w:tcPr>
            <w:tcW w:w="1539" w:type="dxa"/>
            <w:vAlign w:val="center"/>
          </w:tcPr>
          <w:p w14:paraId="39610F6D">
            <w:pPr>
              <w:spacing w:line="400" w:lineRule="exact"/>
              <w:jc w:val="center"/>
              <w:rPr>
                <w:rFonts w:ascii="仿宋" w:hAnsi="仿宋" w:eastAsia="仿宋" w:cs="Arial"/>
                <w:sz w:val="28"/>
                <w:szCs w:val="28"/>
              </w:rPr>
            </w:pPr>
          </w:p>
        </w:tc>
        <w:tc>
          <w:tcPr>
            <w:tcW w:w="1863" w:type="dxa"/>
            <w:vAlign w:val="center"/>
          </w:tcPr>
          <w:p w14:paraId="52023605">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34016C15">
            <w:pPr>
              <w:spacing w:line="400" w:lineRule="exact"/>
              <w:jc w:val="center"/>
              <w:rPr>
                <w:rFonts w:ascii="仿宋" w:hAnsi="仿宋" w:eastAsia="仿宋" w:cs="Arial"/>
                <w:sz w:val="28"/>
                <w:szCs w:val="28"/>
              </w:rPr>
            </w:pPr>
          </w:p>
        </w:tc>
      </w:tr>
      <w:tr w14:paraId="0D9892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7B93FAAC">
            <w:pPr>
              <w:spacing w:line="400" w:lineRule="exact"/>
              <w:jc w:val="center"/>
              <w:rPr>
                <w:rFonts w:ascii="仿宋" w:hAnsi="仿宋" w:eastAsia="仿宋" w:cs="Arial"/>
                <w:sz w:val="28"/>
                <w:szCs w:val="28"/>
              </w:rPr>
            </w:pPr>
          </w:p>
        </w:tc>
        <w:tc>
          <w:tcPr>
            <w:tcW w:w="1560" w:type="dxa"/>
            <w:vAlign w:val="center"/>
          </w:tcPr>
          <w:p w14:paraId="1D15D035">
            <w:pPr>
              <w:spacing w:line="400" w:lineRule="exact"/>
              <w:jc w:val="center"/>
              <w:rPr>
                <w:rFonts w:ascii="仿宋" w:hAnsi="仿宋" w:eastAsia="仿宋" w:cs="Arial"/>
                <w:sz w:val="28"/>
                <w:szCs w:val="28"/>
              </w:rPr>
            </w:pPr>
          </w:p>
        </w:tc>
        <w:tc>
          <w:tcPr>
            <w:tcW w:w="1539" w:type="dxa"/>
            <w:vAlign w:val="center"/>
          </w:tcPr>
          <w:p w14:paraId="29AA4477">
            <w:pPr>
              <w:spacing w:line="400" w:lineRule="exact"/>
              <w:jc w:val="center"/>
              <w:rPr>
                <w:rFonts w:ascii="仿宋" w:hAnsi="仿宋" w:eastAsia="仿宋" w:cs="Arial"/>
                <w:sz w:val="28"/>
                <w:szCs w:val="28"/>
              </w:rPr>
            </w:pPr>
          </w:p>
        </w:tc>
        <w:tc>
          <w:tcPr>
            <w:tcW w:w="1863" w:type="dxa"/>
            <w:vAlign w:val="center"/>
          </w:tcPr>
          <w:p w14:paraId="18744B3B">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764A2D6D">
            <w:pPr>
              <w:spacing w:line="400" w:lineRule="exact"/>
              <w:jc w:val="center"/>
              <w:rPr>
                <w:rFonts w:ascii="仿宋" w:hAnsi="仿宋" w:eastAsia="仿宋" w:cs="Arial"/>
                <w:sz w:val="28"/>
                <w:szCs w:val="28"/>
              </w:rPr>
            </w:pPr>
          </w:p>
        </w:tc>
      </w:tr>
      <w:tr w14:paraId="075D46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07C411DD">
            <w:pPr>
              <w:spacing w:line="400" w:lineRule="exact"/>
              <w:jc w:val="center"/>
              <w:rPr>
                <w:rFonts w:ascii="仿宋" w:hAnsi="仿宋" w:eastAsia="仿宋" w:cs="Arial"/>
                <w:sz w:val="28"/>
                <w:szCs w:val="28"/>
              </w:rPr>
            </w:pPr>
          </w:p>
        </w:tc>
        <w:tc>
          <w:tcPr>
            <w:tcW w:w="1560" w:type="dxa"/>
            <w:vAlign w:val="center"/>
          </w:tcPr>
          <w:p w14:paraId="6EE29058">
            <w:pPr>
              <w:spacing w:line="400" w:lineRule="exact"/>
              <w:jc w:val="center"/>
              <w:rPr>
                <w:rFonts w:ascii="仿宋" w:hAnsi="仿宋" w:eastAsia="仿宋" w:cs="Arial"/>
                <w:sz w:val="28"/>
                <w:szCs w:val="28"/>
              </w:rPr>
            </w:pPr>
          </w:p>
        </w:tc>
        <w:tc>
          <w:tcPr>
            <w:tcW w:w="1539" w:type="dxa"/>
            <w:vAlign w:val="center"/>
          </w:tcPr>
          <w:p w14:paraId="06C73F55">
            <w:pPr>
              <w:spacing w:line="400" w:lineRule="exact"/>
              <w:jc w:val="center"/>
              <w:rPr>
                <w:rFonts w:ascii="仿宋" w:hAnsi="仿宋" w:eastAsia="仿宋" w:cs="Arial"/>
                <w:sz w:val="28"/>
                <w:szCs w:val="28"/>
              </w:rPr>
            </w:pPr>
          </w:p>
        </w:tc>
        <w:tc>
          <w:tcPr>
            <w:tcW w:w="1863" w:type="dxa"/>
            <w:vAlign w:val="center"/>
          </w:tcPr>
          <w:p w14:paraId="1591251C">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3137603F">
            <w:pPr>
              <w:spacing w:line="400" w:lineRule="exact"/>
              <w:jc w:val="center"/>
              <w:rPr>
                <w:rFonts w:ascii="仿宋" w:hAnsi="仿宋" w:eastAsia="仿宋" w:cs="Arial"/>
                <w:sz w:val="28"/>
                <w:szCs w:val="28"/>
              </w:rPr>
            </w:pPr>
          </w:p>
        </w:tc>
      </w:tr>
      <w:tr w14:paraId="22DD45B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38B3308B">
            <w:pPr>
              <w:spacing w:line="400" w:lineRule="exact"/>
              <w:jc w:val="center"/>
              <w:rPr>
                <w:rFonts w:ascii="仿宋" w:hAnsi="仿宋" w:eastAsia="仿宋" w:cs="Arial"/>
                <w:sz w:val="28"/>
                <w:szCs w:val="28"/>
              </w:rPr>
            </w:pPr>
          </w:p>
        </w:tc>
        <w:tc>
          <w:tcPr>
            <w:tcW w:w="1560" w:type="dxa"/>
            <w:tcBorders>
              <w:right w:val="single" w:color="auto" w:sz="4" w:space="0"/>
            </w:tcBorders>
            <w:vAlign w:val="center"/>
          </w:tcPr>
          <w:p w14:paraId="397FDC5C">
            <w:pPr>
              <w:spacing w:line="400" w:lineRule="exact"/>
              <w:jc w:val="center"/>
              <w:rPr>
                <w:rFonts w:ascii="仿宋" w:hAnsi="仿宋" w:eastAsia="仿宋" w:cs="Arial"/>
                <w:sz w:val="28"/>
                <w:szCs w:val="28"/>
              </w:rPr>
            </w:pPr>
          </w:p>
        </w:tc>
        <w:tc>
          <w:tcPr>
            <w:tcW w:w="1539" w:type="dxa"/>
            <w:tcBorders>
              <w:left w:val="single" w:color="auto" w:sz="4" w:space="0"/>
            </w:tcBorders>
            <w:vAlign w:val="center"/>
          </w:tcPr>
          <w:p w14:paraId="3B593623">
            <w:pPr>
              <w:spacing w:line="400" w:lineRule="exact"/>
              <w:jc w:val="center"/>
              <w:rPr>
                <w:rFonts w:ascii="仿宋" w:hAnsi="仿宋" w:eastAsia="仿宋" w:cs="Arial"/>
                <w:sz w:val="28"/>
                <w:szCs w:val="28"/>
              </w:rPr>
            </w:pPr>
          </w:p>
        </w:tc>
        <w:tc>
          <w:tcPr>
            <w:tcW w:w="1863" w:type="dxa"/>
            <w:vAlign w:val="center"/>
          </w:tcPr>
          <w:p w14:paraId="0C02190F">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169DDC09">
            <w:pPr>
              <w:spacing w:line="400" w:lineRule="exact"/>
              <w:jc w:val="center"/>
              <w:rPr>
                <w:rFonts w:ascii="仿宋" w:hAnsi="仿宋" w:eastAsia="仿宋" w:cs="Arial"/>
                <w:sz w:val="28"/>
                <w:szCs w:val="28"/>
              </w:rPr>
            </w:pPr>
          </w:p>
        </w:tc>
      </w:tr>
    </w:tbl>
    <w:p w14:paraId="53944D20">
      <w:pPr>
        <w:jc w:val="left"/>
        <w:rPr>
          <w:rFonts w:hint="eastAsia" w:ascii="仿宋_GB2312" w:eastAsia="仿宋_GB2312"/>
          <w:sz w:val="30"/>
          <w:szCs w:val="30"/>
        </w:rPr>
      </w:pPr>
      <w:r>
        <w:rPr>
          <w:rFonts w:hint="eastAsia" w:ascii="仿宋" w:hAnsi="仿宋" w:eastAsia="仿宋"/>
          <w:sz w:val="28"/>
          <w:szCs w:val="28"/>
        </w:rPr>
        <w:t>注：供应商（仅限于供应商自己的）以上业绩需提供有关书面证明材料（合同、协议复印件）。</w:t>
      </w:r>
    </w:p>
    <w:p w14:paraId="6244CDBB">
      <w:pPr>
        <w:rPr>
          <w:rFonts w:ascii="仿宋_GB2312" w:eastAsia="仿宋_GB2312"/>
          <w:sz w:val="24"/>
          <w:szCs w:val="30"/>
        </w:rPr>
      </w:pPr>
    </w:p>
    <w:p w14:paraId="6A7E3C10">
      <w:pPr>
        <w:rPr>
          <w:rFonts w:ascii="仿宋_GB2312" w:eastAsia="仿宋_GB2312"/>
          <w:sz w:val="24"/>
          <w:szCs w:val="30"/>
        </w:rPr>
      </w:pPr>
    </w:p>
    <w:p w14:paraId="7616A830">
      <w:pPr>
        <w:rPr>
          <w:rFonts w:ascii="仿宋_GB2312" w:eastAsia="仿宋_GB2312"/>
          <w:sz w:val="24"/>
          <w:szCs w:val="30"/>
        </w:rPr>
      </w:pPr>
    </w:p>
    <w:p w14:paraId="1B18C8C0">
      <w:pPr>
        <w:jc w:val="left"/>
        <w:rPr>
          <w:rFonts w:ascii="仿宋" w:hAnsi="仿宋" w:eastAsia="仿宋"/>
          <w:sz w:val="28"/>
          <w:szCs w:val="28"/>
        </w:rPr>
      </w:pPr>
      <w:r>
        <w:rPr>
          <w:rFonts w:hint="eastAsia" w:ascii="仿宋" w:hAnsi="仿宋" w:eastAsia="仿宋"/>
          <w:sz w:val="28"/>
          <w:szCs w:val="28"/>
        </w:rPr>
        <w:t>供应商名称：XXXX（盖单位公部分）</w:t>
      </w:r>
    </w:p>
    <w:p w14:paraId="74E131F6">
      <w:pPr>
        <w:jc w:val="left"/>
        <w:rPr>
          <w:rFonts w:ascii="仿宋" w:hAnsi="仿宋" w:eastAsia="仿宋"/>
          <w:sz w:val="28"/>
          <w:szCs w:val="28"/>
        </w:rPr>
      </w:pPr>
      <w:r>
        <w:rPr>
          <w:rFonts w:hint="eastAsia" w:ascii="仿宋" w:hAnsi="仿宋" w:eastAsia="仿宋"/>
          <w:sz w:val="28"/>
          <w:szCs w:val="28"/>
        </w:rPr>
        <w:t>法定代表人或授权代表（签字）：XXXX</w:t>
      </w:r>
    </w:p>
    <w:p w14:paraId="497ABF42">
      <w:pPr>
        <w:jc w:val="left"/>
        <w:rPr>
          <w:rFonts w:ascii="仿宋" w:hAnsi="仿宋" w:eastAsia="仿宋"/>
          <w:sz w:val="28"/>
          <w:szCs w:val="28"/>
        </w:rPr>
      </w:pPr>
      <w:r>
        <w:rPr>
          <w:rFonts w:hint="eastAsia" w:ascii="仿宋" w:hAnsi="仿宋" w:eastAsia="仿宋"/>
          <w:sz w:val="28"/>
          <w:szCs w:val="28"/>
        </w:rPr>
        <w:t>日期：XXXX</w:t>
      </w:r>
    </w:p>
    <w:p w14:paraId="13133C46">
      <w:pPr>
        <w:tabs>
          <w:tab w:val="left" w:pos="180"/>
        </w:tabs>
        <w:rPr>
          <w:sz w:val="32"/>
        </w:rPr>
      </w:pPr>
    </w:p>
    <w:p w14:paraId="56AE2E7E">
      <w:pPr>
        <w:tabs>
          <w:tab w:val="left" w:pos="180"/>
        </w:tabs>
        <w:rPr>
          <w:sz w:val="32"/>
        </w:rPr>
      </w:pPr>
    </w:p>
    <w:p w14:paraId="641CB8C8">
      <w:pPr>
        <w:tabs>
          <w:tab w:val="left" w:pos="180"/>
        </w:tabs>
        <w:rPr>
          <w:sz w:val="32"/>
        </w:rPr>
      </w:pPr>
    </w:p>
    <w:p w14:paraId="5D8DAC69">
      <w:pPr>
        <w:tabs>
          <w:tab w:val="left" w:pos="180"/>
        </w:tabs>
        <w:rPr>
          <w:sz w:val="32"/>
        </w:rPr>
      </w:pPr>
    </w:p>
    <w:p w14:paraId="6B340C0E">
      <w:pPr>
        <w:tabs>
          <w:tab w:val="left" w:pos="180"/>
        </w:tabs>
        <w:rPr>
          <w:sz w:val="32"/>
        </w:rPr>
      </w:pPr>
    </w:p>
    <w:p w14:paraId="7E019FD5">
      <w:pPr>
        <w:tabs>
          <w:tab w:val="left" w:pos="180"/>
        </w:tabs>
        <w:rPr>
          <w:sz w:val="32"/>
        </w:rPr>
      </w:pPr>
    </w:p>
    <w:p w14:paraId="3E9B16F9">
      <w:pPr>
        <w:tabs>
          <w:tab w:val="left" w:pos="180"/>
        </w:tabs>
        <w:rPr>
          <w:rFonts w:hint="eastAsia"/>
          <w:sz w:val="32"/>
        </w:rPr>
      </w:pPr>
    </w:p>
    <w:p w14:paraId="7E7509D7">
      <w:pPr>
        <w:tabs>
          <w:tab w:val="left" w:pos="180"/>
        </w:tabs>
        <w:rPr>
          <w:rFonts w:hint="eastAsia"/>
          <w:sz w:val="32"/>
        </w:rPr>
      </w:pPr>
    </w:p>
    <w:p w14:paraId="74E56467">
      <w:pPr>
        <w:tabs>
          <w:tab w:val="left" w:pos="180"/>
        </w:tabs>
        <w:rPr>
          <w:b/>
          <w:sz w:val="32"/>
          <w:szCs w:val="32"/>
        </w:rPr>
      </w:pPr>
    </w:p>
    <w:p w14:paraId="5E6049D3">
      <w:pPr>
        <w:jc w:val="left"/>
        <w:rPr>
          <w:rFonts w:asciiTheme="majorEastAsia" w:hAnsiTheme="majorEastAsia" w:eastAsiaTheme="majorEastAsia"/>
          <w:sz w:val="24"/>
        </w:rPr>
      </w:pPr>
      <w:r>
        <w:rPr>
          <w:rFonts w:hint="eastAsia" w:asciiTheme="majorEastAsia" w:hAnsiTheme="majorEastAsia" w:eastAsiaTheme="majorEastAsia"/>
          <w:sz w:val="24"/>
        </w:rPr>
        <w:t>文件八</w:t>
      </w:r>
    </w:p>
    <w:p w14:paraId="2F9D437F">
      <w:pPr>
        <w:tabs>
          <w:tab w:val="left" w:pos="180"/>
        </w:tabs>
        <w:jc w:val="left"/>
        <w:rPr>
          <w:rFonts w:hint="eastAsia"/>
          <w:b/>
          <w:sz w:val="32"/>
          <w:szCs w:val="32"/>
        </w:rPr>
      </w:pPr>
      <w:r>
        <w:rPr>
          <w:rFonts w:hint="eastAsia"/>
          <w:b/>
          <w:sz w:val="32"/>
          <w:szCs w:val="32"/>
        </w:rPr>
        <w:t xml:space="preserve">    </w:t>
      </w:r>
    </w:p>
    <w:p w14:paraId="7858E843">
      <w:pPr>
        <w:pStyle w:val="11"/>
        <w:tabs>
          <w:tab w:val="left" w:pos="0"/>
        </w:tabs>
        <w:jc w:val="left"/>
      </w:pPr>
      <w:r>
        <w:rPr>
          <w:rFonts w:hint="eastAsia" w:cs="宋体" w:asciiTheme="majorEastAsia" w:hAnsiTheme="majorEastAsia" w:eastAsiaTheme="majorEastAsia"/>
          <w:b/>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sz w:val="28"/>
          <w:szCs w:val="28"/>
        </w:rPr>
        <w:t>以及适用于本项目相关的其他资格证明资料。</w:t>
      </w:r>
    </w:p>
    <w:p w14:paraId="696540C0">
      <w:pPr>
        <w:pStyle w:val="7"/>
        <w:rPr>
          <w:b/>
          <w:bCs/>
          <w:color w:val="000000"/>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舒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042F8">
    <w:pPr>
      <w:pStyle w:val="13"/>
      <w:jc w:val="center"/>
    </w:pPr>
    <w:r>
      <w:fldChar w:fldCharType="begin"/>
    </w:r>
    <w:r>
      <w:instrText xml:space="preserve"> PAGE   \* MERGEFORMAT </w:instrText>
    </w:r>
    <w:r>
      <w:fldChar w:fldCharType="separate"/>
    </w:r>
    <w:r>
      <w:rPr>
        <w:lang w:val="zh-CN"/>
      </w:rPr>
      <w:t>1</w:t>
    </w:r>
    <w:r>
      <w:rPr>
        <w:lang w:val="zh-CN"/>
      </w:rPr>
      <w:fldChar w:fldCharType="end"/>
    </w:r>
  </w:p>
  <w:p w14:paraId="1D4B4325">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59E1"/>
    <w:rsid w:val="00006B83"/>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4D8C"/>
    <w:rsid w:val="000D54A8"/>
    <w:rsid w:val="000D5F10"/>
    <w:rsid w:val="000D6E16"/>
    <w:rsid w:val="000E0AC0"/>
    <w:rsid w:val="000E31BB"/>
    <w:rsid w:val="000E3B9A"/>
    <w:rsid w:val="000E4068"/>
    <w:rsid w:val="000E406D"/>
    <w:rsid w:val="000F1C45"/>
    <w:rsid w:val="000F2EE6"/>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6B5"/>
    <w:rsid w:val="00133A60"/>
    <w:rsid w:val="00136914"/>
    <w:rsid w:val="00136FFD"/>
    <w:rsid w:val="001371CF"/>
    <w:rsid w:val="00137FE0"/>
    <w:rsid w:val="00144E1D"/>
    <w:rsid w:val="00147676"/>
    <w:rsid w:val="00152D88"/>
    <w:rsid w:val="00153A14"/>
    <w:rsid w:val="0015677F"/>
    <w:rsid w:val="00160BF2"/>
    <w:rsid w:val="0016328D"/>
    <w:rsid w:val="00163A22"/>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1F6FC7"/>
    <w:rsid w:val="002062DA"/>
    <w:rsid w:val="002068FC"/>
    <w:rsid w:val="0020786E"/>
    <w:rsid w:val="002129C6"/>
    <w:rsid w:val="002131E2"/>
    <w:rsid w:val="00220690"/>
    <w:rsid w:val="002227A3"/>
    <w:rsid w:val="002232E6"/>
    <w:rsid w:val="00224555"/>
    <w:rsid w:val="00227B12"/>
    <w:rsid w:val="002317BD"/>
    <w:rsid w:val="0023226C"/>
    <w:rsid w:val="00241005"/>
    <w:rsid w:val="0024219E"/>
    <w:rsid w:val="002435A5"/>
    <w:rsid w:val="002440BF"/>
    <w:rsid w:val="002500AC"/>
    <w:rsid w:val="00250FE6"/>
    <w:rsid w:val="002549BB"/>
    <w:rsid w:val="00255B99"/>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46C0"/>
    <w:rsid w:val="002B4E45"/>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0EB"/>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53D6"/>
    <w:rsid w:val="003F7A86"/>
    <w:rsid w:val="00402467"/>
    <w:rsid w:val="00405CA8"/>
    <w:rsid w:val="004136D5"/>
    <w:rsid w:val="00414C49"/>
    <w:rsid w:val="00416499"/>
    <w:rsid w:val="00416B67"/>
    <w:rsid w:val="0042492B"/>
    <w:rsid w:val="00434F5F"/>
    <w:rsid w:val="00443462"/>
    <w:rsid w:val="004476FC"/>
    <w:rsid w:val="004513A2"/>
    <w:rsid w:val="00453172"/>
    <w:rsid w:val="00454236"/>
    <w:rsid w:val="004559AE"/>
    <w:rsid w:val="00463157"/>
    <w:rsid w:val="00472BBF"/>
    <w:rsid w:val="004738C5"/>
    <w:rsid w:val="00473A50"/>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0D80"/>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0E79"/>
    <w:rsid w:val="00502C52"/>
    <w:rsid w:val="00503998"/>
    <w:rsid w:val="005051CE"/>
    <w:rsid w:val="00512F3D"/>
    <w:rsid w:val="005169BB"/>
    <w:rsid w:val="00521D86"/>
    <w:rsid w:val="00522216"/>
    <w:rsid w:val="0052242D"/>
    <w:rsid w:val="00522452"/>
    <w:rsid w:val="00526F4D"/>
    <w:rsid w:val="00526F5C"/>
    <w:rsid w:val="005273D9"/>
    <w:rsid w:val="005276CB"/>
    <w:rsid w:val="00530A81"/>
    <w:rsid w:val="005330A9"/>
    <w:rsid w:val="00534BBF"/>
    <w:rsid w:val="00537195"/>
    <w:rsid w:val="00552883"/>
    <w:rsid w:val="0056175A"/>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4135"/>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0519"/>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2E7D"/>
    <w:rsid w:val="00737FF3"/>
    <w:rsid w:val="00740A5D"/>
    <w:rsid w:val="00746DF2"/>
    <w:rsid w:val="00747374"/>
    <w:rsid w:val="007565DC"/>
    <w:rsid w:val="00756B83"/>
    <w:rsid w:val="007571B4"/>
    <w:rsid w:val="007649B3"/>
    <w:rsid w:val="007662F5"/>
    <w:rsid w:val="007671BC"/>
    <w:rsid w:val="00780A09"/>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3C2"/>
    <w:rsid w:val="00817AAA"/>
    <w:rsid w:val="00820F1D"/>
    <w:rsid w:val="008215FB"/>
    <w:rsid w:val="00822A7D"/>
    <w:rsid w:val="00830228"/>
    <w:rsid w:val="008333FB"/>
    <w:rsid w:val="008340A2"/>
    <w:rsid w:val="00837CC5"/>
    <w:rsid w:val="0084141C"/>
    <w:rsid w:val="00855C12"/>
    <w:rsid w:val="0085739E"/>
    <w:rsid w:val="00860ACA"/>
    <w:rsid w:val="00863011"/>
    <w:rsid w:val="00863A7C"/>
    <w:rsid w:val="00865632"/>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0C05"/>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122D"/>
    <w:rsid w:val="009C3FBF"/>
    <w:rsid w:val="009C4878"/>
    <w:rsid w:val="009D24C4"/>
    <w:rsid w:val="009D42D4"/>
    <w:rsid w:val="009D536C"/>
    <w:rsid w:val="009E1FB5"/>
    <w:rsid w:val="009E2B0C"/>
    <w:rsid w:val="009E4FA1"/>
    <w:rsid w:val="009E527A"/>
    <w:rsid w:val="009E62D0"/>
    <w:rsid w:val="009E6335"/>
    <w:rsid w:val="009F2F8C"/>
    <w:rsid w:val="009F48C6"/>
    <w:rsid w:val="00A05D01"/>
    <w:rsid w:val="00A074FB"/>
    <w:rsid w:val="00A07D31"/>
    <w:rsid w:val="00A07F6E"/>
    <w:rsid w:val="00A159EF"/>
    <w:rsid w:val="00A16B1A"/>
    <w:rsid w:val="00A179F4"/>
    <w:rsid w:val="00A20277"/>
    <w:rsid w:val="00A22E50"/>
    <w:rsid w:val="00A25955"/>
    <w:rsid w:val="00A27DF4"/>
    <w:rsid w:val="00A30ED5"/>
    <w:rsid w:val="00A351F8"/>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13E3"/>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19BA"/>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44E0B"/>
    <w:rsid w:val="00C50175"/>
    <w:rsid w:val="00C50A9E"/>
    <w:rsid w:val="00C52741"/>
    <w:rsid w:val="00C5324D"/>
    <w:rsid w:val="00C5468D"/>
    <w:rsid w:val="00C57911"/>
    <w:rsid w:val="00C57CBB"/>
    <w:rsid w:val="00C634CE"/>
    <w:rsid w:val="00C672CB"/>
    <w:rsid w:val="00C67F9A"/>
    <w:rsid w:val="00C72709"/>
    <w:rsid w:val="00C81E43"/>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35E"/>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CC6"/>
    <w:rsid w:val="00D74198"/>
    <w:rsid w:val="00D74E98"/>
    <w:rsid w:val="00D752E0"/>
    <w:rsid w:val="00D769AD"/>
    <w:rsid w:val="00D7727C"/>
    <w:rsid w:val="00D81C3F"/>
    <w:rsid w:val="00D82291"/>
    <w:rsid w:val="00D83B31"/>
    <w:rsid w:val="00D85348"/>
    <w:rsid w:val="00D900F9"/>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73FB5"/>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30FB"/>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3697"/>
    <w:rsid w:val="00F6523A"/>
    <w:rsid w:val="00F70DF8"/>
    <w:rsid w:val="00F70FAB"/>
    <w:rsid w:val="00F72D1B"/>
    <w:rsid w:val="00F75009"/>
    <w:rsid w:val="00F80F04"/>
    <w:rsid w:val="00F82D3F"/>
    <w:rsid w:val="00F906A8"/>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1A18"/>
    <w:rsid w:val="00FF359B"/>
    <w:rsid w:val="00FF3AA4"/>
    <w:rsid w:val="00FF4938"/>
    <w:rsid w:val="03B53621"/>
    <w:rsid w:val="05304180"/>
    <w:rsid w:val="072440CC"/>
    <w:rsid w:val="077940E3"/>
    <w:rsid w:val="0C28640C"/>
    <w:rsid w:val="0F556928"/>
    <w:rsid w:val="115C1106"/>
    <w:rsid w:val="12CF5263"/>
    <w:rsid w:val="134B71F7"/>
    <w:rsid w:val="14AF4F47"/>
    <w:rsid w:val="158242C4"/>
    <w:rsid w:val="170209AC"/>
    <w:rsid w:val="1B9969DF"/>
    <w:rsid w:val="1CDD6D9F"/>
    <w:rsid w:val="20930B9C"/>
    <w:rsid w:val="212958D0"/>
    <w:rsid w:val="24E75118"/>
    <w:rsid w:val="27B91ECD"/>
    <w:rsid w:val="288E1E70"/>
    <w:rsid w:val="29C31342"/>
    <w:rsid w:val="2AA35184"/>
    <w:rsid w:val="2BB05DAB"/>
    <w:rsid w:val="2C6923FD"/>
    <w:rsid w:val="2F146C9A"/>
    <w:rsid w:val="30A25EDE"/>
    <w:rsid w:val="30F54260"/>
    <w:rsid w:val="31AC4A34"/>
    <w:rsid w:val="338B2242"/>
    <w:rsid w:val="36587904"/>
    <w:rsid w:val="38710E94"/>
    <w:rsid w:val="415A73C9"/>
    <w:rsid w:val="42350960"/>
    <w:rsid w:val="434D7F2B"/>
    <w:rsid w:val="45D05528"/>
    <w:rsid w:val="46004450"/>
    <w:rsid w:val="4ABA4678"/>
    <w:rsid w:val="4B321EE0"/>
    <w:rsid w:val="4C9C7711"/>
    <w:rsid w:val="4DAB5F7A"/>
    <w:rsid w:val="4F172F4E"/>
    <w:rsid w:val="4FEF54B5"/>
    <w:rsid w:val="507C3BFE"/>
    <w:rsid w:val="521A36CE"/>
    <w:rsid w:val="53BB5D38"/>
    <w:rsid w:val="56705FB3"/>
    <w:rsid w:val="582F4FA6"/>
    <w:rsid w:val="5A0D079A"/>
    <w:rsid w:val="5B500161"/>
    <w:rsid w:val="5BA84B60"/>
    <w:rsid w:val="5D0A7BEF"/>
    <w:rsid w:val="5DE17FC3"/>
    <w:rsid w:val="5EB9616C"/>
    <w:rsid w:val="5F82010C"/>
    <w:rsid w:val="5FFB256E"/>
    <w:rsid w:val="63623A3E"/>
    <w:rsid w:val="67ED77D1"/>
    <w:rsid w:val="6AF17C50"/>
    <w:rsid w:val="70B60DD1"/>
    <w:rsid w:val="71AB7C66"/>
    <w:rsid w:val="72344282"/>
    <w:rsid w:val="74A115F5"/>
    <w:rsid w:val="750139B7"/>
    <w:rsid w:val="77EF1E32"/>
    <w:rsid w:val="7C2B6088"/>
    <w:rsid w:val="7C76477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4">
    <w:name w:val="Normal Indent"/>
    <w:basedOn w:val="1"/>
    <w:next w:val="5"/>
    <w:link w:val="39"/>
    <w:qFormat/>
    <w:uiPriority w:val="0"/>
    <w:pPr>
      <w:ind w:firstLine="420" w:firstLineChars="200"/>
    </w:pPr>
    <w:rPr>
      <w:rFonts w:ascii="Calibri" w:hAnsi="Calibri"/>
    </w:rPr>
  </w:style>
  <w:style w:type="paragraph" w:styleId="5">
    <w:name w:val="index 7"/>
    <w:basedOn w:val="1"/>
    <w:next w:val="1"/>
    <w:autoRedefine/>
    <w:semiHidden/>
    <w:unhideWhenUsed/>
    <w:qFormat/>
    <w:uiPriority w:val="99"/>
    <w:pPr>
      <w:ind w:left="1200" w:leftChars="1200"/>
    </w:pPr>
  </w:style>
  <w:style w:type="paragraph" w:styleId="6">
    <w:name w:val="annotation text"/>
    <w:basedOn w:val="1"/>
    <w:link w:val="30"/>
    <w:semiHidden/>
    <w:qFormat/>
    <w:uiPriority w:val="99"/>
    <w:pPr>
      <w:jc w:val="left"/>
    </w:pPr>
    <w:rPr>
      <w:kern w:val="0"/>
      <w:sz w:val="24"/>
    </w:rPr>
  </w:style>
  <w:style w:type="paragraph" w:styleId="7">
    <w:name w:val="Body Text"/>
    <w:basedOn w:val="1"/>
    <w:link w:val="33"/>
    <w:qFormat/>
    <w:uiPriority w:val="99"/>
    <w:pPr>
      <w:spacing w:after="120"/>
    </w:pPr>
    <w:rPr>
      <w:kern w:val="0"/>
      <w:sz w:val="24"/>
    </w:rPr>
  </w:style>
  <w:style w:type="paragraph" w:styleId="8">
    <w:name w:val="Body Text Indent"/>
    <w:basedOn w:val="1"/>
    <w:link w:val="24"/>
    <w:qFormat/>
    <w:uiPriority w:val="99"/>
    <w:pPr>
      <w:spacing w:after="120"/>
      <w:ind w:left="420" w:leftChars="200"/>
    </w:pPr>
    <w:rPr>
      <w:kern w:val="0"/>
      <w:sz w:val="24"/>
    </w:rPr>
  </w:style>
  <w:style w:type="paragraph" w:styleId="9">
    <w:name w:val="Plain Text"/>
    <w:basedOn w:val="1"/>
    <w:link w:val="23"/>
    <w:qFormat/>
    <w:uiPriority w:val="99"/>
    <w:rPr>
      <w:rFonts w:ascii="宋体" w:hAnsi="Courier New"/>
      <w:kern w:val="0"/>
      <w:szCs w:val="21"/>
    </w:rPr>
  </w:style>
  <w:style w:type="paragraph" w:styleId="10">
    <w:name w:val="Date"/>
    <w:basedOn w:val="1"/>
    <w:next w:val="1"/>
    <w:link w:val="25"/>
    <w:qFormat/>
    <w:uiPriority w:val="99"/>
    <w:pPr>
      <w:ind w:left="100" w:leftChars="2500"/>
    </w:pPr>
    <w:rPr>
      <w:kern w:val="0"/>
      <w:sz w:val="24"/>
    </w:rPr>
  </w:style>
  <w:style w:type="paragraph" w:styleId="11">
    <w:name w:val="Body Text Indent 2"/>
    <w:basedOn w:val="1"/>
    <w:link w:val="27"/>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29"/>
    <w:qFormat/>
    <w:uiPriority w:val="99"/>
    <w:pPr>
      <w:tabs>
        <w:tab w:val="center" w:pos="4153"/>
        <w:tab w:val="right" w:pos="8306"/>
      </w:tabs>
      <w:snapToGrid w:val="0"/>
      <w:jc w:val="left"/>
    </w:pPr>
    <w:rPr>
      <w:kern w:val="0"/>
      <w:sz w:val="18"/>
      <w:szCs w:val="18"/>
    </w:rPr>
  </w:style>
  <w:style w:type="paragraph" w:styleId="14">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1"/>
    <w:semiHidden/>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Emphasis"/>
    <w:basedOn w:val="19"/>
    <w:qFormat/>
    <w:locked/>
    <w:uiPriority w:val="20"/>
    <w:rPr>
      <w:i/>
      <w:iCs/>
    </w:rPr>
  </w:style>
  <w:style w:type="character" w:styleId="21">
    <w:name w:val="annotation reference"/>
    <w:basedOn w:val="19"/>
    <w:semiHidden/>
    <w:qFormat/>
    <w:uiPriority w:val="99"/>
    <w:rPr>
      <w:rFonts w:cs="Times New Roman"/>
      <w:sz w:val="21"/>
    </w:rPr>
  </w:style>
  <w:style w:type="character" w:customStyle="1" w:styleId="22">
    <w:name w:val="标题 2 Char"/>
    <w:basedOn w:val="19"/>
    <w:link w:val="3"/>
    <w:qFormat/>
    <w:locked/>
    <w:uiPriority w:val="99"/>
    <w:rPr>
      <w:rFonts w:ascii="Arial" w:hAnsi="Arial" w:eastAsia="黑体" w:cs="Times New Roman"/>
      <w:b/>
      <w:sz w:val="20"/>
    </w:rPr>
  </w:style>
  <w:style w:type="character" w:customStyle="1" w:styleId="23">
    <w:name w:val="纯文本 Char"/>
    <w:basedOn w:val="19"/>
    <w:link w:val="9"/>
    <w:qFormat/>
    <w:locked/>
    <w:uiPriority w:val="99"/>
    <w:rPr>
      <w:rFonts w:ascii="宋体" w:hAnsi="Courier New" w:eastAsia="宋体" w:cs="Times New Roman"/>
      <w:sz w:val="21"/>
    </w:rPr>
  </w:style>
  <w:style w:type="character" w:customStyle="1" w:styleId="24">
    <w:name w:val="正文文本缩进 Char"/>
    <w:basedOn w:val="19"/>
    <w:link w:val="8"/>
    <w:qFormat/>
    <w:locked/>
    <w:uiPriority w:val="99"/>
    <w:rPr>
      <w:rFonts w:ascii="Times New Roman" w:hAnsi="Times New Roman" w:eastAsia="宋体" w:cs="Times New Roman"/>
      <w:sz w:val="24"/>
    </w:rPr>
  </w:style>
  <w:style w:type="character" w:customStyle="1" w:styleId="25">
    <w:name w:val="日期 Char"/>
    <w:basedOn w:val="19"/>
    <w:link w:val="10"/>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9"/>
    <w:link w:val="11"/>
    <w:qFormat/>
    <w:locked/>
    <w:uiPriority w:val="99"/>
    <w:rPr>
      <w:rFonts w:ascii="Times New Roman" w:hAnsi="Times New Roman" w:eastAsia="宋体" w:cs="Times New Roman"/>
      <w:sz w:val="24"/>
    </w:rPr>
  </w:style>
  <w:style w:type="character" w:customStyle="1" w:styleId="28">
    <w:name w:val="页眉 Char"/>
    <w:basedOn w:val="19"/>
    <w:link w:val="14"/>
    <w:semiHidden/>
    <w:qFormat/>
    <w:locked/>
    <w:uiPriority w:val="99"/>
    <w:rPr>
      <w:rFonts w:ascii="Times New Roman" w:hAnsi="Times New Roman" w:eastAsia="宋体" w:cs="Times New Roman"/>
      <w:sz w:val="18"/>
    </w:rPr>
  </w:style>
  <w:style w:type="character" w:customStyle="1" w:styleId="29">
    <w:name w:val="页脚 Char"/>
    <w:basedOn w:val="19"/>
    <w:link w:val="13"/>
    <w:qFormat/>
    <w:locked/>
    <w:uiPriority w:val="99"/>
    <w:rPr>
      <w:rFonts w:ascii="Times New Roman" w:hAnsi="Times New Roman" w:eastAsia="宋体" w:cs="Times New Roman"/>
      <w:sz w:val="18"/>
    </w:rPr>
  </w:style>
  <w:style w:type="character" w:customStyle="1" w:styleId="30">
    <w:name w:val="批注文字 Char"/>
    <w:basedOn w:val="19"/>
    <w:link w:val="6"/>
    <w:semiHidden/>
    <w:qFormat/>
    <w:locked/>
    <w:uiPriority w:val="99"/>
    <w:rPr>
      <w:rFonts w:ascii="Times New Roman" w:hAnsi="Times New Roman" w:cs="Times New Roman"/>
      <w:sz w:val="24"/>
    </w:rPr>
  </w:style>
  <w:style w:type="character" w:customStyle="1" w:styleId="31">
    <w:name w:val="批注主题 Char"/>
    <w:basedOn w:val="30"/>
    <w:link w:val="16"/>
    <w:semiHidden/>
    <w:qFormat/>
    <w:locked/>
    <w:uiPriority w:val="99"/>
    <w:rPr>
      <w:rFonts w:ascii="Times New Roman" w:hAnsi="Times New Roman" w:cs="Times New Roman"/>
      <w:b/>
      <w:sz w:val="24"/>
    </w:rPr>
  </w:style>
  <w:style w:type="character" w:customStyle="1" w:styleId="32">
    <w:name w:val="批注框文本 Char"/>
    <w:basedOn w:val="19"/>
    <w:link w:val="12"/>
    <w:semiHidden/>
    <w:qFormat/>
    <w:locked/>
    <w:uiPriority w:val="99"/>
    <w:rPr>
      <w:rFonts w:ascii="Times New Roman" w:hAnsi="Times New Roman" w:cs="Times New Roman"/>
      <w:sz w:val="18"/>
    </w:rPr>
  </w:style>
  <w:style w:type="character" w:customStyle="1" w:styleId="33">
    <w:name w:val="正文文本 Char"/>
    <w:basedOn w:val="19"/>
    <w:link w:val="7"/>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9"/>
    <w:link w:val="2"/>
    <w:qFormat/>
    <w:uiPriority w:val="0"/>
    <w:rPr>
      <w:rFonts w:ascii="Times New Roman" w:hAnsi="Times New Roman"/>
      <w:b/>
      <w:bCs/>
      <w:kern w:val="44"/>
      <w:sz w:val="44"/>
      <w:szCs w:val="44"/>
    </w:rPr>
  </w:style>
  <w:style w:type="character" w:customStyle="1" w:styleId="38">
    <w:name w:val="apple-converted-space"/>
    <w:basedOn w:val="19"/>
    <w:qFormat/>
    <w:uiPriority w:val="0"/>
  </w:style>
  <w:style w:type="character" w:customStyle="1" w:styleId="39">
    <w:name w:val="正文缩进 字符"/>
    <w:link w:val="4"/>
    <w:qFormat/>
    <w:locked/>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4D982D-075F-4408-8D94-51EE49C9AC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20</Pages>
  <Words>6782</Words>
  <Characters>6959</Characters>
  <Lines>57</Lines>
  <Paragraphs>16</Paragraphs>
  <TotalTime>9</TotalTime>
  <ScaleCrop>false</ScaleCrop>
  <LinksUpToDate>false</LinksUpToDate>
  <CharactersWithSpaces>7364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dell</cp:lastModifiedBy>
  <cp:lastPrinted>2016-01-18T07:21:00Z</cp:lastPrinted>
  <dcterms:modified xsi:type="dcterms:W3CDTF">2024-07-23T08:26:28Z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DF923C571616479EAC68B5C5382CF7FE_13</vt:lpwstr>
  </property>
</Properties>
</file>