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钼电极采购</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七</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拟对J32生产线</w:t>
      </w:r>
      <w:r>
        <w:rPr>
          <w:rFonts w:hint="eastAsia" w:ascii="仿宋_GB2312" w:eastAsia="仿宋_GB2312"/>
          <w:b/>
          <w:bCs/>
          <w:sz w:val="24"/>
          <w:u w:val="single"/>
          <w:lang w:val="en-US" w:eastAsia="zh-CN"/>
        </w:rPr>
        <w:t>钼电极</w:t>
      </w:r>
      <w:r>
        <w:rPr>
          <w:rFonts w:hint="eastAsia" w:ascii="仿宋_GB2312" w:eastAsia="仿宋_GB2312"/>
          <w:sz w:val="24"/>
        </w:rPr>
        <w:t>采购项目组织询价，欢迎合格供应商前来报价。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J32生产线</w:t>
      </w:r>
      <w:r>
        <w:rPr>
          <w:rFonts w:hint="eastAsia" w:ascii="仿宋_GB2312" w:eastAsia="仿宋_GB2312"/>
          <w:b/>
          <w:bCs/>
          <w:sz w:val="24"/>
          <w:u w:val="single"/>
          <w:lang w:val="en-US" w:eastAsia="zh-CN"/>
        </w:rPr>
        <w:t>钼电极</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J32生产线大修用钼电极共需26根，具体规格尺寸</w:t>
      </w:r>
      <w:r>
        <w:rPr>
          <w:rFonts w:hint="eastAsia" w:ascii="仿宋_GB2312" w:eastAsia="仿宋_GB2312"/>
          <w:sz w:val="24"/>
        </w:rPr>
        <w:t>详见</w:t>
      </w:r>
      <w:r>
        <w:rPr>
          <w:rFonts w:hint="eastAsia" w:ascii="仿宋_GB2312" w:eastAsia="仿宋_GB2312"/>
          <w:sz w:val="24"/>
          <w:lang w:val="en-US" w:eastAsia="zh-CN"/>
        </w:rPr>
        <w:t>附件</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7</w:t>
      </w:r>
      <w:r>
        <w:rPr>
          <w:rFonts w:hint="eastAsia" w:ascii="仿宋_GB2312" w:eastAsia="仿宋_GB2312"/>
          <w:sz w:val="24"/>
        </w:rPr>
        <w:t>月</w:t>
      </w:r>
      <w:r>
        <w:rPr>
          <w:rFonts w:hint="eastAsia" w:ascii="仿宋_GB2312" w:eastAsia="仿宋_GB2312"/>
          <w:sz w:val="24"/>
          <w:lang w:val="en-US" w:eastAsia="zh-CN"/>
        </w:rPr>
        <w:t>15</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hint="eastAsia" w:ascii="仿宋_GB2312" w:eastAsia="仿宋_GB2312"/>
          <w:sz w:val="24"/>
          <w:lang w:val="en-US" w:eastAsia="zh-CN"/>
        </w:rPr>
        <w:t>7</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21</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7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21</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3"/>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3"/>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J32生产线钼电极</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3"/>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以上信息资料，由报价单位盖鲜章后上传。提供报价单位自行声明的，采购方保留核验声明真实性权利。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3"/>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3"/>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3"/>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21</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2024年8月31日前到货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3"/>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（一）法人代表授权委托书原件（格式见附件一）；</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（附件二）；</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（附件三）；</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报价函（附件四）</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报价明细表（附件五）</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六）技术规格偏离表（附件六）</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（七）商务应答表（附件七）</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7</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21</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pPr>
        <w:spacing w:line="480" w:lineRule="exact"/>
        <w:ind w:firstLine="4320" w:firstLineChars="1800"/>
        <w:rPr>
          <w:rFonts w:hint="eastAsia" w:ascii="仿宋_GB2312" w:eastAsia="仿宋_GB2312"/>
          <w:sz w:val="24"/>
        </w:rPr>
      </w:pPr>
    </w:p>
    <w:p>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9"/>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noWrap w:val="0"/>
            <w:vAlign w:val="center"/>
          </w:tcPr>
          <w:p>
            <w:pPr>
              <w:jc w:val="center"/>
              <w:rPr>
                <w:rFonts w:hAnsi="宋体"/>
                <w:sz w:val="24"/>
              </w:rPr>
            </w:pPr>
            <w:r>
              <w:rPr>
                <w:rFonts w:hint="eastAsia" w:hAnsi="宋体"/>
                <w:sz w:val="24"/>
              </w:rPr>
              <w:t>条款号</w:t>
            </w:r>
          </w:p>
        </w:tc>
        <w:tc>
          <w:tcPr>
            <w:tcW w:w="1560" w:type="dxa"/>
            <w:noWrap w:val="0"/>
            <w:vAlign w:val="center"/>
          </w:tcPr>
          <w:p>
            <w:pPr>
              <w:jc w:val="center"/>
              <w:rPr>
                <w:rFonts w:hAnsi="宋体"/>
                <w:sz w:val="24"/>
              </w:rPr>
            </w:pPr>
            <w:r>
              <w:rPr>
                <w:rFonts w:hint="eastAsia" w:hAnsi="宋体"/>
                <w:sz w:val="24"/>
              </w:rPr>
              <w:t>评分因素</w:t>
            </w:r>
          </w:p>
        </w:tc>
        <w:tc>
          <w:tcPr>
            <w:tcW w:w="6466" w:type="dxa"/>
            <w:noWrap w:val="0"/>
            <w:vAlign w:val="center"/>
          </w:tcPr>
          <w:p>
            <w:pPr>
              <w:jc w:val="center"/>
              <w:rPr>
                <w:rFonts w:hAnsi="宋体"/>
                <w:sz w:val="24"/>
              </w:rPr>
            </w:pPr>
            <w:r>
              <w:rPr>
                <w:rFonts w:hint="eastAsia" w:hAnsi="宋体"/>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1</w:t>
            </w:r>
          </w:p>
        </w:tc>
        <w:tc>
          <w:tcPr>
            <w:tcW w:w="708" w:type="dxa"/>
            <w:vMerge w:val="restart"/>
            <w:noWrap w:val="0"/>
            <w:vAlign w:val="center"/>
          </w:tcPr>
          <w:p>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pPr>
              <w:jc w:val="center"/>
              <w:rPr>
                <w:rFonts w:hAnsi="宋体"/>
                <w:sz w:val="24"/>
              </w:rPr>
            </w:pPr>
            <w:r>
              <w:rPr>
                <w:rFonts w:hint="eastAsia" w:hAnsi="宋体"/>
                <w:sz w:val="24"/>
              </w:rPr>
              <w:t>对供应商履约能力的评价</w:t>
            </w:r>
          </w:p>
        </w:tc>
        <w:tc>
          <w:tcPr>
            <w:tcW w:w="6466" w:type="dxa"/>
            <w:noWrap w:val="0"/>
            <w:vAlign w:val="top"/>
          </w:tcPr>
          <w:p>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center"/>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pPr>
              <w:jc w:val="left"/>
              <w:rPr>
                <w:rFonts w:hAnsi="宋体"/>
                <w:sz w:val="24"/>
              </w:rPr>
            </w:pPr>
            <w:r>
              <w:rPr>
                <w:rFonts w:hint="eastAsia" w:ascii="宋体" w:hAnsi="宋体" w:cs="宋体"/>
                <w:sz w:val="24"/>
              </w:rPr>
              <w:t>供应商</w:t>
            </w:r>
            <w:r>
              <w:rPr>
                <w:rFonts w:hint="eastAsia" w:ascii="宋体" w:hAnsi="宋体" w:cs="宋体"/>
                <w:sz w:val="24"/>
                <w:lang w:val="en-US" w:eastAsia="zh-CN"/>
              </w:rPr>
              <w:t>需提供</w:t>
            </w:r>
            <w:r>
              <w:rPr>
                <w:rFonts w:hint="eastAsia" w:ascii="宋体" w:hAnsi="宋体" w:cs="宋体"/>
                <w:sz w:val="24"/>
              </w:rPr>
              <w:t>近3年玻璃窑炉</w:t>
            </w:r>
            <w:r>
              <w:rPr>
                <w:rFonts w:hint="eastAsia" w:ascii="宋体" w:hAnsi="宋体" w:cs="宋体"/>
                <w:sz w:val="24"/>
                <w:lang w:val="en-US" w:eastAsia="zh-CN"/>
              </w:rPr>
              <w:t>使用其产品的相关</w:t>
            </w:r>
            <w:r>
              <w:rPr>
                <w:rFonts w:hint="eastAsia" w:ascii="宋体" w:hAnsi="宋体" w:cs="宋体"/>
                <w:sz w:val="24"/>
              </w:rPr>
              <w:t>业绩</w:t>
            </w:r>
            <w:r>
              <w:rPr>
                <w:rFonts w:hint="eastAsia" w:hAnsi="宋体"/>
                <w:color w:val="C00000"/>
                <w:sz w:val="24"/>
              </w:rPr>
              <w:t>（附销售合同或中标通知书）</w:t>
            </w:r>
            <w:r>
              <w:rPr>
                <w:rFonts w:hint="eastAsia" w:hAnsi="宋体"/>
                <w:sz w:val="24"/>
              </w:rPr>
              <w:t>，每提供</w:t>
            </w:r>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分，最高得</w:t>
            </w:r>
            <w:r>
              <w:rPr>
                <w:rFonts w:hint="eastAsia" w:hAnsi="宋体"/>
                <w:sz w:val="24"/>
                <w:lang w:val="en-US" w:eastAsia="zh-CN"/>
              </w:rPr>
              <w:t>15</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2</w:t>
            </w:r>
          </w:p>
        </w:tc>
        <w:tc>
          <w:tcPr>
            <w:tcW w:w="708" w:type="dxa"/>
            <w:vMerge w:val="restart"/>
            <w:noWrap w:val="0"/>
            <w:vAlign w:val="center"/>
          </w:tcPr>
          <w:p>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w:t>
            </w:r>
            <w:r>
              <w:rPr>
                <w:rFonts w:hint="eastAsia" w:hAnsi="宋体"/>
                <w:sz w:val="24"/>
                <w:lang w:eastAsia="zh-CN"/>
              </w:rPr>
              <w:t>、</w:t>
            </w:r>
            <w:r>
              <w:rPr>
                <w:rFonts w:hint="eastAsia" w:hAnsi="宋体"/>
                <w:sz w:val="24"/>
                <w:lang w:val="en-US" w:eastAsia="zh-CN"/>
              </w:rPr>
              <w:t>四部分</w:t>
            </w:r>
            <w:r>
              <w:rPr>
                <w:rFonts w:hint="eastAsia" w:hAnsi="宋体"/>
                <w:sz w:val="24"/>
              </w:rPr>
              <w:t>技术要求的响应性和商务要求进行评价，满分</w:t>
            </w:r>
            <w:r>
              <w:rPr>
                <w:rFonts w:hint="eastAsia" w:hAnsi="宋体"/>
                <w:sz w:val="24"/>
                <w:lang w:val="en-US" w:eastAsia="zh-CN"/>
              </w:rPr>
              <w:t>15</w:t>
            </w:r>
            <w:r>
              <w:rPr>
                <w:rFonts w:hint="eastAsia" w:hAnsi="宋体"/>
                <w:sz w:val="24"/>
              </w:rPr>
              <w:t>分。</w:t>
            </w:r>
          </w:p>
          <w:p>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对供应商技术服务和质保期服务能力的评价</w:t>
            </w:r>
          </w:p>
        </w:tc>
        <w:tc>
          <w:tcPr>
            <w:tcW w:w="6466" w:type="dxa"/>
            <w:noWrap w:val="0"/>
            <w:vAlign w:val="top"/>
          </w:tcPr>
          <w:p>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noWrap w:val="0"/>
            <w:vAlign w:val="center"/>
          </w:tcPr>
          <w:p>
            <w:pPr>
              <w:jc w:val="center"/>
              <w:rPr>
                <w:rFonts w:hAnsi="宋体"/>
                <w:sz w:val="24"/>
              </w:rPr>
            </w:pPr>
            <w:r>
              <w:rPr>
                <w:rFonts w:hAnsi="宋体"/>
                <w:sz w:val="24"/>
              </w:rPr>
              <w:t>3</w:t>
            </w:r>
          </w:p>
        </w:tc>
        <w:tc>
          <w:tcPr>
            <w:tcW w:w="708" w:type="dxa"/>
            <w:noWrap w:val="0"/>
            <w:vAlign w:val="center"/>
          </w:tcPr>
          <w:p>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pPr>
              <w:jc w:val="center"/>
              <w:rPr>
                <w:rFonts w:hAnsi="宋体"/>
                <w:sz w:val="24"/>
              </w:rPr>
            </w:pPr>
            <w:r>
              <w:rPr>
                <w:rFonts w:hint="eastAsia" w:hAnsi="宋体"/>
                <w:sz w:val="24"/>
              </w:rPr>
              <w:t>投标报价</w:t>
            </w:r>
          </w:p>
        </w:tc>
        <w:tc>
          <w:tcPr>
            <w:tcW w:w="6466" w:type="dxa"/>
            <w:noWrap w:val="0"/>
            <w:vAlign w:val="top"/>
          </w:tcPr>
          <w:p>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家以上时，去掉一个最高和最低投标报价，计算其余投标报价的算数平均值</w:t>
            </w:r>
            <w:r>
              <w:rPr>
                <w:rFonts w:hAnsi="宋体"/>
                <w:sz w:val="24"/>
              </w:rPr>
              <w:t>A</w:t>
            </w:r>
            <w:r>
              <w:rPr>
                <w:rFonts w:hint="eastAsia" w:hAnsi="宋体"/>
                <w:sz w:val="24"/>
              </w:rPr>
              <w:t>；</w:t>
            </w:r>
          </w:p>
          <w:p>
            <w:pPr>
              <w:jc w:val="left"/>
              <w:rPr>
                <w:rFonts w:hAnsi="宋体"/>
                <w:sz w:val="24"/>
              </w:rPr>
            </w:pPr>
            <w:r>
              <w:rPr>
                <w:rFonts w:hAnsi="宋体"/>
                <w:sz w:val="24"/>
              </w:rPr>
              <w:t>2</w:t>
            </w:r>
            <w:r>
              <w:rPr>
                <w:rFonts w:hint="eastAsia" w:hAnsi="宋体"/>
                <w:sz w:val="24"/>
              </w:rPr>
              <w:t>）当有效投标家数少于</w:t>
            </w:r>
            <w:r>
              <w:rPr>
                <w:rFonts w:hint="eastAsia" w:hAnsi="宋体"/>
                <w:sz w:val="24"/>
                <w:lang w:val="en-US" w:eastAsia="zh-CN"/>
              </w:rPr>
              <w:t>或等于</w:t>
            </w:r>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pPr>
              <w:jc w:val="center"/>
              <w:rPr>
                <w:rFonts w:hAnsi="宋体"/>
                <w:sz w:val="24"/>
              </w:rPr>
            </w:pPr>
            <w:r>
              <w:rPr>
                <w:rFonts w:hAnsi="宋体"/>
                <w:sz w:val="24"/>
              </w:rPr>
              <w:t>4</w:t>
            </w:r>
          </w:p>
        </w:tc>
        <w:tc>
          <w:tcPr>
            <w:tcW w:w="708" w:type="dxa"/>
            <w:noWrap w:val="0"/>
            <w:vAlign w:val="center"/>
          </w:tcPr>
          <w:p>
            <w:pPr>
              <w:jc w:val="center"/>
              <w:rPr>
                <w:rFonts w:hAnsi="宋体"/>
                <w:sz w:val="24"/>
              </w:rPr>
            </w:pPr>
            <w:r>
              <w:rPr>
                <w:rFonts w:hint="eastAsia" w:hAnsi="宋体"/>
                <w:sz w:val="24"/>
              </w:rPr>
              <w:t>总分</w:t>
            </w:r>
          </w:p>
        </w:tc>
        <w:tc>
          <w:tcPr>
            <w:tcW w:w="1560" w:type="dxa"/>
            <w:noWrap w:val="0"/>
            <w:vAlign w:val="top"/>
          </w:tcPr>
          <w:p>
            <w:pPr>
              <w:jc w:val="center"/>
              <w:rPr>
                <w:rFonts w:hAnsi="宋体"/>
                <w:sz w:val="24"/>
              </w:rPr>
            </w:pPr>
            <w:r>
              <w:rPr>
                <w:rFonts w:hAnsi="宋体"/>
                <w:sz w:val="24"/>
              </w:rPr>
              <w:t>/</w:t>
            </w:r>
          </w:p>
        </w:tc>
        <w:tc>
          <w:tcPr>
            <w:tcW w:w="6466" w:type="dxa"/>
            <w:noWrap w:val="0"/>
            <w:vAlign w:val="top"/>
          </w:tcPr>
          <w:p>
            <w:pPr>
              <w:jc w:val="center"/>
              <w:rPr>
                <w:rFonts w:hAnsi="宋体"/>
                <w:sz w:val="24"/>
              </w:rPr>
            </w:pPr>
            <w:r>
              <w:rPr>
                <w:rFonts w:hAnsi="宋体"/>
                <w:sz w:val="24"/>
              </w:rPr>
              <w:t>100</w:t>
            </w:r>
            <w:r>
              <w:rPr>
                <w:rFonts w:hint="eastAsia" w:hAnsi="宋体"/>
                <w:sz w:val="24"/>
              </w:rPr>
              <w:t>分</w:t>
            </w:r>
          </w:p>
        </w:tc>
      </w:tr>
    </w:tbl>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2024年8月31日前到货。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eastAsia"/>
          <w:kern w:val="0"/>
          <w:sz w:val="24"/>
          <w:lang w:val="en-US" w:eastAsia="zh-CN"/>
        </w:rPr>
      </w:pPr>
      <w:r>
        <w:rPr>
          <w:rFonts w:hint="eastAsia"/>
          <w:kern w:val="0"/>
          <w:sz w:val="24"/>
          <w:lang w:val="en-US" w:eastAsia="zh-CN"/>
        </w:rPr>
        <w:t>（一）合同签订后10个工日内，支付预付款30%；</w:t>
      </w:r>
    </w:p>
    <w:p>
      <w:pPr>
        <w:spacing w:line="520" w:lineRule="exact"/>
        <w:rPr>
          <w:rFonts w:hint="eastAsia"/>
          <w:kern w:val="0"/>
          <w:sz w:val="24"/>
          <w:lang w:val="en-US" w:eastAsia="zh-CN"/>
        </w:rPr>
      </w:pPr>
      <w:r>
        <w:rPr>
          <w:rFonts w:hint="eastAsia"/>
          <w:kern w:val="0"/>
          <w:sz w:val="24"/>
          <w:lang w:val="en-US" w:eastAsia="zh-CN"/>
        </w:rPr>
        <w:t>（二）货到安装使用验收合格，供方按实际收货钼电极重量开具全额增值税发票（税率13%）后90日内，需方支付合同货款总额60%。</w:t>
      </w:r>
    </w:p>
    <w:p>
      <w:pPr>
        <w:spacing w:line="520" w:lineRule="exact"/>
        <w:rPr>
          <w:rFonts w:hint="eastAsia"/>
          <w:kern w:val="0"/>
          <w:sz w:val="24"/>
          <w:lang w:val="en-US" w:eastAsia="zh-CN"/>
        </w:rPr>
      </w:pPr>
      <w:r>
        <w:rPr>
          <w:rFonts w:hint="eastAsia"/>
          <w:kern w:val="0"/>
          <w:sz w:val="24"/>
          <w:lang w:val="en-US" w:eastAsia="zh-CN"/>
        </w:rPr>
        <w:t>（三）货款总额的10%作为质保金，质保期为壹年，以验收合格之日起计算，期满10个工作日内，需方无息支付供方。</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r>
        <w:rPr>
          <w:rFonts w:hint="eastAsia" w:hAnsi="宋体"/>
          <w:sz w:val="24"/>
          <w:lang w:eastAsia="zh-CN"/>
        </w:rPr>
        <w:t>（</w:t>
      </w:r>
      <w:r>
        <w:rPr>
          <w:rFonts w:hint="eastAsia" w:hAnsi="宋体"/>
          <w:sz w:val="24"/>
          <w:lang w:val="en-US" w:eastAsia="zh-CN"/>
        </w:rPr>
        <w:t>如钼电极检验合格报告等）</w:t>
      </w:r>
      <w:r>
        <w:rPr>
          <w:rFonts w:hint="eastAsia" w:hAnsi="宋体"/>
          <w:sz w:val="24"/>
        </w:rPr>
        <w:t>；</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w:t>
      </w:r>
      <w:r>
        <w:rPr>
          <w:rFonts w:hint="eastAsia"/>
          <w:b/>
          <w:sz w:val="32"/>
          <w:szCs w:val="32"/>
        </w:rPr>
        <w:t>技术要求</w:t>
      </w:r>
    </w:p>
    <w:p>
      <w:pPr>
        <w:adjustRightInd w:val="0"/>
        <w:snapToGrid w:val="0"/>
        <w:spacing w:line="360" w:lineRule="auto"/>
        <w:ind w:right="399" w:rightChars="190"/>
        <w:rPr>
          <w:rFonts w:ascii="宋体" w:hAnsi="宋体"/>
          <w:b/>
          <w:bCs/>
          <w:color w:val="000000"/>
          <w:spacing w:val="10"/>
          <w:sz w:val="24"/>
        </w:rPr>
      </w:pPr>
    </w:p>
    <w:p>
      <w:pPr>
        <w:numPr>
          <w:ilvl w:val="0"/>
          <w:numId w:val="2"/>
        </w:numPr>
        <w:adjustRightInd w:val="0"/>
        <w:snapToGrid w:val="0"/>
        <w:spacing w:line="360" w:lineRule="auto"/>
        <w:ind w:right="399" w:rightChars="190"/>
        <w:rPr>
          <w:rFonts w:hint="eastAsia" w:ascii="宋体" w:hAnsi="宋体"/>
          <w:b/>
          <w:bCs/>
          <w:color w:val="000000"/>
          <w:spacing w:val="10"/>
          <w:sz w:val="24"/>
        </w:rPr>
      </w:pP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9"/>
        <w:tblW w:w="92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81"/>
        <w:gridCol w:w="2226"/>
        <w:gridCol w:w="2334"/>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6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序号</w:t>
            </w:r>
          </w:p>
        </w:tc>
        <w:tc>
          <w:tcPr>
            <w:tcW w:w="1681"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物资名称</w:t>
            </w:r>
          </w:p>
        </w:tc>
        <w:tc>
          <w:tcPr>
            <w:tcW w:w="2226"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规格型号</w:t>
            </w:r>
          </w:p>
        </w:tc>
        <w:tc>
          <w:tcPr>
            <w:tcW w:w="2334" w:type="dxa"/>
            <w:noWrap w:val="0"/>
            <w:vAlign w:val="center"/>
          </w:tcPr>
          <w:p>
            <w:pPr>
              <w:spacing w:line="340" w:lineRule="exact"/>
              <w:ind w:left="1" w:leftChars="-51" w:right="-107" w:rightChars="-51" w:hanging="108" w:hangingChars="45"/>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采购</w:t>
            </w:r>
            <w:r>
              <w:rPr>
                <w:rFonts w:hint="eastAsia" w:ascii="仿宋_GB2312" w:hAnsi="宋体" w:eastAsia="仿宋_GB2312"/>
                <w:sz w:val="24"/>
              </w:rPr>
              <w:t>数量</w:t>
            </w:r>
            <w:r>
              <w:rPr>
                <w:rFonts w:hint="eastAsia" w:ascii="仿宋_GB2312" w:hAnsi="宋体" w:eastAsia="仿宋_GB2312"/>
                <w:sz w:val="24"/>
                <w:lang w:eastAsia="zh-CN"/>
              </w:rPr>
              <w:t>（</w:t>
            </w:r>
            <w:r>
              <w:rPr>
                <w:rFonts w:hint="eastAsia" w:ascii="仿宋_GB2312" w:hAnsi="宋体" w:eastAsia="仿宋_GB2312"/>
                <w:sz w:val="24"/>
                <w:lang w:val="en-US" w:eastAsia="zh-CN"/>
              </w:rPr>
              <w:t>支）</w:t>
            </w:r>
          </w:p>
        </w:tc>
        <w:tc>
          <w:tcPr>
            <w:tcW w:w="228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eastAsia" w:eastAsia="宋体"/>
                <w:sz w:val="24"/>
                <w:lang w:val="en-US" w:eastAsia="zh-CN"/>
              </w:rPr>
            </w:pPr>
            <w:r>
              <w:rPr>
                <w:rFonts w:hint="eastAsia"/>
                <w:sz w:val="24"/>
                <w:lang w:val="en-US" w:eastAsia="zh-CN"/>
              </w:rPr>
              <w:t>1</w:t>
            </w:r>
          </w:p>
        </w:tc>
        <w:tc>
          <w:tcPr>
            <w:tcW w:w="1681" w:type="dxa"/>
            <w:noWrap w:val="0"/>
            <w:vAlign w:val="center"/>
          </w:tcPr>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val="en-US" w:eastAsia="zh-CN"/>
              </w:rPr>
              <w:t>Φ63.5*800</w:t>
            </w:r>
          </w:p>
        </w:tc>
        <w:tc>
          <w:tcPr>
            <w:tcW w:w="2334" w:type="dxa"/>
            <w:noWrap w:val="0"/>
            <w:vAlign w:val="center"/>
          </w:tcPr>
          <w:p>
            <w:pPr>
              <w:jc w:val="center"/>
              <w:rPr>
                <w:rFonts w:hint="default" w:eastAsia="宋体"/>
                <w:sz w:val="24"/>
                <w:lang w:val="en-US" w:eastAsia="zh-CN"/>
              </w:rPr>
            </w:pPr>
            <w:r>
              <w:rPr>
                <w:rFonts w:hint="eastAsia"/>
                <w:sz w:val="24"/>
                <w:lang w:val="en-US" w:eastAsia="zh-CN"/>
              </w:rPr>
              <w:t>18</w:t>
            </w:r>
          </w:p>
        </w:tc>
        <w:tc>
          <w:tcPr>
            <w:tcW w:w="2287" w:type="dxa"/>
            <w:vMerge w:val="restart"/>
            <w:noWrap w:val="0"/>
            <w:vAlign w:val="center"/>
          </w:tcPr>
          <w:p>
            <w:pPr>
              <w:jc w:val="center"/>
              <w:rPr>
                <w:rFonts w:hint="default" w:eastAsia="宋体"/>
                <w:sz w:val="24"/>
                <w:lang w:val="en-US" w:eastAsia="zh-CN"/>
              </w:rPr>
            </w:pPr>
            <w:r>
              <w:rPr>
                <w:rFonts w:hint="eastAsia" w:ascii="仿宋_GB2312" w:hAnsi="宋体" w:eastAsia="仿宋_GB2312"/>
                <w:sz w:val="24"/>
                <w:lang w:val="en-US" w:eastAsia="zh-CN"/>
              </w:rPr>
              <w:t>详细尺寸见附图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default"/>
                <w:sz w:val="24"/>
                <w:lang w:val="en-US" w:eastAsia="zh-CN"/>
              </w:rPr>
            </w:pPr>
            <w:r>
              <w:rPr>
                <w:rFonts w:hint="eastAsia"/>
                <w:sz w:val="24"/>
                <w:lang w:val="en-US" w:eastAsia="zh-CN"/>
              </w:rPr>
              <w:t>2</w:t>
            </w:r>
          </w:p>
        </w:tc>
        <w:tc>
          <w:tcPr>
            <w:tcW w:w="1681" w:type="dxa"/>
            <w:noWrap w:val="0"/>
            <w:vAlign w:val="center"/>
          </w:tcPr>
          <w:p>
            <w:pPr>
              <w:spacing w:line="340" w:lineRule="exact"/>
              <w:jc w:val="center"/>
              <w:rPr>
                <w:rFonts w:hint="eastAsia" w:ascii="仿宋_GB2312" w:hAnsi="宋体" w:eastAsia="仿宋_GB2312"/>
                <w:sz w:val="24"/>
                <w:lang w:eastAsia="zh-CN"/>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Φ48*750</w:t>
            </w:r>
          </w:p>
        </w:tc>
        <w:tc>
          <w:tcPr>
            <w:tcW w:w="2334" w:type="dxa"/>
            <w:noWrap w:val="0"/>
            <w:vAlign w:val="center"/>
          </w:tcPr>
          <w:p>
            <w:pPr>
              <w:jc w:val="center"/>
              <w:rPr>
                <w:rFonts w:hint="default"/>
                <w:sz w:val="24"/>
                <w:lang w:val="en-US" w:eastAsia="zh-CN"/>
              </w:rPr>
            </w:pPr>
            <w:r>
              <w:rPr>
                <w:rFonts w:hint="eastAsia"/>
                <w:sz w:val="24"/>
                <w:lang w:val="en-US" w:eastAsia="zh-CN"/>
              </w:rPr>
              <w:t>2</w:t>
            </w:r>
          </w:p>
        </w:tc>
        <w:tc>
          <w:tcPr>
            <w:tcW w:w="2287" w:type="dxa"/>
            <w:vMerge w:val="continue"/>
            <w:noWrap w:val="0"/>
            <w:vAlign w:val="center"/>
          </w:tcPr>
          <w:p>
            <w:pPr>
              <w:jc w:val="center"/>
              <w:rPr>
                <w:rFonts w:hint="eastAsia" w:ascii="仿宋_GB2312" w:hAnsi="宋体" w:eastAsia="仿宋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default"/>
                <w:sz w:val="24"/>
                <w:lang w:val="en-US" w:eastAsia="zh-CN"/>
              </w:rPr>
            </w:pPr>
            <w:r>
              <w:rPr>
                <w:rFonts w:hint="eastAsia"/>
                <w:sz w:val="24"/>
                <w:lang w:val="en-US" w:eastAsia="zh-CN"/>
              </w:rPr>
              <w:t>3</w:t>
            </w:r>
          </w:p>
        </w:tc>
        <w:tc>
          <w:tcPr>
            <w:tcW w:w="1681" w:type="dxa"/>
            <w:noWrap w:val="0"/>
            <w:vAlign w:val="center"/>
          </w:tcPr>
          <w:p>
            <w:pPr>
              <w:spacing w:line="340" w:lineRule="exact"/>
              <w:jc w:val="center"/>
              <w:rPr>
                <w:rFonts w:hint="eastAsia" w:ascii="仿宋_GB2312" w:hAnsi="宋体" w:eastAsia="仿宋_GB2312"/>
                <w:sz w:val="24"/>
                <w:lang w:eastAsia="zh-CN"/>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Φ63.5*1200</w:t>
            </w:r>
          </w:p>
        </w:tc>
        <w:tc>
          <w:tcPr>
            <w:tcW w:w="2334" w:type="dxa"/>
            <w:noWrap w:val="0"/>
            <w:vAlign w:val="center"/>
          </w:tcPr>
          <w:p>
            <w:pPr>
              <w:jc w:val="center"/>
              <w:rPr>
                <w:rFonts w:hint="default"/>
                <w:sz w:val="24"/>
                <w:lang w:val="en-US" w:eastAsia="zh-CN"/>
              </w:rPr>
            </w:pPr>
            <w:r>
              <w:rPr>
                <w:rFonts w:hint="eastAsia"/>
                <w:sz w:val="24"/>
                <w:lang w:val="en-US" w:eastAsia="zh-CN"/>
              </w:rPr>
              <w:t>2</w:t>
            </w:r>
          </w:p>
        </w:tc>
        <w:tc>
          <w:tcPr>
            <w:tcW w:w="2287" w:type="dxa"/>
            <w:vMerge w:val="continue"/>
            <w:noWrap w:val="0"/>
            <w:vAlign w:val="center"/>
          </w:tcPr>
          <w:p>
            <w:pPr>
              <w:jc w:val="center"/>
              <w:rPr>
                <w:rFonts w:hint="eastAsia" w:ascii="仿宋_GB2312" w:hAnsi="宋体" w:eastAsia="仿宋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default" w:eastAsia="宋体"/>
                <w:sz w:val="24"/>
                <w:lang w:val="en-US" w:eastAsia="zh-CN"/>
              </w:rPr>
            </w:pPr>
            <w:r>
              <w:rPr>
                <w:rFonts w:hint="eastAsia"/>
                <w:sz w:val="24"/>
                <w:lang w:val="en-US" w:eastAsia="zh-CN"/>
              </w:rPr>
              <w:t>4</w:t>
            </w:r>
          </w:p>
        </w:tc>
        <w:tc>
          <w:tcPr>
            <w:tcW w:w="1681" w:type="dxa"/>
            <w:noWrap w:val="0"/>
            <w:vAlign w:val="center"/>
          </w:tcPr>
          <w:p>
            <w:pPr>
              <w:spacing w:line="340" w:lineRule="exact"/>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Φ63.5*325</w:t>
            </w:r>
          </w:p>
        </w:tc>
        <w:tc>
          <w:tcPr>
            <w:tcW w:w="2334" w:type="dxa"/>
            <w:noWrap w:val="0"/>
            <w:vAlign w:val="center"/>
          </w:tcPr>
          <w:p>
            <w:pPr>
              <w:jc w:val="center"/>
              <w:rPr>
                <w:rFonts w:hint="default" w:eastAsia="宋体"/>
                <w:sz w:val="24"/>
                <w:lang w:val="en-US" w:eastAsia="zh-CN"/>
              </w:rPr>
            </w:pPr>
            <w:r>
              <w:rPr>
                <w:rFonts w:hint="eastAsia"/>
                <w:sz w:val="24"/>
                <w:lang w:val="en-US" w:eastAsia="zh-CN"/>
              </w:rPr>
              <w:t>4</w:t>
            </w:r>
          </w:p>
        </w:tc>
        <w:tc>
          <w:tcPr>
            <w:tcW w:w="2287" w:type="dxa"/>
            <w:vMerge w:val="continue"/>
            <w:noWrap w:val="0"/>
            <w:vAlign w:val="top"/>
          </w:tcPr>
          <w:p>
            <w:pPr>
              <w:rPr>
                <w:rFonts w:hint="eastAsia"/>
                <w:sz w:val="24"/>
              </w:rPr>
            </w:pPr>
          </w:p>
        </w:tc>
      </w:tr>
    </w:tbl>
    <w:p>
      <w:pPr>
        <w:numPr>
          <w:ilvl w:val="0"/>
          <w:numId w:val="0"/>
        </w:numPr>
        <w:adjustRightInd w:val="0"/>
        <w:snapToGrid w:val="0"/>
        <w:spacing w:line="360" w:lineRule="auto"/>
        <w:ind w:right="399" w:rightChars="190"/>
        <w:rPr>
          <w:rFonts w:hint="eastAsia" w:ascii="宋体" w:hAnsi="宋体"/>
          <w:b/>
          <w:bCs/>
          <w:color w:val="000000"/>
          <w:spacing w:val="10"/>
          <w:sz w:val="24"/>
        </w:rPr>
      </w:pP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hAnsi="宋体"/>
          <w:sz w:val="24"/>
        </w:rPr>
        <w:t>★</w:t>
      </w:r>
      <w:r>
        <w:rPr>
          <w:rFonts w:hint="eastAsia" w:hAnsi="宋体"/>
          <w:sz w:val="24"/>
          <w:lang w:val="en-US" w:eastAsia="zh-CN"/>
        </w:rPr>
        <w:t>2.</w:t>
      </w:r>
      <w:r>
        <w:rPr>
          <w:rFonts w:hint="eastAsia" w:ascii="宋体" w:hAnsi="宋体"/>
          <w:b/>
          <w:bCs/>
          <w:color w:val="000000"/>
          <w:spacing w:val="10"/>
          <w:sz w:val="24"/>
          <w:lang w:val="en-US" w:eastAsia="zh-CN"/>
        </w:rPr>
        <w:t>询价货物技术要求</w:t>
      </w:r>
    </w:p>
    <w:p>
      <w:pPr>
        <w:numPr>
          <w:ilvl w:val="0"/>
          <w:numId w:val="0"/>
        </w:numPr>
        <w:adjustRightInd w:val="0"/>
        <w:snapToGrid w:val="0"/>
        <w:spacing w:line="360" w:lineRule="auto"/>
        <w:ind w:right="399" w:rightChars="190" w:firstLine="522" w:firstLineChars="20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2.1钼电极选用180目Mo-1粉加工制造，锻压比≥70％，表面为光面。具体参数要求：</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（1）体积密度：≥10.16g/cm3;</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（2）组分含量：Mo≥99.96%;</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（3）杂质含量：Fe≤50PPM，C≤25PPM，N＜15ppm，O＜80ppm，Ni＜50ppm，P＜15ppm，其他成份含量符合国标GB/T17782标准；</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（4）抗压（HV10）＞165；</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（5）1000度抗拉伸＞200MPa；</w:t>
      </w: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表面质量：无肉眼可见缺陷；</w:t>
      </w: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光圆表面尺寸Ø＋0－0.5mm</w:t>
      </w:r>
    </w:p>
    <w:p>
      <w:pPr>
        <w:numPr>
          <w:ilvl w:val="0"/>
          <w:numId w:val="0"/>
        </w:numPr>
        <w:adjustRightInd w:val="0"/>
        <w:snapToGrid w:val="0"/>
        <w:spacing w:line="360" w:lineRule="auto"/>
        <w:ind w:right="399" w:rightChars="190" w:firstLine="522" w:firstLineChars="200"/>
        <w:rPr>
          <w:rFonts w:hint="default" w:ascii="宋体" w:hAnsi="宋体"/>
          <w:b/>
          <w:bCs/>
          <w:color w:val="000000"/>
          <w:spacing w:val="10"/>
          <w:sz w:val="24"/>
          <w:lang w:val="en-US" w:eastAsia="zh-CN"/>
        </w:rPr>
      </w:pPr>
      <w:r>
        <w:rPr>
          <w:rFonts w:hint="eastAsia" w:ascii="宋体" w:hAnsi="宋体"/>
          <w:b/>
          <w:bCs/>
          <w:color w:val="000000"/>
          <w:spacing w:val="10"/>
          <w:sz w:val="24"/>
          <w:lang w:val="en-US" w:eastAsia="zh-CN"/>
        </w:rPr>
        <w:t>2.2 钼电极规格、尺寸必须与附图完全一致。</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jc w:val="center"/>
        <w:rPr>
          <w:rFonts w:hint="eastAsia"/>
          <w:b/>
          <w:sz w:val="32"/>
          <w:szCs w:val="32"/>
        </w:rPr>
      </w:pPr>
      <w:r>
        <w:rPr>
          <w:rFonts w:hint="eastAsia"/>
          <w:b/>
          <w:sz w:val="32"/>
          <w:szCs w:val="32"/>
        </w:rPr>
        <w:t>四、报价函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default" w:ascii="宋体" w:hAnsi="宋体" w:eastAsia="宋体"/>
          <w:sz w:val="24"/>
          <w:lang w:val="en-US" w:eastAsia="zh-CN"/>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r>
        <w:rPr>
          <w:rFonts w:hint="eastAsia" w:ascii="宋体" w:hAnsi="宋体"/>
          <w:sz w:val="24"/>
          <w:lang w:eastAsia="zh-CN"/>
        </w:rPr>
        <w:t>，</w:t>
      </w:r>
      <w:r>
        <w:rPr>
          <w:rFonts w:hint="eastAsia" w:ascii="宋体" w:hAnsi="宋体"/>
          <w:sz w:val="24"/>
          <w:lang w:val="en-US" w:eastAsia="zh-CN"/>
        </w:rPr>
        <w:t>此价格为含税价，税率13%。</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9"/>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0"/>
        <w:gridCol w:w="2020"/>
        <w:gridCol w:w="1206"/>
        <w:gridCol w:w="1513"/>
        <w:gridCol w:w="1306"/>
        <w:gridCol w:w="150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649"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640"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020"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206"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数量（支）</w:t>
            </w:r>
          </w:p>
        </w:tc>
        <w:tc>
          <w:tcPr>
            <w:tcW w:w="1513"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（kg/支)</w:t>
            </w:r>
          </w:p>
        </w:tc>
        <w:tc>
          <w:tcPr>
            <w:tcW w:w="1306"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总重量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w:t>
            </w:r>
          </w:p>
        </w:tc>
        <w:tc>
          <w:tcPr>
            <w:tcW w:w="1500"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单价</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（元/kg)</w:t>
            </w:r>
          </w:p>
        </w:tc>
        <w:tc>
          <w:tcPr>
            <w:tcW w:w="1241"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小计</w:t>
            </w:r>
          </w:p>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640"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Φ63.5*800</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18</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2</w:t>
            </w:r>
          </w:p>
        </w:tc>
        <w:tc>
          <w:tcPr>
            <w:tcW w:w="1640"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Φ48*750</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2</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tcPr>
          <w:p>
            <w:pPr>
              <w:widowControl/>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3</w:t>
            </w:r>
          </w:p>
        </w:tc>
        <w:tc>
          <w:tcPr>
            <w:tcW w:w="1640" w:type="dxa"/>
            <w:vAlign w:val="center"/>
          </w:tcPr>
          <w:p>
            <w:pPr>
              <w:spacing w:line="340" w:lineRule="exact"/>
              <w:jc w:val="center"/>
              <w:rPr>
                <w:rFonts w:ascii="仿宋_GB2312" w:eastAsia="仿宋_GB2312"/>
                <w:sz w:val="28"/>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ascii="仿宋_GB2312" w:eastAsia="仿宋_GB2312"/>
                <w:sz w:val="28"/>
              </w:rPr>
            </w:pPr>
            <w:r>
              <w:rPr>
                <w:rFonts w:hint="eastAsia" w:ascii="仿宋_GB2312" w:hAnsi="宋体" w:eastAsia="仿宋_GB2312"/>
                <w:sz w:val="24"/>
                <w:lang w:val="en-US" w:eastAsia="zh-CN"/>
              </w:rPr>
              <w:t>Φ63.5*1200</w:t>
            </w:r>
          </w:p>
        </w:tc>
        <w:tc>
          <w:tcPr>
            <w:tcW w:w="1206" w:type="dxa"/>
            <w:vAlign w:val="center"/>
          </w:tcPr>
          <w:p>
            <w:pPr>
              <w:jc w:val="center"/>
              <w:rPr>
                <w:rFonts w:ascii="仿宋_GB2312" w:eastAsia="仿宋_GB2312"/>
                <w:sz w:val="28"/>
              </w:rPr>
            </w:pPr>
            <w:r>
              <w:rPr>
                <w:rFonts w:hint="eastAsia"/>
                <w:sz w:val="24"/>
                <w:lang w:val="en-US" w:eastAsia="zh-CN"/>
              </w:rPr>
              <w:t>2</w:t>
            </w: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649" w:type="dxa"/>
          </w:tcPr>
          <w:p>
            <w:pPr>
              <w:widowControl/>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4</w:t>
            </w:r>
          </w:p>
        </w:tc>
        <w:tc>
          <w:tcPr>
            <w:tcW w:w="1640" w:type="dxa"/>
            <w:vAlign w:val="center"/>
          </w:tcPr>
          <w:p>
            <w:pPr>
              <w:spacing w:line="340" w:lineRule="exact"/>
              <w:jc w:val="center"/>
              <w:rPr>
                <w:rFonts w:ascii="仿宋_GB2312" w:eastAsia="仿宋_GB2312"/>
                <w:sz w:val="28"/>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ascii="仿宋_GB2312" w:eastAsia="仿宋_GB2312"/>
                <w:sz w:val="28"/>
              </w:rPr>
            </w:pPr>
            <w:r>
              <w:rPr>
                <w:rFonts w:hint="eastAsia" w:ascii="仿宋_GB2312" w:hAnsi="宋体" w:eastAsia="仿宋_GB2312"/>
                <w:sz w:val="24"/>
                <w:lang w:val="en-US" w:eastAsia="zh-CN"/>
              </w:rPr>
              <w:t>Φ63.5*325</w:t>
            </w:r>
          </w:p>
        </w:tc>
        <w:tc>
          <w:tcPr>
            <w:tcW w:w="1206" w:type="dxa"/>
            <w:vAlign w:val="center"/>
          </w:tcPr>
          <w:p>
            <w:pPr>
              <w:jc w:val="center"/>
              <w:rPr>
                <w:rFonts w:ascii="仿宋_GB2312" w:eastAsia="仿宋_GB2312"/>
                <w:sz w:val="28"/>
              </w:rPr>
            </w:pPr>
            <w:r>
              <w:rPr>
                <w:rFonts w:hint="eastAsia"/>
                <w:sz w:val="24"/>
                <w:lang w:val="en-US" w:eastAsia="zh-CN"/>
              </w:rPr>
              <w:t>4</w:t>
            </w: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309"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89"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5" w:type="dxa"/>
            <w:gridSpan w:val="5"/>
            <w:vAlign w:val="center"/>
          </w:tcPr>
          <w:p>
            <w:pPr>
              <w:spacing w:line="560" w:lineRule="exact"/>
              <w:rPr>
                <w:rFonts w:hint="default" w:ascii="仿宋_GB2312" w:eastAsia="仿宋_GB2312"/>
                <w:b/>
                <w:bCs/>
                <w:sz w:val="22"/>
                <w:szCs w:val="21"/>
                <w:lang w:val="en-US" w:eastAsia="zh-CN"/>
              </w:rPr>
            </w:pPr>
            <w:r>
              <w:rPr>
                <w:rFonts w:hint="eastAsia" w:ascii="仿宋_GB2312" w:eastAsia="仿宋_GB2312"/>
                <w:b/>
                <w:bCs/>
                <w:sz w:val="28"/>
              </w:rPr>
              <w:t>￥：</w:t>
            </w:r>
            <w:r>
              <w:rPr>
                <w:rFonts w:ascii="仿宋_GB2312" w:eastAsia="仿宋_GB2312"/>
                <w:b/>
                <w:bCs/>
                <w:sz w:val="28"/>
                <w:u w:val="single"/>
              </w:rPr>
              <w:t xml:space="preserve">                          </w:t>
            </w:r>
            <w:r>
              <w:rPr>
                <w:rFonts w:hint="eastAsia" w:ascii="仿宋_GB2312" w:eastAsia="仿宋_GB2312"/>
                <w:b/>
                <w:bCs/>
                <w:sz w:val="22"/>
                <w:szCs w:val="21"/>
                <w:u w:val="single"/>
                <w:lang w:eastAsia="zh-CN"/>
              </w:rPr>
              <w:t>（</w:t>
            </w:r>
            <w:r>
              <w:rPr>
                <w:rFonts w:hint="eastAsia" w:ascii="仿宋_GB2312" w:eastAsia="仿宋_GB2312"/>
                <w:b/>
                <w:bCs/>
                <w:sz w:val="22"/>
                <w:szCs w:val="21"/>
                <w:u w:val="single"/>
                <w:lang w:val="en-US" w:eastAsia="zh-CN"/>
              </w:rPr>
              <w:t>以上报价含13%增值税率）</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hint="eastAsia" w:ascii="宋体" w:hAnsi="宋体" w:eastAsia="宋体" w:cs="Arial"/>
          <w:sz w:val="28"/>
          <w:szCs w:val="28"/>
        </w:rPr>
      </w:pPr>
      <w:bookmarkStart w:id="0" w:name="_Toc116869942"/>
      <w:bookmarkStart w:id="1" w:name="_Toc182560070"/>
      <w:bookmarkStart w:id="2" w:name="_Toc89791634"/>
      <w:bookmarkStart w:id="3" w:name="_Toc105315045"/>
      <w:bookmarkStart w:id="4" w:name="_Toc116895449"/>
      <w:bookmarkStart w:id="5" w:name="_Toc90180911"/>
      <w:bookmarkStart w:id="6" w:name="_Toc89791736"/>
      <w:bookmarkStart w:id="7" w:name="_Toc172809818"/>
      <w:bookmarkStart w:id="8" w:name="_Toc172811881"/>
      <w:bookmarkStart w:id="9" w:name="_Toc172809947"/>
    </w:p>
    <w:p>
      <w:pPr>
        <w:rPr>
          <w:rFonts w:hint="eastAsia"/>
        </w:rPr>
      </w:pPr>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6"/>
        <w:spacing w:line="360" w:lineRule="auto"/>
        <w:ind w:left="99" w:leftChars="47"/>
        <w:rPr>
          <w:rFonts w:ascii="宋体" w:cs="Arial"/>
          <w:bCs/>
          <w:sz w:val="24"/>
        </w:rPr>
      </w:pPr>
    </w:p>
    <w:p>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9"/>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pPr>
        <w:tabs>
          <w:tab w:val="left" w:pos="0"/>
        </w:tabs>
        <w:spacing w:after="120" w:line="480" w:lineRule="auto"/>
        <w:ind w:left="420" w:leftChars="200"/>
        <w:jc w:val="left"/>
        <w:rPr>
          <w:rFonts w:hint="default" w:eastAsia="宋体"/>
          <w:b/>
          <w:sz w:val="32"/>
          <w:szCs w:val="32"/>
          <w:lang w:val="en-US" w:eastAsia="zh-CN"/>
        </w:rPr>
      </w:pPr>
      <w:r>
        <w:rPr>
          <w:rFonts w:hint="eastAsia"/>
          <w:b/>
          <w:sz w:val="32"/>
          <w:szCs w:val="32"/>
          <w:lang w:val="en-US" w:eastAsia="zh-CN"/>
        </w:rPr>
        <w:t xml:space="preserve"> </w:t>
      </w:r>
      <w:r>
        <w:rPr>
          <w:rFonts w:hint="eastAsia"/>
          <w:b/>
          <w:sz w:val="32"/>
          <w:szCs w:val="32"/>
        </w:rPr>
        <w:t>报价单位认为适宜的与本项目相关的其他资格证明资料</w:t>
      </w:r>
      <w:r>
        <w:rPr>
          <w:rFonts w:hint="eastAsia"/>
          <w:b/>
          <w:sz w:val="32"/>
          <w:szCs w:val="32"/>
          <w:lang w:eastAsia="zh-CN"/>
        </w:rPr>
        <w:t>，</w:t>
      </w:r>
      <w:r>
        <w:rPr>
          <w:rFonts w:hint="eastAsia"/>
          <w:b/>
          <w:sz w:val="32"/>
          <w:szCs w:val="32"/>
          <w:lang w:val="en-US" w:eastAsia="zh-CN"/>
        </w:rPr>
        <w:t>如天眼查截图等非“三无”供应商证明</w:t>
      </w:r>
      <w:bookmarkStart w:id="10" w:name="_GoBack"/>
      <w:bookmarkEnd w:id="10"/>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FA0E7E"/>
    <w:multiLevelType w:val="singleLevel"/>
    <w:tmpl w:val="F9FA0E7E"/>
    <w:lvl w:ilvl="0" w:tentative="0">
      <w:start w:val="1"/>
      <w:numFmt w:val="decimal"/>
      <w:suff w:val="nothing"/>
      <w:lvlText w:val="%1、"/>
      <w:lvlJc w:val="left"/>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abstractNum w:abstractNumId="2">
    <w:nsid w:val="4C2868B4"/>
    <w:multiLevelType w:val="singleLevel"/>
    <w:tmpl w:val="4C2868B4"/>
    <w:lvl w:ilvl="0" w:tentative="0">
      <w:start w:val="6"/>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AF44C89"/>
    <w:rsid w:val="13AF5326"/>
    <w:rsid w:val="187C3D68"/>
    <w:rsid w:val="18B5706C"/>
    <w:rsid w:val="196D782F"/>
    <w:rsid w:val="1E817283"/>
    <w:rsid w:val="22D47F3E"/>
    <w:rsid w:val="24387A41"/>
    <w:rsid w:val="25AF73F6"/>
    <w:rsid w:val="26B95440"/>
    <w:rsid w:val="2CC72992"/>
    <w:rsid w:val="2D2F71A3"/>
    <w:rsid w:val="32816422"/>
    <w:rsid w:val="330111E0"/>
    <w:rsid w:val="3329019A"/>
    <w:rsid w:val="3AA74880"/>
    <w:rsid w:val="424B6A6F"/>
    <w:rsid w:val="453256B7"/>
    <w:rsid w:val="47B97780"/>
    <w:rsid w:val="4E9D2665"/>
    <w:rsid w:val="4FA2618E"/>
    <w:rsid w:val="54013662"/>
    <w:rsid w:val="5F706F48"/>
    <w:rsid w:val="5FC16069"/>
    <w:rsid w:val="60986B8A"/>
    <w:rsid w:val="62A2108B"/>
    <w:rsid w:val="66E06E05"/>
    <w:rsid w:val="6AB71D84"/>
    <w:rsid w:val="6ACB523A"/>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1</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2024-07-15T06:37:27Z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