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委托加工询价采购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color w:val="000000"/>
          <w:sz w:val="52"/>
          <w:szCs w:val="52"/>
        </w:rPr>
      </w:pPr>
      <w:r>
        <w:rPr>
          <w:rFonts w:hint="eastAsia"/>
          <w:b/>
          <w:sz w:val="52"/>
          <w:szCs w:val="52"/>
        </w:rPr>
        <w:t xml:space="preserve">          </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800" w:firstLineChars="6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5</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1906"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都江堰光明光电材料有限责任公司就产品</w:t>
      </w:r>
      <w:r>
        <w:rPr>
          <w:rFonts w:hint="eastAsia" w:ascii="仿宋" w:hAnsi="仿宋" w:eastAsia="仿宋" w:cs="Times New Roman"/>
          <w:color w:val="000000"/>
          <w:kern w:val="0"/>
          <w:sz w:val="24"/>
          <w:u w:val="single"/>
          <w:lang w:val="en-US" w:eastAsia="zh-CN"/>
        </w:rPr>
        <w:t>切磨、包装委托加工</w:t>
      </w:r>
      <w:r>
        <w:rPr>
          <w:rFonts w:hint="eastAsia" w:ascii="仿宋" w:hAnsi="仿宋" w:eastAsia="仿宋" w:cs="Times New Roman"/>
          <w:color w:val="000000"/>
          <w:kern w:val="0"/>
          <w:sz w:val="24"/>
          <w:lang w:val="en-US" w:eastAsia="zh-CN"/>
        </w:rPr>
        <w:t>组织第二次询价，兹邀请符合本次要求的供应商参加报价。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项目名称：切磨、包装委托加工采购</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本次委托加工的内容为：340万只左右灯杯产品的切磨、200吨光学玻璃产品的包装，货物具体规格、技术要求等详见附件《询价采购文件》。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（二）具有满足本项目所必需的委托加工能力和资质。</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（三）本项目不接受“三无”供应商响应（注：“三无”供应商是指无实缴注册资本、无参保人员、无生产经营场所的供应商，满足其一即为“三无”）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请按询价采购书要求，于2024年5月26日17：00前将报价文件寄回到（或送达）：都江堰光明光电材料有限责任公司财务部，收件人：邓建国，电话：028-87117177。公司地址：四川省都江堰市蒲阳镇光泰路10号。</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业务情况咨询人：朱先生，联系电话：13088088368</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商务情况咨询人：余女士，联系电话：028-87117177</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2024年5月21</w:t>
      </w:r>
      <w:bookmarkStart w:id="2" w:name="_GoBack"/>
      <w:bookmarkEnd w:id="2"/>
      <w:r>
        <w:rPr>
          <w:rFonts w:hint="eastAsia" w:ascii="仿宋" w:hAnsi="仿宋" w:eastAsia="仿宋" w:cs="Times New Roman"/>
          <w:color w:val="000000"/>
          <w:kern w:val="0"/>
          <w:sz w:val="24"/>
          <w:lang w:val="en-US" w:eastAsia="zh-CN"/>
        </w:rPr>
        <w:t>日</w:t>
      </w: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cs="MS Gothic"/>
                <w:sz w:val="20"/>
                <w:szCs w:val="20"/>
                <w:lang w:eastAsia="zh-CN"/>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lang w:val="en-US" w:eastAsia="zh-CN"/>
              </w:rPr>
              <w:t>按委托加工产品入库合格数为结算依据</w:t>
            </w:r>
            <w:r>
              <w:rPr>
                <w:rFonts w:hint="eastAsia" w:ascii="仿宋" w:hAnsi="仿宋" w:eastAsia="仿宋" w:cs="仿宋_GB2312"/>
                <w:sz w:val="20"/>
                <w:szCs w:val="20"/>
              </w:rPr>
              <w:t>，购方收到发票挂账后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lang w:val="en-US" w:eastAsia="zh-CN"/>
              </w:rPr>
              <w:t>一</w:t>
            </w:r>
            <w:r>
              <w:rPr>
                <w:rFonts w:hint="eastAsia" w:ascii="仿宋" w:hAnsi="仿宋" w:eastAsia="仿宋" w:cs="仿宋_GB2312"/>
                <w:sz w:val="20"/>
                <w:szCs w:val="20"/>
              </w:rPr>
              <w:t>个月</w:t>
            </w:r>
            <w:r>
              <w:rPr>
                <w:rFonts w:hint="eastAsia" w:ascii="仿宋" w:hAnsi="仿宋" w:eastAsia="仿宋" w:cs="仿宋_GB2312"/>
                <w:sz w:val="20"/>
                <w:szCs w:val="20"/>
                <w:lang w:val="en-US" w:eastAsia="zh-CN"/>
              </w:rPr>
              <w:t>内</w:t>
            </w:r>
            <w:r>
              <w:rPr>
                <w:rFonts w:hint="eastAsia" w:ascii="仿宋" w:hAnsi="仿宋" w:eastAsia="仿宋" w:cs="仿宋_GB2312"/>
                <w:sz w:val="20"/>
                <w:szCs w:val="20"/>
              </w:rPr>
              <w:t>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询价谈判后公司与入选供应商，按《中华人民共和国民法典》签订委托加工合同、协议。在实际执行合同时，公司按需委托加工产品情况，给供应商下达委托加工任务，并注明规格型号、数量、交货期、合格率要求等。当市场价格出现较大波动时，供应商和采购方提出涨价或降价要求，都由供应商发出调价申请函，说明调价原因，公司再按供应商调价函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default"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、数量：本次切磨委托加工量约为340万只，包装委托加工量约200吨。</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b/>
          <w:bCs/>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质量：有合作意向的供应商可到需方现场了解后再报价。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sz w:val="20"/>
          <w:szCs w:val="20"/>
          <w:lang w:eastAsia="zh-CN"/>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w:t>
      </w:r>
      <w:r>
        <w:rPr>
          <w:rFonts w:hint="eastAsia" w:ascii="仿宋" w:hAnsi="仿宋" w:eastAsia="仿宋" w:cs="仿宋_GB2312"/>
          <w:sz w:val="20"/>
          <w:szCs w:val="20"/>
          <w:lang w:val="en-US" w:eastAsia="zh-CN"/>
        </w:rPr>
        <w:t>按委托加工产品入库合格数为结算依据</w:t>
      </w:r>
      <w:r>
        <w:rPr>
          <w:rFonts w:hint="eastAsia" w:ascii="仿宋" w:hAnsi="仿宋" w:eastAsia="仿宋" w:cs="仿宋_GB2312"/>
          <w:sz w:val="20"/>
          <w:szCs w:val="20"/>
        </w:rPr>
        <w:t>，购方收到发票挂账后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lang w:val="en-US" w:eastAsia="zh-CN"/>
        </w:rPr>
        <w:t>一</w:t>
      </w:r>
      <w:r>
        <w:rPr>
          <w:rFonts w:hint="eastAsia" w:ascii="仿宋" w:hAnsi="仿宋" w:eastAsia="仿宋" w:cs="仿宋_GB2312"/>
          <w:sz w:val="20"/>
          <w:szCs w:val="20"/>
        </w:rPr>
        <w:t>个月</w:t>
      </w:r>
      <w:r>
        <w:rPr>
          <w:rFonts w:hint="eastAsia" w:ascii="仿宋" w:hAnsi="仿宋" w:eastAsia="仿宋" w:cs="仿宋_GB2312"/>
          <w:sz w:val="20"/>
          <w:szCs w:val="20"/>
          <w:lang w:val="en-US" w:eastAsia="zh-CN"/>
        </w:rPr>
        <w:t>内</w:t>
      </w:r>
      <w:r>
        <w:rPr>
          <w:rFonts w:hint="eastAsia" w:ascii="仿宋" w:hAnsi="仿宋" w:eastAsia="仿宋" w:cs="仿宋_GB2312"/>
          <w:sz w:val="20"/>
          <w:szCs w:val="20"/>
        </w:rPr>
        <w:t>滚动付款</w:t>
      </w:r>
      <w:r>
        <w:rPr>
          <w:rFonts w:hint="eastAsia" w:ascii="仿宋" w:hAnsi="仿宋" w:eastAsia="仿宋" w:cs="仿宋_GB2312"/>
          <w:sz w:val="20"/>
          <w:szCs w:val="20"/>
          <w:lang w:eastAsia="zh-CN"/>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五）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sz w:val="30"/>
          <w:szCs w:val="30"/>
          <w:u w:val="single"/>
          <w:lang w:val="en-US" w:eastAsia="zh-CN"/>
        </w:rPr>
        <w:t>切磨、包装委托加工</w:t>
      </w:r>
      <w:r>
        <w:rPr>
          <w:rFonts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cs="Times New Roman"/>
          <w:color w:val="000000"/>
          <w:kern w:val="0"/>
          <w:sz w:val="24"/>
          <w:u w:val="single"/>
          <w:lang w:val="en-US" w:eastAsia="zh-CN"/>
        </w:rPr>
        <w:t xml:space="preserve">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676" w:type="dxa"/>
        <w:tblInd w:w="-386" w:type="dxa"/>
        <w:tblLayout w:type="fixed"/>
        <w:tblCellMar>
          <w:top w:w="0" w:type="dxa"/>
          <w:left w:w="108" w:type="dxa"/>
          <w:bottom w:w="0" w:type="dxa"/>
          <w:right w:w="108" w:type="dxa"/>
        </w:tblCellMar>
      </w:tblPr>
      <w:tblGrid>
        <w:gridCol w:w="1602"/>
        <w:gridCol w:w="1390"/>
        <w:gridCol w:w="1110"/>
        <w:gridCol w:w="1010"/>
        <w:gridCol w:w="930"/>
        <w:gridCol w:w="1090"/>
        <w:gridCol w:w="2544"/>
      </w:tblGrid>
      <w:tr>
        <w:tblPrEx>
          <w:tblCellMar>
            <w:top w:w="0" w:type="dxa"/>
            <w:left w:w="108" w:type="dxa"/>
            <w:bottom w:w="0" w:type="dxa"/>
            <w:right w:w="108" w:type="dxa"/>
          </w:tblCellMar>
        </w:tblPrEx>
        <w:trPr>
          <w:trHeight w:val="609" w:hRule="atLeast"/>
        </w:trPr>
        <w:tc>
          <w:tcPr>
            <w:tcW w:w="16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委托加工内容</w:t>
            </w: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产品类别</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数量</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要求合格率</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9" w:hRule="atLeast"/>
        </w:trPr>
        <w:tc>
          <w:tcPr>
            <w:tcW w:w="1602" w:type="dxa"/>
            <w:vMerge w:val="restart"/>
            <w:tcBorders>
              <w:top w:val="single" w:color="auto" w:sz="4" w:space="0"/>
              <w:left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2"/>
                <w:sz w:val="22"/>
                <w:szCs w:val="22"/>
                <w:u w:val="none"/>
                <w:lang w:val="en-US" w:eastAsia="zh-CN" w:bidi="ar-SA"/>
              </w:rPr>
              <w:t>切磨</w:t>
            </w: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MR11类</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950000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default" w:ascii="Arial" w:hAnsi="Arial" w:eastAsia="仿宋" w:cs="Arial"/>
                <w:kern w:val="0"/>
                <w:sz w:val="20"/>
                <w:szCs w:val="20"/>
                <w:lang w:val="en-US" w:eastAsia="zh-CN"/>
              </w:rPr>
              <w:t>≥</w:t>
            </w:r>
            <w:r>
              <w:rPr>
                <w:rFonts w:hint="eastAsia" w:ascii="仿宋" w:hAnsi="仿宋" w:eastAsia="仿宋" w:cs="宋体"/>
                <w:kern w:val="0"/>
                <w:sz w:val="20"/>
                <w:szCs w:val="20"/>
                <w:lang w:val="en-US" w:eastAsia="zh-CN"/>
              </w:rPr>
              <w:t>99%</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元/只</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1602"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MR16类</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80000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default" w:ascii="Arial" w:hAnsi="Arial" w:eastAsia="仿宋" w:cs="Arial"/>
                <w:kern w:val="0"/>
                <w:sz w:val="20"/>
                <w:szCs w:val="20"/>
                <w:lang w:val="en-US" w:eastAsia="zh-CN"/>
              </w:rPr>
              <w:t>≥</w:t>
            </w:r>
            <w:r>
              <w:rPr>
                <w:rFonts w:hint="eastAsia" w:ascii="仿宋" w:hAnsi="仿宋" w:eastAsia="仿宋" w:cs="宋体"/>
                <w:kern w:val="0"/>
                <w:sz w:val="20"/>
                <w:szCs w:val="20"/>
                <w:lang w:val="en-US" w:eastAsia="zh-CN"/>
              </w:rPr>
              <w:t>99%</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元/只</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1602"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GU10类</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500000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default" w:ascii="Arial" w:hAnsi="Arial" w:eastAsia="仿宋" w:cs="Arial"/>
                <w:kern w:val="0"/>
                <w:sz w:val="20"/>
                <w:szCs w:val="20"/>
                <w:lang w:val="en-US" w:eastAsia="zh-CN"/>
              </w:rPr>
              <w:t>≥</w:t>
            </w:r>
            <w:r>
              <w:rPr>
                <w:rFonts w:hint="eastAsia" w:ascii="仿宋" w:hAnsi="仿宋" w:eastAsia="仿宋" w:cs="宋体"/>
                <w:kern w:val="0"/>
                <w:sz w:val="20"/>
                <w:szCs w:val="20"/>
                <w:lang w:val="en-US" w:eastAsia="zh-CN"/>
              </w:rPr>
              <w:t>99%</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元/只</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1602"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P16GU10类</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810000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default" w:ascii="Arial" w:hAnsi="Arial" w:eastAsia="仿宋" w:cs="Arial"/>
                <w:kern w:val="0"/>
                <w:sz w:val="20"/>
                <w:szCs w:val="20"/>
                <w:lang w:val="en-US" w:eastAsia="zh-CN"/>
              </w:rPr>
              <w:t>≥</w:t>
            </w:r>
            <w:r>
              <w:rPr>
                <w:rFonts w:hint="eastAsia" w:ascii="仿宋" w:hAnsi="仿宋" w:eastAsia="仿宋" w:cs="宋体"/>
                <w:kern w:val="0"/>
                <w:sz w:val="20"/>
                <w:szCs w:val="20"/>
                <w:lang w:val="en-US" w:eastAsia="zh-CN"/>
              </w:rPr>
              <w:t>99%</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元/只</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1602"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P20类</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300000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default" w:ascii="Arial" w:hAnsi="Arial" w:eastAsia="仿宋" w:cs="Arial"/>
                <w:kern w:val="0"/>
                <w:sz w:val="20"/>
                <w:szCs w:val="20"/>
                <w:lang w:val="en-US" w:eastAsia="zh-CN"/>
              </w:rPr>
              <w:t>≥</w:t>
            </w:r>
            <w:r>
              <w:rPr>
                <w:rFonts w:hint="eastAsia" w:ascii="仿宋" w:hAnsi="仿宋" w:eastAsia="仿宋" w:cs="宋体"/>
                <w:kern w:val="0"/>
                <w:sz w:val="20"/>
                <w:szCs w:val="20"/>
                <w:lang w:val="en-US" w:eastAsia="zh-CN"/>
              </w:rPr>
              <w:t>99%</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元/只</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1602"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P30类</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240000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default" w:ascii="Arial" w:hAnsi="Arial" w:eastAsia="仿宋" w:cs="Arial"/>
                <w:kern w:val="0"/>
                <w:sz w:val="20"/>
                <w:szCs w:val="20"/>
                <w:lang w:val="en-US" w:eastAsia="zh-CN"/>
              </w:rPr>
              <w:t>≥</w:t>
            </w:r>
            <w:r>
              <w:rPr>
                <w:rFonts w:hint="eastAsia" w:ascii="仿宋" w:hAnsi="仿宋" w:eastAsia="仿宋" w:cs="宋体"/>
                <w:kern w:val="0"/>
                <w:sz w:val="20"/>
                <w:szCs w:val="20"/>
                <w:lang w:val="en-US" w:eastAsia="zh-CN"/>
              </w:rPr>
              <w:t>99%</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元/只</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1602"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P38类</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500000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default" w:ascii="Arial" w:hAnsi="Arial" w:eastAsia="仿宋" w:cs="Arial"/>
                <w:kern w:val="0"/>
                <w:sz w:val="20"/>
                <w:szCs w:val="20"/>
                <w:lang w:val="en-US" w:eastAsia="zh-CN"/>
              </w:rPr>
              <w:t>≥</w:t>
            </w:r>
            <w:r>
              <w:rPr>
                <w:rFonts w:hint="eastAsia" w:ascii="仿宋" w:hAnsi="仿宋" w:eastAsia="仿宋" w:cs="宋体"/>
                <w:kern w:val="0"/>
                <w:sz w:val="20"/>
                <w:szCs w:val="20"/>
                <w:lang w:val="en-US" w:eastAsia="zh-CN"/>
              </w:rPr>
              <w:t>99%</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元/只</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16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包装</w:t>
            </w: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光学玻璃</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200</w:t>
            </w:r>
          </w:p>
        </w:tc>
        <w:tc>
          <w:tcPr>
            <w:tcW w:w="10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100%</w:t>
            </w:r>
          </w:p>
        </w:tc>
        <w:tc>
          <w:tcPr>
            <w:tcW w:w="9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元/吨</w:t>
            </w:r>
          </w:p>
        </w:tc>
        <w:tc>
          <w:tcPr>
            <w:tcW w:w="10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544"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609" w:hRule="atLeast"/>
        </w:trPr>
        <w:tc>
          <w:tcPr>
            <w:tcW w:w="9676"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default"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说明：1.由委托方提供切磨设备4台、提供包装场所及包装材料。2.质量管控要求：按GB2828一般抽样方案</w:t>
            </w:r>
            <w:r>
              <w:rPr>
                <w:rFonts w:hint="eastAsia" w:ascii="仿宋" w:hAnsi="仿宋" w:eastAsia="仿宋" w:cs="仿宋"/>
                <w:kern w:val="0"/>
                <w:sz w:val="20"/>
                <w:szCs w:val="20"/>
                <w:lang w:val="en-US" w:eastAsia="zh-CN"/>
              </w:rPr>
              <w:t>Ⅱ，AQL1.0进行管控。不合格批次，由操作人员进行返工或选别。再次抽样合格后放行入库。3.</w:t>
            </w:r>
            <w:r>
              <w:rPr>
                <w:rFonts w:hint="eastAsia" w:ascii="仿宋" w:hAnsi="仿宋" w:eastAsia="仿宋" w:cs="宋体"/>
                <w:kern w:val="0"/>
                <w:sz w:val="20"/>
                <w:szCs w:val="20"/>
                <w:lang w:val="en-US" w:eastAsia="zh-CN"/>
              </w:rPr>
              <w:t>超标部份，按产品销售不含税价格扣除。</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一个月内滚动支付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rPr>
          <w:rFonts w:hint="eastAsia" w:ascii="仿宋" w:hAnsi="仿宋" w:eastAsia="仿宋" w:cs="宋体"/>
          <w:kern w:val="0"/>
          <w:sz w:val="28"/>
          <w:szCs w:val="28"/>
        </w:r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60" w:lineRule="exact"/>
        <w:ind w:firstLine="294" w:firstLineChars="98"/>
        <w:rPr>
          <w:rFonts w:hint="default" w:ascii="仿宋" w:hAnsi="仿宋" w:eastAsia="仿宋"/>
          <w:sz w:val="30"/>
          <w:szCs w:val="30"/>
          <w:lang w:val="en-US" w:eastAsia="zh-CN"/>
        </w:rPr>
      </w:pP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B6A21A"/>
    <w:multiLevelType w:val="singleLevel"/>
    <w:tmpl w:val="2BB6A21A"/>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70D3B"/>
    <w:rsid w:val="0AC8066A"/>
    <w:rsid w:val="0E0B47C6"/>
    <w:rsid w:val="109059A7"/>
    <w:rsid w:val="115C1106"/>
    <w:rsid w:val="12D42042"/>
    <w:rsid w:val="1532709E"/>
    <w:rsid w:val="158242C4"/>
    <w:rsid w:val="170209AC"/>
    <w:rsid w:val="17F50ED5"/>
    <w:rsid w:val="212307EB"/>
    <w:rsid w:val="212958D0"/>
    <w:rsid w:val="22DA4E65"/>
    <w:rsid w:val="25B427E8"/>
    <w:rsid w:val="27B91ECD"/>
    <w:rsid w:val="28A02886"/>
    <w:rsid w:val="2C3D76B5"/>
    <w:rsid w:val="2C6923FD"/>
    <w:rsid w:val="353C7B99"/>
    <w:rsid w:val="367D7888"/>
    <w:rsid w:val="3A232346"/>
    <w:rsid w:val="40D85E05"/>
    <w:rsid w:val="415A73C9"/>
    <w:rsid w:val="424D4810"/>
    <w:rsid w:val="42DD7A61"/>
    <w:rsid w:val="44405D59"/>
    <w:rsid w:val="48A74FDD"/>
    <w:rsid w:val="48E37289"/>
    <w:rsid w:val="53BB5D38"/>
    <w:rsid w:val="54387631"/>
    <w:rsid w:val="582F4FA6"/>
    <w:rsid w:val="5BA84B60"/>
    <w:rsid w:val="5D224E6D"/>
    <w:rsid w:val="5EEF2C5C"/>
    <w:rsid w:val="5FFB256E"/>
    <w:rsid w:val="615C160D"/>
    <w:rsid w:val="61973D32"/>
    <w:rsid w:val="62A335AD"/>
    <w:rsid w:val="63623A3E"/>
    <w:rsid w:val="6AF17C50"/>
    <w:rsid w:val="70B60DD1"/>
    <w:rsid w:val="72E10E16"/>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6</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2024-05-13T06:11:00Z</cp:lastPrinted>
  <dcterms:modified xsi:type="dcterms:W3CDTF">2024-05-20T05:54:58Z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