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300" w:lineRule="auto"/>
        <w:jc w:val="center"/>
        <w:rPr>
          <w:rFonts w:hint="default" w:eastAsia="宋体"/>
          <w:b/>
          <w:sz w:val="52"/>
          <w:szCs w:val="52"/>
          <w:lang w:val="en-US" w:eastAsia="zh-CN"/>
        </w:rPr>
      </w:pPr>
      <w:r>
        <w:rPr>
          <w:rFonts w:hint="eastAsia"/>
          <w:b/>
          <w:sz w:val="52"/>
          <w:szCs w:val="52"/>
          <w:lang w:val="en-US" w:eastAsia="zh-CN"/>
        </w:rPr>
        <w:t>2024年度打包带、打包扣询价采购</w:t>
      </w:r>
    </w:p>
    <w:p>
      <w:pPr>
        <w:jc w:val="center"/>
        <w:rPr>
          <w:rFonts w:hint="eastAsia" w:ascii="宋体"/>
          <w:b/>
          <w:sz w:val="30"/>
          <w:szCs w:val="30"/>
        </w:rPr>
      </w:pPr>
    </w:p>
    <w:p>
      <w:pPr>
        <w:jc w:val="center"/>
        <w:rPr>
          <w:rFonts w:hint="eastAsia" w:ascii="宋体"/>
          <w:b/>
          <w:sz w:val="28"/>
          <w:szCs w:val="28"/>
        </w:rPr>
      </w:pPr>
    </w:p>
    <w:p>
      <w:pPr>
        <w:spacing w:line="360" w:lineRule="auto"/>
        <w:rPr>
          <w:rFonts w:hint="eastAsia"/>
          <w:b/>
          <w:sz w:val="52"/>
          <w:szCs w:val="52"/>
        </w:rPr>
      </w:pPr>
      <w:r>
        <w:rPr>
          <w:rFonts w:hint="eastAsia"/>
          <w:b/>
          <w:sz w:val="52"/>
          <w:szCs w:val="52"/>
        </w:rPr>
        <w:t xml:space="preserve">          </w:t>
      </w:r>
      <w:r>
        <w:rPr>
          <w:rFonts w:hint="eastAsia"/>
          <w:b/>
          <w:sz w:val="52"/>
          <w:szCs w:val="52"/>
          <w:lang w:val="en-US" w:eastAsia="zh-CN"/>
        </w:rPr>
        <w:t xml:space="preserve"> </w:t>
      </w:r>
      <w:r>
        <w:rPr>
          <w:rFonts w:hint="eastAsia" w:ascii="仿宋" w:hAnsi="仿宋" w:eastAsia="仿宋" w:cs="方正小标宋简体"/>
          <w:kern w:val="0"/>
          <w:sz w:val="28"/>
          <w:szCs w:val="28"/>
        </w:rPr>
        <w:t>采购</w:t>
      </w:r>
      <w:r>
        <w:rPr>
          <w:rFonts w:hint="eastAsia" w:ascii="仿宋" w:hAnsi="仿宋" w:eastAsia="仿宋"/>
          <w:sz w:val="28"/>
          <w:szCs w:val="28"/>
        </w:rPr>
        <w:t xml:space="preserve">编号： </w:t>
      </w:r>
      <w:r>
        <w:rPr>
          <w:rFonts w:hint="eastAsia" w:ascii="仿宋" w:hAnsi="仿宋" w:eastAsia="仿宋"/>
          <w:sz w:val="28"/>
          <w:szCs w:val="28"/>
          <w:lang w:val="en-US" w:eastAsia="zh-CN"/>
        </w:rPr>
        <w:t>DJYGM-D2024-0014</w:t>
      </w:r>
      <w:r>
        <w:rPr>
          <w:rFonts w:hint="eastAsia"/>
          <w:b/>
          <w:sz w:val="52"/>
          <w:szCs w:val="52"/>
        </w:rPr>
        <w:t xml:space="preserve">    </w:t>
      </w:r>
    </w:p>
    <w:p>
      <w:pPr>
        <w:jc w:val="center"/>
        <w:rPr>
          <w:rFonts w:hint="eastAsia" w:ascii="宋体"/>
          <w:b/>
          <w:color w:val="000000"/>
          <w:sz w:val="52"/>
          <w:szCs w:val="52"/>
        </w:rPr>
      </w:pPr>
    </w:p>
    <w:p>
      <w:pPr>
        <w:jc w:val="center"/>
        <w:rPr>
          <w:rFonts w:hint="eastAsia" w:ascii="宋体"/>
          <w:b/>
          <w:color w:val="000000"/>
          <w:sz w:val="52"/>
          <w:szCs w:val="52"/>
        </w:rPr>
      </w:pPr>
      <w:r>
        <w:rPr>
          <w:rFonts w:hint="eastAsia" w:ascii="宋体"/>
          <w:b/>
          <w:color w:val="000000"/>
          <w:sz w:val="52"/>
          <w:szCs w:val="52"/>
        </w:rPr>
        <w:t>询</w:t>
      </w:r>
    </w:p>
    <w:p>
      <w:pPr>
        <w:jc w:val="center"/>
        <w:rPr>
          <w:rFonts w:hint="eastAsia"/>
          <w:b/>
          <w:color w:val="000000"/>
          <w:sz w:val="52"/>
          <w:szCs w:val="52"/>
        </w:rPr>
      </w:pPr>
      <w:r>
        <w:rPr>
          <w:rFonts w:hint="eastAsia" w:ascii="宋体"/>
          <w:b/>
          <w:color w:val="000000"/>
          <w:sz w:val="52"/>
          <w:szCs w:val="52"/>
        </w:rPr>
        <w:t>价</w:t>
      </w:r>
    </w:p>
    <w:p>
      <w:pPr>
        <w:jc w:val="center"/>
        <w:rPr>
          <w:rFonts w:hint="eastAsia"/>
          <w:b/>
          <w:color w:val="000000"/>
          <w:sz w:val="52"/>
          <w:szCs w:val="52"/>
        </w:rPr>
      </w:pPr>
      <w:r>
        <w:rPr>
          <w:rFonts w:hint="eastAsia"/>
          <w:b/>
          <w:color w:val="000000"/>
          <w:sz w:val="52"/>
          <w:szCs w:val="52"/>
        </w:rPr>
        <w:t>采</w:t>
      </w:r>
    </w:p>
    <w:p>
      <w:pPr>
        <w:jc w:val="center"/>
        <w:rPr>
          <w:rFonts w:hint="eastAsia"/>
          <w:b/>
          <w:color w:val="000000"/>
          <w:sz w:val="52"/>
          <w:szCs w:val="52"/>
        </w:rPr>
      </w:pPr>
      <w:r>
        <w:rPr>
          <w:rFonts w:hint="eastAsia"/>
          <w:b/>
          <w:color w:val="000000"/>
          <w:sz w:val="52"/>
          <w:szCs w:val="52"/>
        </w:rPr>
        <w:t>购</w:t>
      </w:r>
    </w:p>
    <w:p>
      <w:pPr>
        <w:jc w:val="center"/>
        <w:rPr>
          <w:rFonts w:hint="eastAsia"/>
          <w:b/>
          <w:color w:val="000000"/>
          <w:sz w:val="52"/>
          <w:szCs w:val="52"/>
        </w:rPr>
      </w:pPr>
      <w:r>
        <w:rPr>
          <w:rFonts w:hint="eastAsia"/>
          <w:b/>
          <w:color w:val="000000"/>
          <w:sz w:val="52"/>
          <w:szCs w:val="52"/>
        </w:rPr>
        <w:t>文</w:t>
      </w:r>
    </w:p>
    <w:p>
      <w:pPr>
        <w:jc w:val="center"/>
        <w:rPr>
          <w:rFonts w:hint="eastAsia"/>
          <w:b/>
          <w:color w:val="000000"/>
          <w:sz w:val="52"/>
          <w:szCs w:val="52"/>
        </w:rPr>
      </w:pPr>
      <w:r>
        <w:rPr>
          <w:rFonts w:hint="eastAsia"/>
          <w:b/>
          <w:color w:val="000000"/>
          <w:sz w:val="52"/>
          <w:szCs w:val="52"/>
        </w:rPr>
        <w:t>件</w:t>
      </w:r>
    </w:p>
    <w:p>
      <w:pPr>
        <w:spacing w:line="360" w:lineRule="auto"/>
        <w:jc w:val="center"/>
        <w:rPr>
          <w:rFonts w:hint="eastAsia"/>
          <w:b/>
          <w:color w:val="000000"/>
          <w:sz w:val="52"/>
          <w:szCs w:val="52"/>
        </w:rPr>
      </w:pPr>
    </w:p>
    <w:p>
      <w:pPr>
        <w:spacing w:line="360" w:lineRule="auto"/>
        <w:jc w:val="center"/>
        <w:rPr>
          <w:rFonts w:hint="eastAsia"/>
          <w:b/>
          <w:sz w:val="52"/>
          <w:szCs w:val="52"/>
        </w:rPr>
      </w:pPr>
    </w:p>
    <w:p>
      <w:pPr>
        <w:spacing w:line="360" w:lineRule="auto"/>
        <w:jc w:val="center"/>
        <w:rPr>
          <w:rFonts w:hint="eastAsia"/>
          <w:b/>
          <w:sz w:val="32"/>
          <w:szCs w:val="32"/>
        </w:rPr>
      </w:pPr>
    </w:p>
    <w:p>
      <w:pPr>
        <w:spacing w:line="360" w:lineRule="auto"/>
        <w:ind w:firstLine="1500" w:firstLineChars="500"/>
        <w:jc w:val="left"/>
        <w:rPr>
          <w:rFonts w:hint="default" w:ascii="黑体" w:hAnsi="黑体" w:eastAsia="黑体"/>
          <w:sz w:val="30"/>
          <w:szCs w:val="30"/>
          <w:lang w:val="en-US" w:eastAsia="zh-CN"/>
        </w:rPr>
      </w:pPr>
      <w:r>
        <w:rPr>
          <w:rFonts w:hint="eastAsia" w:ascii="黑体" w:hAnsi="黑体" w:eastAsia="黑体"/>
          <w:sz w:val="30"/>
          <w:szCs w:val="30"/>
        </w:rPr>
        <w:t>采购人：</w:t>
      </w:r>
      <w:r>
        <w:rPr>
          <w:rFonts w:hint="eastAsia" w:ascii="黑体" w:hAnsi="黑体" w:eastAsia="黑体"/>
          <w:sz w:val="30"/>
          <w:szCs w:val="30"/>
          <w:lang w:val="en-US" w:eastAsia="zh-CN"/>
        </w:rPr>
        <w:t>都江堰光明光电材料有限责任公司</w:t>
      </w:r>
    </w:p>
    <w:p>
      <w:pPr>
        <w:spacing w:line="360" w:lineRule="auto"/>
        <w:ind w:firstLine="2700" w:firstLineChars="900"/>
        <w:jc w:val="left"/>
        <w:rPr>
          <w:rFonts w:hint="eastAsia" w:ascii="黑体" w:hAnsi="黑体" w:eastAsia="黑体"/>
          <w:sz w:val="30"/>
          <w:szCs w:val="30"/>
        </w:rPr>
      </w:pPr>
    </w:p>
    <w:p>
      <w:pPr>
        <w:spacing w:line="360" w:lineRule="auto"/>
        <w:ind w:firstLine="3915" w:firstLineChars="1300"/>
        <w:rPr>
          <w:rFonts w:hint="eastAsia"/>
          <w:b/>
          <w:bCs/>
          <w:sz w:val="30"/>
          <w:szCs w:val="30"/>
          <w:lang w:val="zh-CN"/>
        </w:rPr>
      </w:pPr>
      <w:r>
        <w:rPr>
          <w:rFonts w:hint="eastAsia" w:ascii="宋体"/>
          <w:b/>
          <w:sz w:val="30"/>
          <w:szCs w:val="30"/>
        </w:rPr>
        <w:t>202</w:t>
      </w:r>
      <w:r>
        <w:rPr>
          <w:rFonts w:hint="eastAsia" w:ascii="宋体"/>
          <w:b/>
          <w:sz w:val="30"/>
          <w:szCs w:val="30"/>
          <w:lang w:val="en-US" w:eastAsia="zh-CN"/>
        </w:rPr>
        <w:t>4</w:t>
      </w:r>
      <w:r>
        <w:rPr>
          <w:b/>
          <w:bCs/>
          <w:sz w:val="30"/>
          <w:szCs w:val="30"/>
          <w:lang w:val="zh-CN"/>
        </w:rPr>
        <w:t>年</w:t>
      </w:r>
      <w:r>
        <w:rPr>
          <w:rFonts w:hint="eastAsia" w:ascii="宋体"/>
          <w:b/>
          <w:sz w:val="30"/>
          <w:szCs w:val="30"/>
        </w:rPr>
        <w:t xml:space="preserve"> </w:t>
      </w:r>
      <w:r>
        <w:rPr>
          <w:rFonts w:hint="eastAsia" w:ascii="宋体"/>
          <w:b/>
          <w:sz w:val="30"/>
          <w:szCs w:val="30"/>
          <w:lang w:val="en-US" w:eastAsia="zh-CN"/>
        </w:rPr>
        <w:t>3</w:t>
      </w:r>
      <w:r>
        <w:rPr>
          <w:b/>
          <w:bCs/>
          <w:sz w:val="30"/>
          <w:szCs w:val="30"/>
          <w:lang w:val="zh-CN"/>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pgSz w:w="13607" w:h="16840"/>
          <w:pgMar w:top="1477" w:right="1800" w:bottom="1440" w:left="1800" w:header="851" w:footer="992" w:gutter="0"/>
          <w:pgNumType w:fmt="numberInDash" w:start="1"/>
          <w:cols w:space="720" w:num="1"/>
          <w:docGrid w:linePitch="312" w:charSpace="0"/>
        </w:sect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460" w:lineRule="exact"/>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各供应商：</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都江堰光明光电材料有限责任公司就2024年度</w:t>
      </w:r>
      <w:r>
        <w:rPr>
          <w:rFonts w:hint="eastAsia" w:ascii="仿宋" w:hAnsi="仿宋" w:eastAsia="仿宋" w:cs="Times New Roman"/>
          <w:color w:val="000000"/>
          <w:kern w:val="0"/>
          <w:sz w:val="24"/>
          <w:u w:val="single"/>
          <w:lang w:val="en-US" w:eastAsia="zh-CN"/>
        </w:rPr>
        <w:t>打包带、打包扣</w:t>
      </w:r>
      <w:r>
        <w:rPr>
          <w:rFonts w:hint="eastAsia" w:ascii="仿宋" w:hAnsi="仿宋" w:eastAsia="仿宋" w:cs="Times New Roman"/>
          <w:color w:val="000000"/>
          <w:kern w:val="0"/>
          <w:sz w:val="24"/>
          <w:lang w:val="en-US" w:eastAsia="zh-CN"/>
        </w:rPr>
        <w:t>组织询价，兹邀请符合本次要求的供应商参加报价。</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一、项目名称</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项目名称：2024年度打包带、打包扣采购</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项目编号：DJYGM-2024-0014</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二、项目简要说明</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具体规格、材质、技术要求等详见附件《询价采购文件》。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三、合格供应商资格要求</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（二）具有满足本项目所必需的设备和专业技术能力。</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（三）本项目不接受“三无”供应商响应（注：“三无”供应商是指无实缴注册资本、无参保人员、无生产经营场所的供应商，满足其一即为“三无”）</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（四）本项目不接受联合体询价。</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四、询价采购书的获取：在成都光明光电官网上自行下载，网址： http://www.cdgmgd.com/</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五、报价文件的递交</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请按询价采购书要求，于2024年4月6日17：00前将报价文件寄回到（或送达）：都江堰光明光电材料有限责任公司财务部，收件人：邓建国，电话：028-87117177。公司地址：四川省都江堰市蒲阳镇光泰路10号。</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六、联系方式：</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 xml:space="preserve">业务情况咨询人：余女士，联系电话：13568842997 </w:t>
      </w:r>
    </w:p>
    <w:p>
      <w:pPr>
        <w:spacing w:line="460" w:lineRule="exact"/>
        <w:ind w:firstLine="5040" w:firstLineChars="21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w:t>
      </w:r>
    </w:p>
    <w:p>
      <w:pPr>
        <w:spacing w:line="460" w:lineRule="exact"/>
        <w:ind w:firstLine="6000" w:firstLineChars="25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2024年3月25日</w:t>
      </w: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00" w:firstLineChars="50"/>
        <w:rPr>
          <w:rFonts w:ascii="仿宋" w:hAnsi="仿宋" w:eastAsia="仿宋"/>
          <w:color w:val="FF0000"/>
          <w:sz w:val="20"/>
          <w:szCs w:val="20"/>
        </w:rPr>
      </w:pPr>
      <w:r>
        <w:rPr>
          <w:rFonts w:hint="eastAsia" w:ascii="仿宋" w:hAnsi="仿宋" w:eastAsia="仿宋"/>
          <w:color w:val="FF0000"/>
          <w:sz w:val="20"/>
          <w:szCs w:val="20"/>
        </w:rPr>
        <w:t>注：标记※的条款，报价单位需完全符合且响应。</w:t>
      </w:r>
    </w:p>
    <w:tbl>
      <w:tblPr>
        <w:tblStyle w:val="15"/>
        <w:tblW w:w="95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4"/>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664"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hint="eastAsia" w:ascii="仿宋" w:hAnsi="仿宋" w:eastAsia="仿宋"/>
                <w:sz w:val="20"/>
                <w:szCs w:val="20"/>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ascii="仿宋" w:hAnsi="仿宋" w:eastAsia="仿宋"/>
                <w:sz w:val="20"/>
                <w:szCs w:val="20"/>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0"/>
                <w:szCs w:val="20"/>
              </w:rPr>
            </w:pPr>
            <w:r>
              <w:rPr>
                <w:rFonts w:hint="eastAsia" w:ascii="仿宋" w:hAnsi="仿宋" w:eastAsia="仿宋"/>
                <w:sz w:val="20"/>
                <w:szCs w:val="20"/>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ascii="仿宋" w:hAnsi="仿宋" w:eastAsia="仿宋"/>
                <w:sz w:val="20"/>
                <w:szCs w:val="20"/>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0"/>
                <w:szCs w:val="20"/>
              </w:rPr>
            </w:pPr>
            <w:r>
              <w:rPr>
                <w:rFonts w:hint="eastAsia" w:ascii="仿宋" w:hAnsi="仿宋" w:eastAsia="仿宋" w:cs="仿宋_GB2312"/>
                <w:kern w:val="0"/>
                <w:sz w:val="20"/>
                <w:szCs w:val="20"/>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是否接受中间商</w:t>
            </w:r>
          </w:p>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供应商提出问题的</w:t>
            </w:r>
          </w:p>
          <w:p>
            <w:pPr>
              <w:snapToGrid w:val="0"/>
              <w:spacing w:line="400" w:lineRule="exact"/>
              <w:jc w:val="center"/>
              <w:rPr>
                <w:rFonts w:ascii="仿宋" w:hAnsi="仿宋" w:eastAsia="仿宋"/>
                <w:color w:val="FF000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0"/>
                <w:szCs w:val="20"/>
              </w:rPr>
            </w:pPr>
            <w:r>
              <w:rPr>
                <w:rFonts w:hint="eastAsia" w:ascii="仿宋" w:hAnsi="仿宋" w:eastAsia="仿宋" w:cs="仿宋_GB2312"/>
                <w:kern w:val="0"/>
                <w:sz w:val="20"/>
                <w:szCs w:val="20"/>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采购人书面澄清的</w:t>
            </w:r>
          </w:p>
          <w:p>
            <w:pPr>
              <w:autoSpaceDE w:val="0"/>
              <w:autoSpaceDN w:val="0"/>
              <w:adjustRightInd w:val="0"/>
              <w:spacing w:line="400" w:lineRule="exact"/>
              <w:jc w:val="center"/>
              <w:rPr>
                <w:rFonts w:ascii="仿宋" w:hAnsi="仿宋" w:eastAsia="仿宋" w:cs="仿宋_GB2312"/>
                <w:color w:val="FF0000"/>
                <w:kern w:val="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olor w:val="FF0000"/>
                <w:sz w:val="20"/>
                <w:szCs w:val="20"/>
              </w:rPr>
            </w:pPr>
            <w:r>
              <w:rPr>
                <w:rFonts w:hint="eastAsia" w:ascii="仿宋" w:hAnsi="仿宋" w:eastAsia="仿宋" w:cs="仿宋_GB2312"/>
                <w:sz w:val="20"/>
                <w:szCs w:val="20"/>
              </w:rPr>
              <w:t>供应商在</w:t>
            </w:r>
            <w:r>
              <w:rPr>
                <w:rFonts w:ascii="仿宋" w:hAnsi="仿宋" w:eastAsia="仿宋" w:cs="仿宋_GB2312"/>
                <w:sz w:val="20"/>
                <w:szCs w:val="20"/>
              </w:rPr>
              <w:t>48</w:t>
            </w:r>
            <w:r>
              <w:rPr>
                <w:rFonts w:hint="eastAsia" w:ascii="仿宋" w:hAnsi="仿宋" w:eastAsia="仿宋" w:cs="仿宋_GB2312"/>
                <w:sz w:val="20"/>
                <w:szCs w:val="20"/>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color w:val="FF0000"/>
                <w:sz w:val="20"/>
                <w:szCs w:val="20"/>
              </w:rPr>
              <w:t>※</w:t>
            </w:r>
            <w:r>
              <w:rPr>
                <w:rFonts w:hint="eastAsia" w:ascii="仿宋" w:hAnsi="仿宋" w:eastAsia="仿宋"/>
                <w:sz w:val="20"/>
                <w:szCs w:val="20"/>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响应文件签字或</w:t>
            </w:r>
          </w:p>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color w:val="000000"/>
                <w:kern w:val="0"/>
                <w:sz w:val="20"/>
                <w:szCs w:val="20"/>
                <w:lang w:val="en-US" w:eastAsia="zh-CN" w:bidi="ar-SA"/>
              </w:rPr>
              <w:t>报价资料每页均需盖参与公司的鲜章。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0"/>
                <w:szCs w:val="20"/>
              </w:rPr>
            </w:pPr>
            <w:r>
              <w:rPr>
                <w:rFonts w:hint="eastAsia" w:ascii="仿宋" w:hAnsi="仿宋" w:eastAsia="仿宋" w:cs="仿宋_GB2312"/>
                <w:sz w:val="20"/>
                <w:szCs w:val="20"/>
              </w:rPr>
              <w:t>装订牢固、密封，并应编制目录和连续页码</w:t>
            </w:r>
          </w:p>
          <w:p>
            <w:pPr>
              <w:snapToGrid w:val="0"/>
              <w:spacing w:line="400" w:lineRule="exact"/>
              <w:rPr>
                <w:rFonts w:ascii="仿宋" w:hAnsi="仿宋" w:eastAsia="仿宋" w:cs="仿宋_GB2312"/>
                <w:kern w:val="0"/>
                <w:sz w:val="20"/>
                <w:szCs w:val="20"/>
              </w:rPr>
            </w:pPr>
            <w:r>
              <w:rPr>
                <w:rFonts w:hint="eastAsia" w:ascii="楷体" w:hAnsi="楷体" w:eastAsia="楷体" w:cs="仿宋_GB2312"/>
                <w:sz w:val="20"/>
                <w:szCs w:val="20"/>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付款方法和条件</w:t>
            </w:r>
          </w:p>
        </w:tc>
        <w:tc>
          <w:tcPr>
            <w:tcW w:w="6021" w:type="dxa"/>
            <w:tcBorders>
              <w:top w:val="single" w:color="auto" w:sz="4" w:space="0"/>
              <w:left w:val="single" w:color="auto" w:sz="4" w:space="0"/>
              <w:bottom w:val="single" w:color="auto" w:sz="4" w:space="0"/>
            </w:tcBorders>
            <w:vAlign w:val="center"/>
          </w:tcPr>
          <w:p>
            <w:pPr>
              <w:spacing w:line="340" w:lineRule="exact"/>
              <w:jc w:val="left"/>
              <w:rPr>
                <w:rFonts w:ascii="仿宋" w:hAnsi="仿宋" w:eastAsia="仿宋" w:cs="仿宋_GB2312"/>
                <w:sz w:val="20"/>
                <w:szCs w:val="20"/>
              </w:rPr>
            </w:pPr>
            <w:r>
              <w:rPr>
                <w:rFonts w:hint="eastAsia" w:ascii="仿宋" w:hAnsi="仿宋" w:eastAsia="仿宋" w:cs="仿宋_GB2312"/>
                <w:sz w:val="20"/>
                <w:szCs w:val="20"/>
              </w:rPr>
              <w:t>货到验收合格</w:t>
            </w:r>
            <w:r>
              <w:rPr>
                <w:rFonts w:hint="eastAsia" w:ascii="仿宋" w:hAnsi="仿宋" w:eastAsia="仿宋" w:cs="仿宋_GB2312"/>
                <w:sz w:val="20"/>
                <w:szCs w:val="20"/>
                <w:lang w:eastAsia="zh-CN"/>
              </w:rPr>
              <w:t>，</w:t>
            </w:r>
            <w:r>
              <w:rPr>
                <w:rFonts w:hint="eastAsia" w:ascii="仿宋" w:hAnsi="仿宋" w:eastAsia="仿宋" w:cs="仿宋_GB2312"/>
                <w:sz w:val="20"/>
                <w:szCs w:val="20"/>
              </w:rPr>
              <w:t>双方确认实际收货数量，购方收到发票挂账后</w:t>
            </w:r>
            <w:r>
              <w:rPr>
                <w:rFonts w:hint="eastAsia" w:ascii="仿宋" w:hAnsi="仿宋" w:eastAsia="仿宋" w:cs="仿宋_GB2312"/>
                <w:sz w:val="20"/>
                <w:szCs w:val="20"/>
                <w:lang w:eastAsia="zh-CN"/>
              </w:rPr>
              <w:t>，</w:t>
            </w:r>
            <w:r>
              <w:rPr>
                <w:rFonts w:hint="eastAsia" w:ascii="仿宋" w:hAnsi="仿宋" w:eastAsia="仿宋" w:cs="仿宋_GB2312"/>
                <w:sz w:val="20"/>
                <w:szCs w:val="20"/>
              </w:rPr>
              <w:t>三个月滚动付款</w:t>
            </w:r>
            <w:r>
              <w:rPr>
                <w:rFonts w:hint="eastAsia" w:ascii="仿宋" w:hAnsi="仿宋" w:eastAsia="仿宋" w:cs="仿宋_GB2312"/>
                <w:sz w:val="20"/>
                <w:szCs w:val="20"/>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0"/>
                <w:szCs w:val="20"/>
              </w:rPr>
            </w:pPr>
            <w:r>
              <w:rPr>
                <w:rFonts w:hint="eastAsia" w:ascii="仿宋" w:hAnsi="仿宋" w:eastAsia="仿宋" w:cs="仿宋_GB2312"/>
                <w:kern w:val="0"/>
                <w:sz w:val="20"/>
                <w:szCs w:val="20"/>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sz w:val="20"/>
                <w:szCs w:val="20"/>
              </w:rPr>
              <w:t>否</w:t>
            </w:r>
          </w:p>
        </w:tc>
      </w:tr>
    </w:tbl>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一、比价内容：</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1</w:t>
      </w:r>
      <w:r>
        <w:rPr>
          <w:rFonts w:hint="eastAsia" w:ascii="仿宋" w:hAnsi="仿宋" w:eastAsia="仿宋" w:cs="仿宋_GB2312"/>
          <w:kern w:val="2"/>
          <w:sz w:val="20"/>
          <w:szCs w:val="20"/>
          <w:lang w:val="en-US" w:eastAsia="zh-CN" w:bidi="ar-SA"/>
        </w:rPr>
        <w:t>、价格：在供应商集中比价最低报价基础上，公司与各供应商再进行最终价格谈判，当双方价格协商一致后，原则上价格不再变动。以上所报物资价格必须是含税（原则上</w:t>
      </w:r>
      <w:r>
        <w:rPr>
          <w:rFonts w:hint="default" w:ascii="仿宋" w:hAnsi="仿宋" w:eastAsia="仿宋" w:cs="仿宋_GB2312"/>
          <w:kern w:val="2"/>
          <w:sz w:val="20"/>
          <w:szCs w:val="20"/>
          <w:lang w:val="en-US" w:eastAsia="zh-CN" w:bidi="ar-SA"/>
        </w:rPr>
        <w:t>13%</w:t>
      </w:r>
      <w:r>
        <w:rPr>
          <w:rFonts w:hint="eastAsia" w:ascii="仿宋" w:hAnsi="仿宋" w:eastAsia="仿宋" w:cs="仿宋_GB2312"/>
          <w:kern w:val="2"/>
          <w:sz w:val="20"/>
          <w:szCs w:val="20"/>
          <w:lang w:val="en-US" w:eastAsia="zh-CN" w:bidi="ar-SA"/>
        </w:rPr>
        <w:t>）到厂价。</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2</w:t>
      </w:r>
      <w:r>
        <w:rPr>
          <w:rFonts w:hint="eastAsia" w:ascii="仿宋" w:hAnsi="仿宋" w:eastAsia="仿宋" w:cs="仿宋_GB2312"/>
          <w:kern w:val="2"/>
          <w:sz w:val="20"/>
          <w:szCs w:val="20"/>
          <w:lang w:val="en-US" w:eastAsia="zh-CN" w:bidi="ar-SA"/>
        </w:rPr>
        <w:t>、合同或订单：集中比价价格谈判完成后，公司与入选供应商，按《中华人民共和国民法典》签订年度意向采购合同、协议。在实际执行意向合同时，公司按每月月度需求计划，给供应商下达采购订单，采购订单需注明规格型号、数量、交货期。当市场价格出现较大波动时，供应商和采购方提出涨价或降价要求，都由供应商发出调价申请函，说明调价原因，公司再按供应商调价函最低报价，重新审计价格，按最新调价价格执行，其余条款不变。调价函可作为框架协议附件保存。</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3</w:t>
      </w:r>
      <w:r>
        <w:rPr>
          <w:rFonts w:hint="eastAsia" w:ascii="仿宋" w:hAnsi="仿宋" w:eastAsia="仿宋" w:cs="仿宋_GB2312"/>
          <w:kern w:val="2"/>
          <w:sz w:val="20"/>
          <w:szCs w:val="20"/>
          <w:lang w:val="en-US" w:eastAsia="zh-CN" w:bidi="ar-SA"/>
        </w:rPr>
        <w:t>、数量：采购数量按每月实际需求量执行，每单无需再另行签订采购合同。</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4</w:t>
      </w:r>
      <w:r>
        <w:rPr>
          <w:rFonts w:hint="eastAsia" w:ascii="仿宋" w:hAnsi="仿宋" w:eastAsia="仿宋" w:cs="仿宋_GB2312"/>
          <w:kern w:val="2"/>
          <w:sz w:val="20"/>
          <w:szCs w:val="20"/>
          <w:lang w:val="en-US" w:eastAsia="zh-CN" w:bidi="ar-SA"/>
        </w:rPr>
        <w:t>、</w:t>
      </w:r>
      <w:r>
        <w:rPr>
          <w:rFonts w:hint="eastAsia" w:ascii="仿宋" w:hAnsi="仿宋" w:eastAsia="仿宋" w:cs="仿宋_GB2312"/>
          <w:b/>
          <w:bCs/>
          <w:kern w:val="2"/>
          <w:sz w:val="20"/>
          <w:szCs w:val="20"/>
          <w:lang w:val="en-US" w:eastAsia="zh-CN" w:bidi="ar-SA"/>
        </w:rPr>
        <w:t>质量：有合作意向的供应商可到需方现场测量，按需方提供的样品质量报价、制作</w:t>
      </w:r>
      <w:r>
        <w:rPr>
          <w:rFonts w:hint="eastAsia" w:ascii="仿宋" w:hAnsi="仿宋" w:eastAsia="仿宋" w:cs="仿宋_GB2312"/>
          <w:kern w:val="2"/>
          <w:sz w:val="20"/>
          <w:szCs w:val="20"/>
          <w:lang w:val="en-US" w:eastAsia="zh-CN" w:bidi="ar-SA"/>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5</w:t>
      </w:r>
      <w:r>
        <w:rPr>
          <w:rFonts w:hint="eastAsia" w:ascii="仿宋" w:hAnsi="仿宋" w:eastAsia="仿宋" w:cs="仿宋_GB2312"/>
          <w:kern w:val="2"/>
          <w:sz w:val="20"/>
          <w:szCs w:val="20"/>
          <w:lang w:val="en-US" w:eastAsia="zh-CN" w:bidi="ar-SA"/>
        </w:rPr>
        <w:t>、付款周期及方式：原则上实行货到票到三个月内滚动付款方式。即供方货到验收合格，需方收到该批货增值税发票并在财务挂账，三个月账期到后，以银行承兑、商业承兑、中兵保兑或者银行转账形式结算该批次货款。</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6</w:t>
      </w:r>
      <w:r>
        <w:rPr>
          <w:rFonts w:hint="eastAsia" w:ascii="仿宋" w:hAnsi="仿宋" w:eastAsia="仿宋" w:cs="仿宋_GB2312"/>
          <w:kern w:val="2"/>
          <w:sz w:val="20"/>
          <w:szCs w:val="20"/>
          <w:lang w:val="en-US" w:eastAsia="zh-CN" w:bidi="ar-SA"/>
        </w:rPr>
        <w:t>、其他：我们提倡和鼓励供应商对市场价格行情进行持续关注，及时低价格储备辅料，达到供需双方共同降低采购成本的目的，公司将对报价最低的供应商，在采购数量上进行倾斜。</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二、中选人必须对报价文件负全责，并在中选后10个工作日内与采购人签订合同。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三、各供应商报价均以人民币元为单位。</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四、各报价项目只能有唯一报价，不接受有选择的报价。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五、下列情况将被视为无效报价文件（取消报价与评审资格）：</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（一）报价文件未在规定时间内送达指定地点；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（二）报价文件中的各项内容填列不完整或有涂改现象的，供应商公章和供应商代表签字不齐的；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（三）供应商擅自改变货物型号、配置的；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（四）经评审小组判定为故意压低价格，不符合市场价格规律的；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（五）法律、法规规定的其他无效情况；</w:t>
      </w:r>
    </w:p>
    <w:p>
      <w:pPr>
        <w:spacing w:line="360" w:lineRule="auto"/>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六）供应商未按“第三部分”文件格式要求，提供天眼查官网查询的“工商信息”页面截图（须盖公章）；或经我司复核供应商存在“无实缴资本”、“无参保人员”、“无生产经营场所”等“三无”情形之一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供应商拒不进行澄清、说明、补正的，或者不能在规定时间内作出书面澄清、说明、补正的，询价小组将否决其报价。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七、出现下列情形之一的，评审小组有权否决供应商的报价或取消采购活动：</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（一）出现影响采购公正的违法、违规行为的；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（二）供应商的报价均超过了采购预算，采购单位不能支付的；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（三）因重大变故，采购任务取消的；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（四）评审小组经评审认为所有报价文件都不符合询价文件要求的。</w:t>
      </w:r>
    </w:p>
    <w:p>
      <w:pPr>
        <w:spacing w:line="360" w:lineRule="auto"/>
        <w:rPr>
          <w:rFonts w:hint="eastAsia" w:ascii="仿宋" w:hAnsi="仿宋" w:eastAsia="仿宋" w:cs="仿宋_GB2312"/>
          <w:kern w:val="2"/>
          <w:sz w:val="20"/>
          <w:szCs w:val="20"/>
          <w:lang w:val="en-US" w:eastAsia="zh-CN" w:bidi="ar-SA"/>
        </w:rPr>
      </w:pPr>
      <w:bookmarkStart w:id="1" w:name="_Toc217446103"/>
      <w:r>
        <w:rPr>
          <w:rFonts w:hint="eastAsia" w:ascii="仿宋" w:hAnsi="仿宋" w:eastAsia="仿宋" w:cs="仿宋_GB2312"/>
          <w:kern w:val="2"/>
          <w:sz w:val="20"/>
          <w:szCs w:val="20"/>
          <w:lang w:val="en-US" w:eastAsia="zh-CN" w:bidi="ar-SA"/>
        </w:rPr>
        <w:t>八、评审细则及标准</w:t>
      </w:r>
      <w:bookmarkEnd w:id="1"/>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（一）评审小组只对通过初审的响应文件，根据询价文件规定的评审程序及标准进行评价和比较。</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（二）在确定评审结果后，采购人将《供应商确认通知单》通过原询价文件发布平台进行公示，并通知此次采购的中选供应商签订合同。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九、合同签订</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（一）供应商须在接到（或应当接到）采购人所发出的《供应商确认通知单》10个工作日内与采购人签订正式采购合同；</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（二）《供应商确认通知单》对采购人和供应商均具有法律约束力；</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tabs>
          <w:tab w:val="left" w:pos="1985"/>
        </w:tabs>
        <w:autoSpaceDE w:val="0"/>
        <w:autoSpaceDN w:val="0"/>
        <w:adjustRightInd w:val="0"/>
        <w:spacing w:line="540" w:lineRule="exact"/>
        <w:ind w:firstLine="1500" w:firstLineChars="5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hint="eastAsia" w:ascii="仿宋" w:hAnsi="仿宋" w:eastAsia="仿宋" w:cs="Times New Roman"/>
          <w:b/>
          <w:bCs/>
          <w:color w:val="000000"/>
          <w:kern w:val="0"/>
          <w:sz w:val="24"/>
          <w:u w:val="single"/>
          <w:lang w:val="en-US" w:eastAsia="zh-CN"/>
        </w:rPr>
        <w:t>2024年度打包带、打包扣询价采购</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460" w:lineRule="exact"/>
        <w:ind w:firstLine="1500" w:firstLineChars="500"/>
        <w:rPr>
          <w:rFonts w:hint="default" w:ascii="仿宋" w:hAnsi="仿宋" w:eastAsia="仿宋"/>
          <w:sz w:val="30"/>
          <w:szCs w:val="30"/>
          <w:u w:val="single"/>
          <w:lang w:val="en-US"/>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cs="Times New Roman"/>
          <w:color w:val="000000"/>
          <w:kern w:val="0"/>
          <w:sz w:val="24"/>
          <w:u w:val="single"/>
          <w:lang w:val="en-US" w:eastAsia="zh-CN"/>
        </w:rPr>
        <w:t xml:space="preserve">DJYGM-2024-0014                </w:t>
      </w:r>
    </w:p>
    <w:p>
      <w:pPr>
        <w:spacing w:line="540" w:lineRule="exact"/>
        <w:rPr>
          <w:rFonts w:ascii="仿宋" w:hAnsi="仿宋" w:eastAsia="仿宋"/>
          <w:sz w:val="30"/>
          <w:szCs w:val="30"/>
        </w:rPr>
      </w:pPr>
    </w:p>
    <w:p>
      <w:pPr>
        <w:spacing w:line="540" w:lineRule="exact"/>
        <w:ind w:firstLine="1500" w:firstLineChars="5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1500" w:firstLineChars="5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lang w:val="en-US" w:eastAsia="zh-CN"/>
        </w:rPr>
        <w:t>二四</w:t>
      </w:r>
      <w:r>
        <w:rPr>
          <w:rFonts w:hint="eastAsia" w:ascii="仿宋" w:hAnsi="仿宋" w:eastAsia="仿宋"/>
          <w:sz w:val="30"/>
          <w:szCs w:val="30"/>
        </w:rPr>
        <w:t xml:space="preserve">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ascii="仿宋" w:hAnsi="仿宋" w:eastAsia="仿宋"/>
          <w:sz w:val="30"/>
          <w:szCs w:val="30"/>
        </w:rPr>
        <w:t>致：</w:t>
      </w:r>
      <w:r>
        <w:rPr>
          <w:rFonts w:hint="eastAsia" w:ascii="仿宋" w:hAnsi="仿宋" w:eastAsia="仿宋"/>
          <w:sz w:val="30"/>
          <w:szCs w:val="30"/>
          <w:u w:val="single"/>
          <w:lang w:val="en-US" w:eastAsia="zh-CN"/>
        </w:rPr>
        <w:t>都江堰光明光电材料有限责任公司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w:t>
      </w:r>
      <w:r>
        <w:rPr>
          <w:rFonts w:hint="eastAsia" w:ascii="仿宋" w:hAnsi="仿宋" w:eastAsia="仿宋"/>
          <w:sz w:val="30"/>
          <w:szCs w:val="30"/>
          <w:lang w:val="en-US" w:eastAsia="zh-CN"/>
        </w:rPr>
        <w:t>报价</w:t>
      </w:r>
      <w:r>
        <w:rPr>
          <w:rFonts w:ascii="仿宋" w:hAnsi="仿宋" w:eastAsia="仿宋"/>
          <w:sz w:val="30"/>
          <w:szCs w:val="30"/>
        </w:rPr>
        <w:t>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p>
      <w:pPr>
        <w:spacing w:line="540" w:lineRule="exact"/>
        <w:rPr>
          <w:rFonts w:ascii="仿宋" w:hAnsi="仿宋" w:eastAsia="仿宋"/>
          <w:sz w:val="30"/>
          <w:szCs w:val="30"/>
        </w:rPr>
      </w:pPr>
    </w:p>
    <w:tbl>
      <w:tblPr>
        <w:tblStyle w:val="15"/>
        <w:tblW w:w="8149" w:type="dxa"/>
        <w:tblInd w:w="-386" w:type="dxa"/>
        <w:tblLayout w:type="fixed"/>
        <w:tblCellMar>
          <w:top w:w="0" w:type="dxa"/>
          <w:left w:w="108" w:type="dxa"/>
          <w:bottom w:w="0" w:type="dxa"/>
          <w:right w:w="108" w:type="dxa"/>
        </w:tblCellMar>
      </w:tblPr>
      <w:tblGrid>
        <w:gridCol w:w="1989"/>
        <w:gridCol w:w="2320"/>
        <w:gridCol w:w="810"/>
        <w:gridCol w:w="1490"/>
        <w:gridCol w:w="1540"/>
      </w:tblGrid>
      <w:tr>
        <w:tblPrEx>
          <w:tblCellMar>
            <w:top w:w="0" w:type="dxa"/>
            <w:left w:w="108" w:type="dxa"/>
            <w:bottom w:w="0" w:type="dxa"/>
            <w:right w:w="108" w:type="dxa"/>
          </w:tblCellMar>
        </w:tblPrEx>
        <w:trPr>
          <w:trHeight w:val="602" w:hRule="atLeast"/>
        </w:trPr>
        <w:tc>
          <w:tcPr>
            <w:tcW w:w="19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lang w:val="en-US" w:eastAsia="zh-CN"/>
              </w:rPr>
              <w:t>产品</w:t>
            </w:r>
            <w:r>
              <w:rPr>
                <w:rFonts w:hint="eastAsia" w:ascii="仿宋" w:hAnsi="仿宋" w:eastAsia="仿宋" w:cs="宋体"/>
                <w:kern w:val="0"/>
                <w:sz w:val="20"/>
                <w:szCs w:val="20"/>
              </w:rPr>
              <w:t>名称</w:t>
            </w:r>
          </w:p>
        </w:tc>
        <w:tc>
          <w:tcPr>
            <w:tcW w:w="23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规格/型号</w:t>
            </w:r>
          </w:p>
        </w:tc>
        <w:tc>
          <w:tcPr>
            <w:tcW w:w="8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单位</w:t>
            </w:r>
          </w:p>
        </w:tc>
        <w:tc>
          <w:tcPr>
            <w:tcW w:w="14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单价（元）</w:t>
            </w: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备注</w:t>
            </w:r>
          </w:p>
        </w:tc>
      </w:tr>
      <w:tr>
        <w:tblPrEx>
          <w:tblCellMar>
            <w:top w:w="0" w:type="dxa"/>
            <w:left w:w="108" w:type="dxa"/>
            <w:bottom w:w="0" w:type="dxa"/>
            <w:right w:w="108" w:type="dxa"/>
          </w:tblCellMar>
        </w:tblPrEx>
        <w:trPr>
          <w:trHeight w:val="602" w:hRule="atLeast"/>
        </w:trPr>
        <w:tc>
          <w:tcPr>
            <w:tcW w:w="19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机用打包带（白色）</w:t>
            </w:r>
          </w:p>
        </w:tc>
        <w:tc>
          <w:tcPr>
            <w:tcW w:w="232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宽度：12mm</w:t>
            </w:r>
          </w:p>
          <w:p>
            <w:pPr>
              <w:widowControl/>
              <w:jc w:val="both"/>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厚度：0.8mm（+0.2mm）</w:t>
            </w:r>
          </w:p>
        </w:tc>
        <w:tc>
          <w:tcPr>
            <w:tcW w:w="8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公斤</w:t>
            </w:r>
          </w:p>
        </w:tc>
        <w:tc>
          <w:tcPr>
            <w:tcW w:w="149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602" w:hRule="atLeast"/>
        </w:trPr>
        <w:tc>
          <w:tcPr>
            <w:tcW w:w="19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机用打包带（红色）</w:t>
            </w:r>
          </w:p>
        </w:tc>
        <w:tc>
          <w:tcPr>
            <w:tcW w:w="232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宽度：12mm</w:t>
            </w:r>
          </w:p>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厚度：0.8mm（+0.2mm）</w:t>
            </w:r>
          </w:p>
        </w:tc>
        <w:tc>
          <w:tcPr>
            <w:tcW w:w="8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公斤</w:t>
            </w:r>
          </w:p>
        </w:tc>
        <w:tc>
          <w:tcPr>
            <w:tcW w:w="149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602" w:hRule="atLeast"/>
        </w:trPr>
        <w:tc>
          <w:tcPr>
            <w:tcW w:w="19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机用打包带（黑色）</w:t>
            </w:r>
          </w:p>
        </w:tc>
        <w:tc>
          <w:tcPr>
            <w:tcW w:w="232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宽度：12mm</w:t>
            </w:r>
          </w:p>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厚度：0.8mm（+0.2mm）</w:t>
            </w:r>
          </w:p>
        </w:tc>
        <w:tc>
          <w:tcPr>
            <w:tcW w:w="8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公斤</w:t>
            </w:r>
          </w:p>
        </w:tc>
        <w:tc>
          <w:tcPr>
            <w:tcW w:w="149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602" w:hRule="atLeast"/>
        </w:trPr>
        <w:tc>
          <w:tcPr>
            <w:tcW w:w="19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手工打包带（白色）</w:t>
            </w:r>
          </w:p>
        </w:tc>
        <w:tc>
          <w:tcPr>
            <w:tcW w:w="232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宽度：15mm</w:t>
            </w:r>
          </w:p>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厚度：1.4mm（+0.1mm）</w:t>
            </w:r>
          </w:p>
        </w:tc>
        <w:tc>
          <w:tcPr>
            <w:tcW w:w="8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公斤</w:t>
            </w:r>
          </w:p>
        </w:tc>
        <w:tc>
          <w:tcPr>
            <w:tcW w:w="149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602" w:hRule="atLeast"/>
        </w:trPr>
        <w:tc>
          <w:tcPr>
            <w:tcW w:w="19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PP机用打包带</w:t>
            </w:r>
          </w:p>
        </w:tc>
        <w:tc>
          <w:tcPr>
            <w:tcW w:w="232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宽度：13mm</w:t>
            </w:r>
          </w:p>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厚度：1.2mm（+0.1mm）</w:t>
            </w:r>
          </w:p>
        </w:tc>
        <w:tc>
          <w:tcPr>
            <w:tcW w:w="8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公斤</w:t>
            </w:r>
          </w:p>
        </w:tc>
        <w:tc>
          <w:tcPr>
            <w:tcW w:w="149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602" w:hRule="atLeast"/>
        </w:trPr>
        <w:tc>
          <w:tcPr>
            <w:tcW w:w="19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PET打包带（荧光绿）</w:t>
            </w:r>
          </w:p>
        </w:tc>
        <w:tc>
          <w:tcPr>
            <w:tcW w:w="232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宽度：13mm</w:t>
            </w:r>
          </w:p>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厚度：1.2mm（+0.1mm）</w:t>
            </w:r>
          </w:p>
        </w:tc>
        <w:tc>
          <w:tcPr>
            <w:tcW w:w="8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公斤</w:t>
            </w:r>
          </w:p>
        </w:tc>
        <w:tc>
          <w:tcPr>
            <w:tcW w:w="149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602" w:hRule="atLeast"/>
        </w:trPr>
        <w:tc>
          <w:tcPr>
            <w:tcW w:w="19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打包扣</w:t>
            </w:r>
          </w:p>
        </w:tc>
        <w:tc>
          <w:tcPr>
            <w:tcW w:w="23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35*16mm</w:t>
            </w:r>
          </w:p>
        </w:tc>
        <w:tc>
          <w:tcPr>
            <w:tcW w:w="8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公斤</w:t>
            </w:r>
          </w:p>
        </w:tc>
        <w:tc>
          <w:tcPr>
            <w:tcW w:w="149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602" w:hRule="atLeast"/>
        </w:trPr>
        <w:tc>
          <w:tcPr>
            <w:tcW w:w="19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塑钢打包扣</w:t>
            </w:r>
          </w:p>
        </w:tc>
        <w:tc>
          <w:tcPr>
            <w:tcW w:w="23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32*17mm</w:t>
            </w:r>
          </w:p>
        </w:tc>
        <w:tc>
          <w:tcPr>
            <w:tcW w:w="8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公斤</w:t>
            </w:r>
          </w:p>
        </w:tc>
        <w:tc>
          <w:tcPr>
            <w:tcW w:w="149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r>
    </w:tbl>
    <w:p>
      <w:pPr>
        <w:spacing w:line="560" w:lineRule="exact"/>
        <w:rPr>
          <w:rFonts w:hint="eastAsia"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b/>
          <w:bCs/>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w:t>
      </w:r>
      <w:r>
        <w:rPr>
          <w:rFonts w:hint="eastAsia" w:ascii="仿宋" w:hAnsi="仿宋" w:eastAsia="仿宋"/>
          <w:b/>
          <w:bCs/>
          <w:sz w:val="30"/>
          <w:szCs w:val="30"/>
        </w:rPr>
        <w:t>购方收到发票</w:t>
      </w:r>
      <w:r>
        <w:rPr>
          <w:rFonts w:hint="eastAsia" w:ascii="仿宋" w:hAnsi="仿宋" w:eastAsia="仿宋"/>
          <w:b/>
          <w:bCs/>
          <w:sz w:val="30"/>
          <w:szCs w:val="30"/>
          <w:lang w:val="en-US" w:eastAsia="zh-CN"/>
        </w:rPr>
        <w:t>三个月内滚动支付</w:t>
      </w:r>
      <w:r>
        <w:rPr>
          <w:rFonts w:hint="eastAsia" w:ascii="仿宋" w:hAnsi="仿宋" w:eastAsia="仿宋"/>
          <w:b/>
          <w:bCs/>
          <w:sz w:val="30"/>
          <w:szCs w:val="30"/>
        </w:rPr>
        <w:t>。</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r>
        <w:rPr>
          <w:rFonts w:hint="eastAsia" w:ascii="仿宋" w:hAnsi="仿宋" w:eastAsia="仿宋"/>
          <w:sz w:val="30"/>
          <w:szCs w:val="30"/>
        </w:rPr>
        <w:t>报价单位名称（盖章）：           报价单位代表签字：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rPr>
          <w:rFonts w:ascii="仿宋" w:hAnsi="仿宋" w:eastAsia="仿宋" w:cs="宋体"/>
          <w:kern w:val="0"/>
          <w:sz w:val="28"/>
          <w:szCs w:val="28"/>
        </w:rPr>
      </w:pPr>
      <w:bookmarkStart w:id="2" w:name="_GoBack"/>
      <w:bookmarkEnd w:id="2"/>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60" w:lineRule="exact"/>
        <w:ind w:firstLine="294" w:firstLineChars="98"/>
        <w:rPr>
          <w:rFonts w:hint="default" w:ascii="仿宋" w:hAnsi="仿宋" w:eastAsia="仿宋"/>
          <w:sz w:val="30"/>
          <w:szCs w:val="30"/>
          <w:lang w:val="en-US" w:eastAsia="zh-CN"/>
        </w:rPr>
      </w:pPr>
    </w:p>
    <w:sectPr>
      <w:headerReference r:id="rId8" w:type="default"/>
      <w:pgSz w:w="11906" w:h="16838"/>
      <w:pgMar w:top="82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MS Gothic">
    <w:panose1 w:val="020B0609070205080204"/>
    <w:charset w:val="80"/>
    <w:family w:val="modern"/>
    <w:pitch w:val="default"/>
    <w:sig w:usb0="E00002FF" w:usb1="6AC7FDFB" w:usb2="08000012" w:usb3="00000000" w:csb0="4002009F" w:csb1="DFD70000"/>
  </w:font>
  <w:font w:name="楷体">
    <w:panose1 w:val="02010609060101010101"/>
    <w:charset w:val="86"/>
    <w:family w:val="modern"/>
    <w:pitch w:val="default"/>
    <w:sig w:usb0="800002BF" w:usb1="38CF7CFA" w:usb2="0000001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jc w:val="center"/>
      <w:rPr>
        <w:rStyle w:val="18"/>
        <w:rFonts w:ascii="宋体" w:hAnsi="宋体"/>
        <w:sz w:val="28"/>
        <w:szCs w:val="28"/>
      </w:rPr>
    </w:pPr>
    <w:r>
      <w:rPr>
        <w:rFonts w:ascii="宋体" w:hAnsi="宋体"/>
        <w:sz w:val="28"/>
        <w:szCs w:val="28"/>
      </w:rPr>
      <w:fldChar w:fldCharType="begin"/>
    </w:r>
    <w:r>
      <w:rPr>
        <w:rStyle w:val="18"/>
        <w:rFonts w:ascii="宋体" w:hAnsi="宋体"/>
        <w:sz w:val="28"/>
        <w:szCs w:val="28"/>
      </w:rPr>
      <w:instrText xml:space="preserve">PAGE  </w:instrText>
    </w:r>
    <w:r>
      <w:rPr>
        <w:rFonts w:ascii="宋体" w:hAnsi="宋体"/>
        <w:sz w:val="28"/>
        <w:szCs w:val="28"/>
      </w:rPr>
      <w:fldChar w:fldCharType="separate"/>
    </w:r>
    <w:r>
      <w:rPr>
        <w:rStyle w:val="18"/>
        <w:rFonts w:ascii="宋体" w:hAnsi="宋体"/>
        <w:sz w:val="28"/>
        <w:szCs w:val="28"/>
      </w:rPr>
      <w:t>- 1 -</w:t>
    </w:r>
    <w:r>
      <w:rPr>
        <w:rFonts w:ascii="宋体" w:hAnsi="宋体"/>
        <w:sz w:val="28"/>
        <w:szCs w:val="28"/>
      </w:rPr>
      <w:fldChar w:fldCharType="end"/>
    </w: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18"/>
      </w:rPr>
    </w:pPr>
    <w:r>
      <w:fldChar w:fldCharType="begin"/>
    </w:r>
    <w:r>
      <w:rPr>
        <w:rStyle w:val="18"/>
      </w:rPr>
      <w:instrText xml:space="preserve">PAGE  </w:instrText>
    </w:r>
    <w:r>
      <w:fldChar w:fldCharType="end"/>
    </w:r>
  </w:p>
  <w:p>
    <w:pPr>
      <w:pStyle w:val="1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四川省工商行政管理局数据中心建设项目政府采购—招标文件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rPr>
        <w:rFonts w:ascii="黑体" w:hAnsi="黑体" w:eastAsia="黑体"/>
        <w:sz w:val="28"/>
        <w:szCs w:val="28"/>
      </w:rPr>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178"/>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05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393"/>
    <w:rsid w:val="007A560D"/>
    <w:rsid w:val="007A5F95"/>
    <w:rsid w:val="007B22F4"/>
    <w:rsid w:val="007B4FE1"/>
    <w:rsid w:val="007C12A4"/>
    <w:rsid w:val="007C33BB"/>
    <w:rsid w:val="007C37FC"/>
    <w:rsid w:val="007C7930"/>
    <w:rsid w:val="007C7F0B"/>
    <w:rsid w:val="007D075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21C4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D5364"/>
    <w:rsid w:val="00AE0642"/>
    <w:rsid w:val="00AE07F6"/>
    <w:rsid w:val="00AE1FDF"/>
    <w:rsid w:val="00AE25A4"/>
    <w:rsid w:val="00AE3697"/>
    <w:rsid w:val="00AE54BC"/>
    <w:rsid w:val="00AE7B7C"/>
    <w:rsid w:val="00AF0CAF"/>
    <w:rsid w:val="00AF2CFE"/>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6D94"/>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32AA"/>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7670D3B"/>
    <w:rsid w:val="086B329F"/>
    <w:rsid w:val="0AC8066A"/>
    <w:rsid w:val="115C1106"/>
    <w:rsid w:val="12D42042"/>
    <w:rsid w:val="158242C4"/>
    <w:rsid w:val="170209AC"/>
    <w:rsid w:val="1F3F137C"/>
    <w:rsid w:val="212958D0"/>
    <w:rsid w:val="22DA4E65"/>
    <w:rsid w:val="27B91ECD"/>
    <w:rsid w:val="290B3F06"/>
    <w:rsid w:val="2C3D76B5"/>
    <w:rsid w:val="2C6923FD"/>
    <w:rsid w:val="353C7B99"/>
    <w:rsid w:val="367D7888"/>
    <w:rsid w:val="404E4518"/>
    <w:rsid w:val="415A73C9"/>
    <w:rsid w:val="424D4810"/>
    <w:rsid w:val="42DD7A61"/>
    <w:rsid w:val="48E37289"/>
    <w:rsid w:val="53BB5D38"/>
    <w:rsid w:val="54387631"/>
    <w:rsid w:val="582F4FA6"/>
    <w:rsid w:val="5BA84B60"/>
    <w:rsid w:val="5D224E6D"/>
    <w:rsid w:val="5FFB256E"/>
    <w:rsid w:val="63623A3E"/>
    <w:rsid w:val="64022C3B"/>
    <w:rsid w:val="6AF17C50"/>
    <w:rsid w:val="70B60DD1"/>
    <w:rsid w:val="72E10E16"/>
    <w:rsid w:val="750139B7"/>
    <w:rsid w:val="7F6677A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0"/>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Emphasis"/>
    <w:basedOn w:val="17"/>
    <w:qFormat/>
    <w:locked/>
    <w:uiPriority w:val="20"/>
    <w:rPr>
      <w:i/>
      <w:iCs/>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styleId="21">
    <w:name w:val="annotation reference"/>
    <w:basedOn w:val="17"/>
    <w:semiHidden/>
    <w:qFormat/>
    <w:uiPriority w:val="99"/>
    <w:rPr>
      <w:rFonts w:cs="Times New Roman"/>
      <w:sz w:val="21"/>
    </w:rPr>
  </w:style>
  <w:style w:type="character" w:customStyle="1" w:styleId="22">
    <w:name w:val="标题 2 字符"/>
    <w:basedOn w:val="17"/>
    <w:link w:val="3"/>
    <w:qFormat/>
    <w:locked/>
    <w:uiPriority w:val="99"/>
    <w:rPr>
      <w:rFonts w:ascii="Arial" w:hAnsi="Arial" w:eastAsia="黑体" w:cs="Times New Roman"/>
      <w:b/>
      <w:sz w:val="20"/>
    </w:rPr>
  </w:style>
  <w:style w:type="character" w:customStyle="1" w:styleId="23">
    <w:name w:val="纯文本 字符"/>
    <w:basedOn w:val="17"/>
    <w:link w:val="7"/>
    <w:qFormat/>
    <w:locked/>
    <w:uiPriority w:val="99"/>
    <w:rPr>
      <w:rFonts w:ascii="宋体" w:hAnsi="Courier New" w:eastAsia="宋体" w:cs="Times New Roman"/>
      <w:sz w:val="21"/>
    </w:rPr>
  </w:style>
  <w:style w:type="character" w:customStyle="1" w:styleId="24">
    <w:name w:val="正文文本缩进 字符"/>
    <w:basedOn w:val="17"/>
    <w:link w:val="6"/>
    <w:qFormat/>
    <w:locked/>
    <w:uiPriority w:val="99"/>
    <w:rPr>
      <w:rFonts w:ascii="Times New Roman" w:hAnsi="Times New Roman" w:eastAsia="宋体" w:cs="Times New Roman"/>
      <w:sz w:val="24"/>
    </w:rPr>
  </w:style>
  <w:style w:type="character" w:customStyle="1" w:styleId="25">
    <w:name w:val="日期 字符"/>
    <w:basedOn w:val="17"/>
    <w:link w:val="8"/>
    <w:qFormat/>
    <w:locked/>
    <w:uiPriority w:val="99"/>
    <w:rPr>
      <w:rFonts w:ascii="Times New Roman" w:hAnsi="Times New Roman" w:eastAsia="宋体" w:cs="Times New Roman"/>
      <w:sz w:val="24"/>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qFormat/>
    <w:locked/>
    <w:uiPriority w:val="99"/>
    <w:rPr>
      <w:rFonts w:ascii="Times New Roman" w:hAnsi="Times New Roman" w:eastAsia="宋体" w:cs="Times New Roman"/>
      <w:sz w:val="24"/>
    </w:rPr>
  </w:style>
  <w:style w:type="character" w:customStyle="1" w:styleId="28">
    <w:name w:val="页眉 字符"/>
    <w:basedOn w:val="17"/>
    <w:link w:val="12"/>
    <w:qFormat/>
    <w:locked/>
    <w:uiPriority w:val="99"/>
    <w:rPr>
      <w:rFonts w:ascii="Times New Roman" w:hAnsi="Times New Roman" w:eastAsia="宋体" w:cs="Times New Roman"/>
      <w:sz w:val="18"/>
    </w:rPr>
  </w:style>
  <w:style w:type="character" w:customStyle="1" w:styleId="29">
    <w:name w:val="页脚 字符"/>
    <w:basedOn w:val="17"/>
    <w:link w:val="11"/>
    <w:qFormat/>
    <w:locked/>
    <w:uiPriority w:val="99"/>
    <w:rPr>
      <w:rFonts w:ascii="Times New Roman" w:hAnsi="Times New Roman" w:eastAsia="宋体" w:cs="Times New Roman"/>
      <w:sz w:val="18"/>
    </w:rPr>
  </w:style>
  <w:style w:type="character" w:customStyle="1" w:styleId="30">
    <w:name w:val="批注文字 字符"/>
    <w:basedOn w:val="17"/>
    <w:link w:val="4"/>
    <w:semiHidden/>
    <w:qFormat/>
    <w:locked/>
    <w:uiPriority w:val="99"/>
    <w:rPr>
      <w:rFonts w:ascii="Times New Roman" w:hAnsi="Times New Roman" w:cs="Times New Roman"/>
      <w:sz w:val="24"/>
    </w:rPr>
  </w:style>
  <w:style w:type="character" w:customStyle="1" w:styleId="31">
    <w:name w:val="批注主题 字符"/>
    <w:basedOn w:val="30"/>
    <w:link w:val="14"/>
    <w:semiHidden/>
    <w:qFormat/>
    <w:locked/>
    <w:uiPriority w:val="99"/>
    <w:rPr>
      <w:rFonts w:ascii="Times New Roman" w:hAnsi="Times New Roman" w:cs="Times New Roman"/>
      <w:b/>
      <w:sz w:val="24"/>
    </w:rPr>
  </w:style>
  <w:style w:type="character" w:customStyle="1" w:styleId="32">
    <w:name w:val="批注框文本 字符"/>
    <w:basedOn w:val="17"/>
    <w:link w:val="10"/>
    <w:semiHidden/>
    <w:qFormat/>
    <w:locked/>
    <w:uiPriority w:val="99"/>
    <w:rPr>
      <w:rFonts w:ascii="Times New Roman" w:hAnsi="Times New Roman" w:cs="Times New Roman"/>
      <w:sz w:val="18"/>
    </w:rPr>
  </w:style>
  <w:style w:type="character" w:customStyle="1" w:styleId="33">
    <w:name w:val="正文文本 字符"/>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21</Pages>
  <Words>1207</Words>
  <Characters>6886</Characters>
  <Lines>57</Lines>
  <Paragraphs>16</Paragraphs>
  <TotalTime>1</TotalTime>
  <ScaleCrop>false</ScaleCrop>
  <LinksUpToDate>false</LinksUpToDate>
  <CharactersWithSpaces>8077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2023-11-04T00:06:00Z</cp:lastPrinted>
  <dcterms:modified xsi:type="dcterms:W3CDTF">2024-03-25T08:17:27Z</dcterms:modified>
  <cp:revision>497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22F0249A52D3412E9E86241A6D1C04D9</vt:lpwstr>
  </property>
</Properties>
</file>