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2024年度网络系统维护采购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DJYGM-ND2024-006</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bCs/>
          <w:color w:val="000000"/>
          <w:kern w:val="0"/>
          <w:sz w:val="24"/>
          <w:u w:val="single"/>
          <w:lang w:val="en-US" w:eastAsia="zh-CN"/>
        </w:rPr>
        <w:t>网络系统维护</w:t>
      </w:r>
      <w:r>
        <w:rPr>
          <w:rFonts w:hint="eastAsia" w:ascii="仿宋" w:hAnsi="仿宋" w:eastAsia="仿宋" w:cs="Times New Roman"/>
          <w:b w:val="0"/>
          <w:bCs w:val="0"/>
          <w:color w:val="000000"/>
          <w:kern w:val="0"/>
          <w:sz w:val="24"/>
          <w:u w:val="none"/>
          <w:lang w:val="en-US" w:eastAsia="zh-CN"/>
        </w:rPr>
        <w:t>由于第一次</w:t>
      </w:r>
      <w:r>
        <w:rPr>
          <w:rFonts w:hint="eastAsia" w:ascii="仿宋" w:hAnsi="仿宋" w:eastAsia="仿宋" w:cs="Times New Roman"/>
          <w:color w:val="000000"/>
          <w:kern w:val="0"/>
          <w:sz w:val="24"/>
          <w:lang w:val="en-US" w:eastAsia="zh-CN"/>
        </w:rPr>
        <w:t>询价报价单位不足三家，现进行第二次询价，欢迎符合本次要求的供应商参加报价。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项目名称：网络系统维护</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项目编号：DJYGM-2024-006</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拟对公司内网络系统维护组织询价</w:t>
      </w:r>
      <w:r>
        <w:rPr>
          <w:rFonts w:hint="eastAsia" w:ascii="仿宋_GB2312" w:eastAsia="仿宋_GB2312"/>
          <w:sz w:val="24"/>
        </w:rPr>
        <w:t>，主要包括</w:t>
      </w:r>
      <w:r>
        <w:rPr>
          <w:rFonts w:hint="eastAsia" w:ascii="仿宋_GB2312" w:eastAsia="仿宋_GB2312"/>
          <w:sz w:val="24"/>
          <w:lang w:val="en-US" w:eastAsia="zh-CN"/>
        </w:rPr>
        <w:t>网络维护、电脑、打印机维护维修</w:t>
      </w:r>
      <w:r>
        <w:rPr>
          <w:rFonts w:hint="eastAsia" w:ascii="仿宋_GB2312" w:eastAsia="仿宋_GB2312"/>
          <w:sz w:val="24"/>
          <w:u w:val="none"/>
        </w:rPr>
        <w:t>等</w:t>
      </w:r>
      <w:r>
        <w:rPr>
          <w:rFonts w:hint="eastAsia" w:ascii="仿宋_GB2312" w:eastAsia="仿宋_GB2312"/>
          <w:sz w:val="24"/>
          <w:u w:val="none"/>
          <w:lang w:val="en-US" w:eastAsia="zh-CN"/>
        </w:rPr>
        <w:t>内容（</w:t>
      </w:r>
      <w:r>
        <w:rPr>
          <w:rFonts w:hint="eastAsia" w:ascii="仿宋" w:hAnsi="仿宋" w:eastAsia="仿宋" w:cs="Times New Roman"/>
          <w:color w:val="000000"/>
          <w:kern w:val="0"/>
          <w:sz w:val="24"/>
          <w:lang w:val="en-US" w:eastAsia="zh-CN"/>
        </w:rPr>
        <w:t>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请按询价采购书要求，于2024年3月27日17：00前将报价文件寄回到（或送达）：都江堰光明光电材料有限责任公司财务部，收件人：邓建国，电话：028-87117177。公司地址：四川省都江堰市蒲阳镇光泰路10号。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业务情况咨询人：余女士，联系电话：028-87117177</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技术咨询：周先生，联系电话：18030832091</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2024年3月27日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w:t>
            </w:r>
            <w:r>
              <w:rPr>
                <w:rFonts w:hint="eastAsia" w:ascii="仿宋" w:hAnsi="仿宋" w:eastAsia="仿宋" w:cs="仿宋_GB2312"/>
                <w:sz w:val="20"/>
                <w:szCs w:val="20"/>
                <w:lang w:val="en-US" w:eastAsia="zh-CN"/>
              </w:rPr>
              <w:t>维修清单</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根据实际发生的维护维修项目结算。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、数量：按实际发生维修项结算，每单无需再另行签订采购合同。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原则上实行货到票到三个月内滚动付款方式。即供方货到验收合格，需方收到该批货增值税发票并在财务挂账，三个月账期到后，以银行承兑、商业承兑、中兵保兑或者银行转账形式结算该批次货款。若对付款周期有异议的，需在报价文件中说明。</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2024年度</w:t>
      </w:r>
      <w:r>
        <w:rPr>
          <w:rFonts w:hint="eastAsia" w:ascii="仿宋" w:hAnsi="仿宋" w:eastAsia="仿宋" w:cs="Times New Roman"/>
          <w:b/>
          <w:bCs/>
          <w:color w:val="000000"/>
          <w:kern w:val="0"/>
          <w:sz w:val="24"/>
          <w:u w:val="single"/>
          <w:lang w:val="en-US" w:eastAsia="zh-CN"/>
        </w:rPr>
        <w:t>网络系统维护</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DJYGM-2024-006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hint="eastAsia" w:ascii="仿宋" w:hAnsi="仿宋" w:eastAsia="仿宋"/>
          <w:sz w:val="30"/>
          <w:szCs w:val="30"/>
          <w:lang w:val="en-US" w:eastAsia="zh-CN"/>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lang w:val="en-US" w:eastAsia="zh-CN"/>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39"/>
        <w:tblW w:w="82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2264"/>
        <w:gridCol w:w="1663"/>
        <w:gridCol w:w="730"/>
        <w:gridCol w:w="1272"/>
        <w:gridCol w:w="15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722" w:type="dxa"/>
            <w:noWrap w:val="0"/>
            <w:vAlign w:val="top"/>
          </w:tcPr>
          <w:p>
            <w:pPr>
              <w:pStyle w:val="38"/>
              <w:spacing w:before="187" w:line="230" w:lineRule="auto"/>
              <w:ind w:left="153"/>
              <w:rPr>
                <w:sz w:val="19"/>
                <w:szCs w:val="19"/>
              </w:rPr>
            </w:pPr>
            <w:r>
              <w:rPr>
                <w:spacing w:val="10"/>
                <w:sz w:val="19"/>
                <w:szCs w:val="19"/>
              </w:rPr>
              <w:t>序号</w:t>
            </w:r>
          </w:p>
        </w:tc>
        <w:tc>
          <w:tcPr>
            <w:tcW w:w="2264" w:type="dxa"/>
            <w:noWrap w:val="0"/>
            <w:vAlign w:val="top"/>
          </w:tcPr>
          <w:p>
            <w:pPr>
              <w:pStyle w:val="38"/>
              <w:spacing w:before="186" w:line="231" w:lineRule="auto"/>
              <w:ind w:left="769"/>
              <w:rPr>
                <w:sz w:val="19"/>
                <w:szCs w:val="19"/>
              </w:rPr>
            </w:pPr>
            <w:r>
              <w:rPr>
                <w:spacing w:val="4"/>
                <w:sz w:val="19"/>
                <w:szCs w:val="19"/>
              </w:rPr>
              <w:t>名称</w:t>
            </w:r>
          </w:p>
        </w:tc>
        <w:tc>
          <w:tcPr>
            <w:tcW w:w="1663" w:type="dxa"/>
            <w:noWrap w:val="0"/>
            <w:vAlign w:val="top"/>
          </w:tcPr>
          <w:p>
            <w:pPr>
              <w:pStyle w:val="38"/>
              <w:spacing w:before="186" w:line="229" w:lineRule="auto"/>
              <w:ind w:left="636"/>
              <w:rPr>
                <w:sz w:val="19"/>
                <w:szCs w:val="19"/>
              </w:rPr>
            </w:pPr>
            <w:r>
              <w:rPr>
                <w:spacing w:val="12"/>
                <w:sz w:val="19"/>
                <w:szCs w:val="19"/>
              </w:rPr>
              <w:t>型号规格</w:t>
            </w:r>
          </w:p>
        </w:tc>
        <w:tc>
          <w:tcPr>
            <w:tcW w:w="730" w:type="dxa"/>
            <w:noWrap w:val="0"/>
            <w:vAlign w:val="top"/>
          </w:tcPr>
          <w:p>
            <w:pPr>
              <w:pStyle w:val="38"/>
              <w:spacing w:before="186" w:line="230" w:lineRule="auto"/>
              <w:ind w:left="163"/>
              <w:rPr>
                <w:sz w:val="19"/>
                <w:szCs w:val="19"/>
              </w:rPr>
            </w:pPr>
            <w:r>
              <w:rPr>
                <w:spacing w:val="9"/>
                <w:sz w:val="19"/>
                <w:szCs w:val="19"/>
              </w:rPr>
              <w:t>单位</w:t>
            </w:r>
          </w:p>
        </w:tc>
        <w:tc>
          <w:tcPr>
            <w:tcW w:w="1272" w:type="dxa"/>
            <w:noWrap w:val="0"/>
            <w:vAlign w:val="top"/>
          </w:tcPr>
          <w:p>
            <w:pPr>
              <w:pStyle w:val="38"/>
              <w:spacing w:before="187" w:line="227" w:lineRule="auto"/>
              <w:ind w:left="144"/>
              <w:rPr>
                <w:sz w:val="19"/>
                <w:szCs w:val="19"/>
              </w:rPr>
            </w:pPr>
            <w:r>
              <w:rPr>
                <w:spacing w:val="5"/>
                <w:sz w:val="19"/>
                <w:szCs w:val="19"/>
              </w:rPr>
              <w:t>单价（元）</w:t>
            </w:r>
          </w:p>
        </w:tc>
        <w:tc>
          <w:tcPr>
            <w:tcW w:w="1580" w:type="dxa"/>
            <w:noWrap w:val="0"/>
            <w:vAlign w:val="top"/>
          </w:tcPr>
          <w:p>
            <w:pPr>
              <w:pStyle w:val="38"/>
              <w:spacing w:before="187" w:line="230" w:lineRule="auto"/>
              <w:ind w:left="598"/>
              <w:rPr>
                <w:sz w:val="19"/>
                <w:szCs w:val="19"/>
              </w:rPr>
            </w:pPr>
            <w:r>
              <w:rPr>
                <w:spacing w:val="4"/>
                <w:sz w:val="19"/>
                <w:szCs w:val="19"/>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2" w:line="185" w:lineRule="auto"/>
              <w:ind w:left="335"/>
              <w:rPr>
                <w:sz w:val="16"/>
                <w:szCs w:val="16"/>
              </w:rPr>
            </w:pPr>
            <w:r>
              <w:rPr>
                <w:sz w:val="16"/>
                <w:szCs w:val="16"/>
              </w:rPr>
              <w:t>1</w:t>
            </w:r>
          </w:p>
        </w:tc>
        <w:tc>
          <w:tcPr>
            <w:tcW w:w="2264" w:type="dxa"/>
            <w:noWrap w:val="0"/>
            <w:vAlign w:val="top"/>
          </w:tcPr>
          <w:p>
            <w:pPr>
              <w:pStyle w:val="38"/>
              <w:spacing w:before="166" w:line="228" w:lineRule="auto"/>
              <w:ind w:left="128"/>
              <w:jc w:val="center"/>
              <w:rPr>
                <w:rFonts w:hint="eastAsia" w:eastAsia="宋体"/>
                <w:lang w:val="en-US" w:eastAsia="zh-CN"/>
              </w:rPr>
            </w:pPr>
            <w:r>
              <w:rPr>
                <w:rFonts w:hint="eastAsia" w:ascii="仿宋_GB2312" w:hAnsi="仿宋_GB2312" w:eastAsia="仿宋_GB2312" w:cs="仿宋_GB2312"/>
                <w:color w:val="000000"/>
                <w:kern w:val="0"/>
                <w:sz w:val="24"/>
                <w:szCs w:val="24"/>
                <w:lang w:val="en-US" w:eastAsia="zh-CN"/>
              </w:rPr>
              <w:t>网络、电脑维护</w:t>
            </w:r>
          </w:p>
        </w:tc>
        <w:tc>
          <w:tcPr>
            <w:tcW w:w="1663" w:type="dxa"/>
            <w:noWrap w:val="0"/>
            <w:vAlign w:val="top"/>
          </w:tcPr>
          <w:p>
            <w:pPr>
              <w:spacing w:before="146" w:line="338" w:lineRule="exact"/>
              <w:ind w:firstLine="689"/>
              <w:jc w:val="center"/>
            </w:pPr>
            <w:r>
              <w:rPr>
                <w:sz w:val="21"/>
              </w:rPr>
              <mc:AlternateContent>
                <mc:Choice Requires="wps">
                  <w:drawing>
                    <wp:anchor distT="0" distB="0" distL="114300" distR="114300" simplePos="0" relativeHeight="251659264" behindDoc="0" locked="0" layoutInCell="1" allowOverlap="1">
                      <wp:simplePos x="0" y="0"/>
                      <wp:positionH relativeFrom="column">
                        <wp:posOffset>438785</wp:posOffset>
                      </wp:positionH>
                      <wp:positionV relativeFrom="paragraph">
                        <wp:posOffset>98425</wp:posOffset>
                      </wp:positionV>
                      <wp:extent cx="349250" cy="168910"/>
                      <wp:effectExtent l="1905" t="4445" r="10795" b="17145"/>
                      <wp:wrapNone/>
                      <wp:docPr id="2" name="直接连接符 2"/>
                      <wp:cNvGraphicFramePr/>
                      <a:graphic xmlns:a="http://schemas.openxmlformats.org/drawingml/2006/main">
                        <a:graphicData uri="http://schemas.microsoft.com/office/word/2010/wordprocessingShape">
                          <wps:wsp>
                            <wps:cNvCnPr/>
                            <wps:spPr>
                              <a:xfrm flipV="1">
                                <a:off x="0" y="0"/>
                                <a:ext cx="349250" cy="1689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4.55pt;margin-top:7.75pt;height:13.3pt;width:27.5pt;z-index:251659264;mso-width-relative:page;mso-height-relative:page;" filled="f" stroked="t" coordsize="21600,21600" o:gfxdata="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a1QdYAAAAIAQAADwAAAAAAAAABACAAAAAiAAAAZHJzL2Rvd25yZXYu&#10;eG1sUEsBAhQAFAAAAAgAh07iQOc6YlH9AQAA4QMAAA4AAAAAAAAAAQAgAAAAJQEAAGRycy9lMm9E&#10;b2MueG1sUEsFBgAAAAAGAAYAWQEAAJQFAAAAAA==&#10;">
                      <v:fill on="f" focussize="0,0"/>
                      <v:stroke color="#000000 [3200]" joinstyle="round"/>
                      <v:imagedata o:title=""/>
                      <o:lock v:ext="edit" aspectratio="f"/>
                    </v:line>
                  </w:pict>
                </mc:Fallback>
              </mc:AlternateContent>
            </w:r>
          </w:p>
        </w:tc>
        <w:tc>
          <w:tcPr>
            <w:tcW w:w="730" w:type="dxa"/>
            <w:noWrap w:val="0"/>
            <w:vAlign w:val="top"/>
          </w:tcPr>
          <w:p>
            <w:pPr>
              <w:pStyle w:val="38"/>
              <w:spacing w:before="166" w:line="228" w:lineRule="auto"/>
              <w:ind w:left="271"/>
              <w:jc w:val="both"/>
              <w:rPr>
                <w:rFonts w:hint="default" w:eastAsia="宋体"/>
                <w:lang w:val="en-US" w:eastAsia="zh-CN"/>
              </w:rPr>
            </w:pPr>
            <w:r>
              <w:rPr>
                <w:rFonts w:hint="eastAsia"/>
                <w:sz w:val="16"/>
                <w:szCs w:val="16"/>
                <w:lang w:val="en-US" w:eastAsia="zh-CN"/>
              </w:rPr>
              <w:t>元/月</w:t>
            </w:r>
          </w:p>
        </w:tc>
        <w:tc>
          <w:tcPr>
            <w:tcW w:w="1272" w:type="dxa"/>
            <w:noWrap w:val="0"/>
            <w:vAlign w:val="top"/>
          </w:tcPr>
          <w:p>
            <w:pPr>
              <w:pStyle w:val="38"/>
              <w:spacing w:before="201" w:line="189" w:lineRule="auto"/>
              <w:ind w:left="541"/>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4" w:line="184" w:lineRule="auto"/>
              <w:ind w:left="325"/>
              <w:rPr>
                <w:sz w:val="16"/>
                <w:szCs w:val="16"/>
              </w:rPr>
            </w:pPr>
            <w:r>
              <w:rPr>
                <w:sz w:val="16"/>
                <w:szCs w:val="16"/>
              </w:rPr>
              <w:t>2</w:t>
            </w:r>
          </w:p>
        </w:tc>
        <w:tc>
          <w:tcPr>
            <w:tcW w:w="2264" w:type="dxa"/>
            <w:noWrap w:val="0"/>
            <w:vAlign w:val="top"/>
          </w:tcPr>
          <w:p>
            <w:pPr>
              <w:pStyle w:val="38"/>
              <w:spacing w:before="30" w:line="233" w:lineRule="auto"/>
              <w:ind w:left="859" w:right="71" w:hanging="783"/>
              <w:jc w:val="center"/>
              <w:rPr>
                <w:rFonts w:hint="default" w:eastAsia="宋体"/>
                <w:lang w:val="en-US" w:eastAsia="zh-CN"/>
              </w:rPr>
            </w:pPr>
            <w:r>
              <w:rPr>
                <w:rFonts w:hint="eastAsia"/>
                <w:lang w:val="en-US" w:eastAsia="zh-CN"/>
              </w:rPr>
              <w:t>色带</w:t>
            </w:r>
          </w:p>
        </w:tc>
        <w:tc>
          <w:tcPr>
            <w:tcW w:w="1663" w:type="dxa"/>
            <w:noWrap w:val="0"/>
            <w:vAlign w:val="top"/>
          </w:tcPr>
          <w:p>
            <w:pPr>
              <w:pStyle w:val="38"/>
              <w:spacing w:before="198" w:line="190" w:lineRule="auto"/>
              <w:ind w:left="203"/>
              <w:jc w:val="center"/>
              <w:rPr>
                <w:rFonts w:hint="default" w:eastAsia="宋体"/>
                <w:lang w:val="en-US" w:eastAsia="zh-CN"/>
              </w:rPr>
            </w:pPr>
            <w:r>
              <w:rPr>
                <w:rFonts w:hint="eastAsia"/>
                <w:lang w:val="en-US" w:eastAsia="zh-CN"/>
              </w:rPr>
              <w:t>630KII/300KII</w:t>
            </w:r>
          </w:p>
        </w:tc>
        <w:tc>
          <w:tcPr>
            <w:tcW w:w="730" w:type="dxa"/>
            <w:noWrap w:val="0"/>
            <w:vAlign w:val="top"/>
          </w:tcPr>
          <w:p>
            <w:pPr>
              <w:pStyle w:val="38"/>
              <w:spacing w:before="166"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4" w:line="189" w:lineRule="auto"/>
              <w:ind w:left="496"/>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3" w:line="184" w:lineRule="auto"/>
              <w:ind w:left="326"/>
              <w:rPr>
                <w:sz w:val="16"/>
                <w:szCs w:val="16"/>
              </w:rPr>
            </w:pPr>
            <w:r>
              <w:rPr>
                <w:sz w:val="16"/>
                <w:szCs w:val="16"/>
              </w:rPr>
              <w:t>3</w:t>
            </w:r>
          </w:p>
        </w:tc>
        <w:tc>
          <w:tcPr>
            <w:tcW w:w="2264" w:type="dxa"/>
            <w:noWrap w:val="0"/>
            <w:vAlign w:val="top"/>
          </w:tcPr>
          <w:p>
            <w:pPr>
              <w:pStyle w:val="38"/>
              <w:spacing w:before="29" w:line="233" w:lineRule="auto"/>
              <w:ind w:left="859" w:right="71" w:hanging="787"/>
              <w:jc w:val="center"/>
              <w:rPr>
                <w:rFonts w:hint="default" w:eastAsia="宋体"/>
                <w:lang w:val="en-US" w:eastAsia="zh-CN"/>
              </w:rPr>
            </w:pPr>
            <w:r>
              <w:rPr>
                <w:rFonts w:hint="eastAsia"/>
                <w:lang w:val="en-US" w:eastAsia="zh-CN"/>
              </w:rPr>
              <w:t>打印鼓</w:t>
            </w:r>
          </w:p>
        </w:tc>
        <w:tc>
          <w:tcPr>
            <w:tcW w:w="1663" w:type="dxa"/>
            <w:noWrap w:val="0"/>
            <w:vAlign w:val="top"/>
          </w:tcPr>
          <w:p>
            <w:pPr>
              <w:pStyle w:val="38"/>
              <w:spacing w:before="199" w:line="189" w:lineRule="auto"/>
              <w:ind w:left="254"/>
              <w:jc w:val="center"/>
              <w:rPr>
                <w:rFonts w:hint="default" w:eastAsia="宋体"/>
                <w:lang w:val="en-US" w:eastAsia="zh-CN"/>
              </w:rPr>
            </w:pPr>
            <w:r>
              <w:rPr>
                <w:rFonts w:hint="eastAsia"/>
                <w:lang w:val="en-US" w:eastAsia="zh-CN"/>
              </w:rPr>
              <w:t>1bp2900</w:t>
            </w:r>
          </w:p>
        </w:tc>
        <w:tc>
          <w:tcPr>
            <w:tcW w:w="730" w:type="dxa"/>
            <w:noWrap w:val="0"/>
            <w:vAlign w:val="top"/>
          </w:tcPr>
          <w:p>
            <w:pPr>
              <w:pStyle w:val="38"/>
              <w:spacing w:before="166"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4" w:line="189" w:lineRule="auto"/>
              <w:ind w:left="492"/>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6" w:line="184" w:lineRule="auto"/>
              <w:ind w:left="322"/>
              <w:rPr>
                <w:sz w:val="16"/>
                <w:szCs w:val="16"/>
              </w:rPr>
            </w:pPr>
            <w:r>
              <w:rPr>
                <w:sz w:val="16"/>
                <w:szCs w:val="16"/>
              </w:rPr>
              <w:t>4</w:t>
            </w:r>
          </w:p>
        </w:tc>
        <w:tc>
          <w:tcPr>
            <w:tcW w:w="2264" w:type="dxa"/>
            <w:noWrap w:val="0"/>
            <w:vAlign w:val="top"/>
          </w:tcPr>
          <w:p>
            <w:pPr>
              <w:pStyle w:val="38"/>
              <w:spacing w:before="166" w:line="228" w:lineRule="auto"/>
              <w:ind w:left="547"/>
              <w:jc w:val="center"/>
              <w:rPr>
                <w:rFonts w:hint="default" w:eastAsia="宋体"/>
                <w:lang w:val="en-US" w:eastAsia="zh-CN"/>
              </w:rPr>
            </w:pPr>
            <w:r>
              <w:rPr>
                <w:rFonts w:hint="eastAsia"/>
                <w:lang w:val="en-US" w:eastAsia="zh-CN"/>
              </w:rPr>
              <w:t>复印机粉盒</w:t>
            </w:r>
          </w:p>
        </w:tc>
        <w:tc>
          <w:tcPr>
            <w:tcW w:w="1663" w:type="dxa"/>
            <w:noWrap w:val="0"/>
            <w:vAlign w:val="top"/>
          </w:tcPr>
          <w:p>
            <w:pPr>
              <w:spacing w:before="81" w:line="338" w:lineRule="exact"/>
              <w:ind w:firstLine="420" w:firstLineChars="200"/>
              <w:jc w:val="both"/>
              <w:rPr>
                <w:rFonts w:hint="default" w:eastAsia="宋体"/>
                <w:lang w:val="en-US" w:eastAsia="zh-CN"/>
              </w:rPr>
            </w:pPr>
            <w:r>
              <w:rPr>
                <w:rFonts w:hint="eastAsia"/>
                <w:lang w:val="en-US" w:eastAsia="zh-CN"/>
              </w:rPr>
              <w:t>HP439粉盒</w:t>
            </w:r>
          </w:p>
        </w:tc>
        <w:tc>
          <w:tcPr>
            <w:tcW w:w="730" w:type="dxa"/>
            <w:noWrap w:val="0"/>
            <w:vAlign w:val="top"/>
          </w:tcPr>
          <w:p>
            <w:pPr>
              <w:pStyle w:val="38"/>
              <w:spacing w:before="167" w:line="228" w:lineRule="auto"/>
              <w:ind w:left="112" w:firstLine="200" w:firstLineChars="100"/>
              <w:jc w:val="both"/>
              <w:rPr>
                <w:rFonts w:hint="eastAsia" w:eastAsia="宋体"/>
                <w:lang w:val="en-US" w:eastAsia="zh-CN"/>
              </w:rPr>
            </w:pPr>
            <w:r>
              <w:rPr>
                <w:rFonts w:hint="eastAsia"/>
                <w:lang w:val="en-US" w:eastAsia="zh-CN"/>
              </w:rPr>
              <w:t>个</w:t>
            </w:r>
          </w:p>
        </w:tc>
        <w:tc>
          <w:tcPr>
            <w:tcW w:w="1272" w:type="dxa"/>
            <w:noWrap w:val="0"/>
            <w:vAlign w:val="top"/>
          </w:tcPr>
          <w:p>
            <w:pPr>
              <w:pStyle w:val="38"/>
              <w:spacing w:before="203" w:line="190" w:lineRule="auto"/>
              <w:ind w:left="507"/>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8" w:line="183" w:lineRule="auto"/>
              <w:ind w:left="326"/>
              <w:rPr>
                <w:sz w:val="16"/>
                <w:szCs w:val="16"/>
              </w:rPr>
            </w:pPr>
            <w:r>
              <w:rPr>
                <w:sz w:val="16"/>
                <w:szCs w:val="16"/>
              </w:rPr>
              <w:t>5</w:t>
            </w:r>
          </w:p>
        </w:tc>
        <w:tc>
          <w:tcPr>
            <w:tcW w:w="2264" w:type="dxa"/>
            <w:noWrap w:val="0"/>
            <w:vAlign w:val="top"/>
          </w:tcPr>
          <w:p>
            <w:pPr>
              <w:pStyle w:val="38"/>
              <w:spacing w:before="167" w:line="228" w:lineRule="auto"/>
              <w:ind w:left="490"/>
              <w:jc w:val="center"/>
              <w:rPr>
                <w:rFonts w:hint="default" w:eastAsia="宋体"/>
                <w:lang w:val="en-US" w:eastAsia="zh-CN"/>
              </w:rPr>
            </w:pPr>
            <w:r>
              <w:rPr>
                <w:rFonts w:hint="eastAsia"/>
                <w:lang w:val="en-US" w:eastAsia="zh-CN"/>
              </w:rPr>
              <w:t>打印墨水</w:t>
            </w:r>
          </w:p>
        </w:tc>
        <w:tc>
          <w:tcPr>
            <w:tcW w:w="1663" w:type="dxa"/>
            <w:noWrap w:val="0"/>
            <w:vAlign w:val="top"/>
          </w:tcPr>
          <w:p>
            <w:pPr>
              <w:pStyle w:val="38"/>
              <w:spacing w:before="199" w:line="190" w:lineRule="auto"/>
              <w:ind w:firstLine="400" w:firstLineChars="200"/>
              <w:jc w:val="both"/>
              <w:rPr>
                <w:rFonts w:hint="default" w:eastAsia="宋体"/>
                <w:lang w:val="en-US" w:eastAsia="zh-CN"/>
              </w:rPr>
            </w:pPr>
            <w:r>
              <w:rPr>
                <w:rFonts w:hint="eastAsia"/>
                <w:lang w:val="en-US" w:eastAsia="zh-CN"/>
              </w:rPr>
              <w:t>爱普生L3500</w:t>
            </w:r>
          </w:p>
        </w:tc>
        <w:tc>
          <w:tcPr>
            <w:tcW w:w="730" w:type="dxa"/>
            <w:noWrap w:val="0"/>
            <w:vAlign w:val="top"/>
          </w:tcPr>
          <w:p>
            <w:pPr>
              <w:pStyle w:val="38"/>
              <w:spacing w:before="167" w:line="231" w:lineRule="auto"/>
              <w:ind w:left="282"/>
              <w:jc w:val="both"/>
              <w:rPr>
                <w:rFonts w:hint="default" w:eastAsia="宋体"/>
                <w:lang w:val="en-US" w:eastAsia="zh-CN"/>
              </w:rPr>
            </w:pPr>
            <w:r>
              <w:rPr>
                <w:rFonts w:hint="eastAsia"/>
                <w:lang w:val="en-US" w:eastAsia="zh-CN"/>
              </w:rPr>
              <w:t>支</w:t>
            </w:r>
          </w:p>
        </w:tc>
        <w:tc>
          <w:tcPr>
            <w:tcW w:w="1272" w:type="dxa"/>
            <w:noWrap w:val="0"/>
            <w:vAlign w:val="top"/>
          </w:tcPr>
          <w:p>
            <w:pPr>
              <w:pStyle w:val="38"/>
              <w:spacing w:before="205" w:line="189" w:lineRule="auto"/>
              <w:ind w:left="496"/>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4"/>
              <w:rPr>
                <w:sz w:val="16"/>
                <w:szCs w:val="16"/>
              </w:rPr>
            </w:pPr>
            <w:r>
              <w:rPr>
                <w:sz w:val="16"/>
                <w:szCs w:val="16"/>
              </w:rPr>
              <w:t>6</w:t>
            </w:r>
          </w:p>
        </w:tc>
        <w:tc>
          <w:tcPr>
            <w:tcW w:w="2264" w:type="dxa"/>
            <w:noWrap w:val="0"/>
            <w:vAlign w:val="top"/>
          </w:tcPr>
          <w:p>
            <w:pPr>
              <w:pStyle w:val="38"/>
              <w:spacing w:before="167" w:line="228" w:lineRule="auto"/>
              <w:ind w:left="490"/>
              <w:jc w:val="center"/>
              <w:rPr>
                <w:rFonts w:hint="default" w:eastAsia="宋体"/>
                <w:lang w:val="en-US" w:eastAsia="zh-CN"/>
              </w:rPr>
            </w:pPr>
            <w:r>
              <w:rPr>
                <w:rFonts w:hint="eastAsia"/>
                <w:lang w:val="en-US" w:eastAsia="zh-CN"/>
              </w:rPr>
              <w:t>硬盘</w:t>
            </w:r>
          </w:p>
        </w:tc>
        <w:tc>
          <w:tcPr>
            <w:tcW w:w="1663" w:type="dxa"/>
            <w:noWrap w:val="0"/>
            <w:vAlign w:val="top"/>
          </w:tcPr>
          <w:p>
            <w:pPr>
              <w:pStyle w:val="38"/>
              <w:spacing w:before="199" w:line="190" w:lineRule="auto"/>
              <w:ind w:left="519"/>
              <w:jc w:val="center"/>
              <w:rPr>
                <w:rFonts w:hint="default" w:eastAsia="宋体"/>
                <w:lang w:val="en-US" w:eastAsia="zh-CN"/>
              </w:rPr>
            </w:pPr>
            <w:r>
              <w:rPr>
                <w:rFonts w:hint="eastAsia"/>
                <w:lang w:val="en-US" w:eastAsia="zh-CN"/>
              </w:rPr>
              <w:t>1T</w:t>
            </w:r>
          </w:p>
        </w:tc>
        <w:tc>
          <w:tcPr>
            <w:tcW w:w="730" w:type="dxa"/>
            <w:noWrap w:val="0"/>
            <w:vAlign w:val="top"/>
          </w:tcPr>
          <w:p>
            <w:pPr>
              <w:pStyle w:val="38"/>
              <w:spacing w:before="167"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5" w:line="189" w:lineRule="auto"/>
              <w:ind w:left="496"/>
              <w:jc w:val="center"/>
              <w:rPr>
                <w:sz w:val="19"/>
                <w:szCs w:val="19"/>
              </w:rPr>
            </w:pPr>
          </w:p>
        </w:tc>
        <w:tc>
          <w:tcPr>
            <w:tcW w:w="1580" w:type="dxa"/>
            <w:noWrap w:val="0"/>
            <w:vAlign w:val="top"/>
          </w:tcPr>
          <w:p>
            <w:pPr>
              <w:rPr>
                <w:rFonts w:ascii="Arial"/>
                <w:sz w:val="21"/>
              </w:rPr>
            </w:pP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numPr>
          <w:ilvl w:val="0"/>
          <w:numId w:val="0"/>
        </w:num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的增值税专用发票，购方收到发票</w:t>
      </w:r>
      <w:r>
        <w:rPr>
          <w:rFonts w:hint="eastAsia" w:ascii="仿宋" w:hAnsi="仿宋" w:eastAsia="仿宋"/>
          <w:sz w:val="30"/>
          <w:szCs w:val="30"/>
          <w:lang w:val="en-US" w:eastAsia="zh-CN"/>
        </w:rPr>
        <w:t>三个月滚动付</w:t>
      </w:r>
      <w:r>
        <w:rPr>
          <w:rFonts w:hint="eastAsia" w:ascii="仿宋" w:hAnsi="仿宋" w:eastAsia="仿宋"/>
          <w:sz w:val="30"/>
          <w:szCs w:val="30"/>
        </w:rPr>
        <w:t>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bookmarkStart w:id="2" w:name="_GoBack"/>
      <w:bookmarkEnd w:id="2"/>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39F30F0"/>
    <w:rsid w:val="0AC8066A"/>
    <w:rsid w:val="115C1106"/>
    <w:rsid w:val="11C15DA9"/>
    <w:rsid w:val="12D42042"/>
    <w:rsid w:val="158242C4"/>
    <w:rsid w:val="170209AC"/>
    <w:rsid w:val="212958D0"/>
    <w:rsid w:val="22DA4E65"/>
    <w:rsid w:val="27B91ECD"/>
    <w:rsid w:val="28A032D3"/>
    <w:rsid w:val="2C3D76B5"/>
    <w:rsid w:val="2C6923FD"/>
    <w:rsid w:val="33810855"/>
    <w:rsid w:val="353C7B99"/>
    <w:rsid w:val="367D7888"/>
    <w:rsid w:val="3FDE4A4D"/>
    <w:rsid w:val="415A73C9"/>
    <w:rsid w:val="424D4810"/>
    <w:rsid w:val="42DD7A61"/>
    <w:rsid w:val="53BB5D38"/>
    <w:rsid w:val="54387631"/>
    <w:rsid w:val="582F4FA6"/>
    <w:rsid w:val="59BD0941"/>
    <w:rsid w:val="5BA84B60"/>
    <w:rsid w:val="5D224E6D"/>
    <w:rsid w:val="5FFB256E"/>
    <w:rsid w:val="63623A3E"/>
    <w:rsid w:val="6AF17C50"/>
    <w:rsid w:val="70B60DD1"/>
    <w:rsid w:val="72E10E16"/>
    <w:rsid w:val="750139B7"/>
    <w:rsid w:val="76BD4D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2024-03-21T02:26:56Z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