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19</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default" w:ascii="仿宋" w:hAnsi="仿宋" w:eastAsia="仿宋"/>
          <w:sz w:val="30"/>
          <w:szCs w:val="30"/>
          <w:lang w:val="en-US"/>
        </w:rPr>
      </w:pPr>
      <w:r>
        <w:rPr>
          <w:rFonts w:hint="eastAsia" w:ascii="仿宋" w:hAnsi="仿宋" w:eastAsia="仿宋"/>
          <w:sz w:val="30"/>
          <w:szCs w:val="30"/>
        </w:rPr>
        <w:t>项目名称：</w:t>
      </w:r>
      <w:r>
        <w:rPr>
          <w:rFonts w:hint="eastAsia" w:ascii="仿宋" w:hAnsi="仿宋" w:eastAsia="仿宋"/>
          <w:sz w:val="30"/>
          <w:szCs w:val="30"/>
          <w:u w:val="single"/>
          <w:lang w:eastAsia="zh-CN"/>
        </w:rPr>
        <w:t>光学玻璃切割备料委外加工项目</w:t>
      </w:r>
      <w:r>
        <w:rPr>
          <w:rFonts w:hint="eastAsia" w:ascii="仿宋" w:hAnsi="仿宋" w:eastAsia="仿宋"/>
          <w:sz w:val="30"/>
          <w:szCs w:val="30"/>
          <w:u w:val="single"/>
          <w:lang w:val="en-US" w:eastAsia="zh-CN"/>
        </w:rPr>
        <w:t>2024年度询价采购项目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lang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bCs w:val="0"/>
          <w:sz w:val="30"/>
          <w:szCs w:val="30"/>
          <w:u w:val="single"/>
          <w:lang w:eastAsia="zh-CN"/>
        </w:rPr>
        <w:t>光学玻璃切割备料委外加工项目2024年度询价采购项目</w:t>
      </w:r>
      <w:r>
        <w:rPr>
          <w:rFonts w:hint="eastAsia" w:ascii="仿宋" w:hAnsi="仿宋" w:eastAsia="仿宋"/>
          <w:bCs/>
          <w:sz w:val="30"/>
          <w:szCs w:val="30"/>
        </w:rPr>
        <w:t>面向社会实行集中比价公开采购。公司本着“公开、公平、公正”的原则和“互利共赢、共同发展”的理念，热忱欢迎有意愿与公司合作的潜在供应商积极参与</w:t>
      </w:r>
      <w:r>
        <w:rPr>
          <w:rFonts w:hint="eastAsia" w:ascii="仿宋" w:hAnsi="仿宋" w:eastAsia="仿宋"/>
          <w:bCs/>
          <w:sz w:val="30"/>
          <w:szCs w:val="30"/>
          <w:lang w:eastAsia="zh-CN"/>
        </w:rPr>
        <w:t>询价采购</w:t>
      </w:r>
      <w:r>
        <w:rPr>
          <w:rFonts w:hint="eastAsia" w:ascii="仿宋" w:hAnsi="仿宋" w:eastAsia="仿宋"/>
          <w:bCs/>
          <w:sz w:val="30"/>
          <w:szCs w:val="30"/>
        </w:rPr>
        <w:t>。</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300" w:firstLineChars="100"/>
        <w:rPr>
          <w:rFonts w:hint="eastAsia" w:ascii="仿宋" w:hAnsi="仿宋" w:eastAsia="仿宋"/>
          <w:bCs/>
          <w:sz w:val="30"/>
          <w:szCs w:val="30"/>
          <w:u w:val="single"/>
          <w:lang w:eastAsia="zh-CN"/>
        </w:rPr>
      </w:pPr>
      <w:r>
        <w:rPr>
          <w:rFonts w:hint="eastAsia" w:ascii="仿宋" w:hAnsi="仿宋" w:eastAsia="仿宋"/>
          <w:bCs/>
          <w:sz w:val="30"/>
          <w:szCs w:val="30"/>
        </w:rPr>
        <w:t>项目内容：</w:t>
      </w:r>
      <w:r>
        <w:rPr>
          <w:rFonts w:hint="eastAsia" w:ascii="仿宋" w:hAnsi="仿宋" w:eastAsia="仿宋"/>
          <w:bCs/>
          <w:sz w:val="30"/>
          <w:szCs w:val="30"/>
          <w:u w:val="single"/>
          <w:lang w:eastAsia="zh-CN"/>
        </w:rPr>
        <w:t>光学玻璃切割备料委外加工项目2024年度询价采购项目</w:t>
      </w:r>
    </w:p>
    <w:p>
      <w:pPr>
        <w:spacing w:line="560" w:lineRule="exact"/>
        <w:ind w:firstLine="300" w:firstLineChars="100"/>
        <w:rPr>
          <w:rFonts w:hint="eastAsia" w:ascii="仿宋" w:hAnsi="仿宋" w:eastAsia="仿宋"/>
          <w:bCs/>
          <w:sz w:val="30"/>
          <w:szCs w:val="30"/>
          <w:u w:val="single"/>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19</w:t>
      </w:r>
    </w:p>
    <w:p>
      <w:pPr>
        <w:spacing w:line="560" w:lineRule="exact"/>
        <w:ind w:firstLine="300" w:firstLineChars="100"/>
        <w:rPr>
          <w:rFonts w:hint="eastAsia" w:ascii="仿宋" w:hAnsi="仿宋" w:eastAsia="仿宋"/>
          <w:bCs/>
          <w:sz w:val="30"/>
          <w:szCs w:val="30"/>
          <w:u w:val="single"/>
          <w:lang w:val="en-US" w:eastAsia="zh-CN"/>
        </w:rPr>
      </w:pPr>
      <w:r>
        <w:rPr>
          <w:rFonts w:hint="eastAsia" w:ascii="仿宋" w:hAnsi="仿宋" w:eastAsia="仿宋"/>
          <w:bCs/>
          <w:sz w:val="30"/>
          <w:szCs w:val="30"/>
        </w:rPr>
        <w:t>备料加工要求：参照委托加工合同条款</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lang w:eastAsia="zh-CN"/>
        </w:rPr>
        <w:t>三</w:t>
      </w:r>
      <w:r>
        <w:rPr>
          <w:rFonts w:hint="eastAsia" w:ascii="黑体" w:hAnsi="黑体" w:eastAsia="黑体"/>
          <w:sz w:val="30"/>
          <w:szCs w:val="30"/>
        </w:rPr>
        <w:t>、询价采购公告时间：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29</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lang w:eastAsia="zh-CN"/>
        </w:rPr>
        <w:t>四</w:t>
      </w:r>
      <w:r>
        <w:rPr>
          <w:rFonts w:hint="eastAsia" w:ascii="黑体" w:hAnsi="黑体" w:eastAsia="黑体"/>
          <w:sz w:val="30"/>
          <w:szCs w:val="30"/>
        </w:rPr>
        <w:t>、询价采购公告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lang w:eastAsia="zh-CN"/>
        </w:rPr>
        <w:t>五</w:t>
      </w:r>
      <w:r>
        <w:rPr>
          <w:rFonts w:hint="eastAsia" w:ascii="黑体" w:hAnsi="黑体" w:eastAsia="黑体"/>
          <w:sz w:val="30"/>
          <w:szCs w:val="30"/>
        </w:rPr>
        <w:t>、报价文件接收信息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11</w:t>
      </w:r>
      <w:r>
        <w:rPr>
          <w:rFonts w:hint="eastAsia" w:ascii="仿宋" w:hAnsi="仿宋" w:eastAsia="仿宋"/>
          <w:sz w:val="30"/>
          <w:szCs w:val="30"/>
        </w:rPr>
        <w:t>日</w:t>
      </w:r>
      <w:r>
        <w:rPr>
          <w:rFonts w:hint="eastAsia" w:ascii="仿宋" w:hAnsi="仿宋" w:eastAsia="仿宋"/>
          <w:bCs/>
          <w:sz w:val="30"/>
          <w:szCs w:val="30"/>
          <w:lang w:val="en-US" w:eastAsia="zh-CN"/>
        </w:rPr>
        <w:t>09</w:t>
      </w:r>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11</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rPr>
          <w:rFonts w:hint="eastAsia" w:ascii="黑体" w:hAnsi="黑体" w:eastAsia="黑体"/>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lang w:eastAsia="zh-CN"/>
        </w:rPr>
        <w:t>六</w:t>
      </w:r>
      <w:r>
        <w:rPr>
          <w:rFonts w:hint="eastAsia" w:ascii="黑体" w:hAnsi="黑体" w:eastAsia="黑体"/>
          <w:sz w:val="30"/>
          <w:szCs w:val="30"/>
        </w:rPr>
        <w:t>、本次询价采购联系事项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二十九</w:t>
      </w:r>
      <w:r>
        <w:rPr>
          <w:rFonts w:hint="eastAsia" w:ascii="仿宋" w:hAnsi="仿宋" w:eastAsia="仿宋"/>
          <w:sz w:val="30"/>
          <w:szCs w:val="30"/>
        </w:rPr>
        <w:t>日</w:t>
      </w:r>
    </w:p>
    <w:p>
      <w:pPr>
        <w:spacing w:line="560" w:lineRule="exact"/>
        <w:ind w:firstLine="600" w:firstLineChars="200"/>
        <w:jc w:val="righ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lang w:eastAsia="zh-CN"/>
              </w:rPr>
              <w:t>☑</w:t>
            </w:r>
            <w:r>
              <w:rPr>
                <w:rFonts w:hint="eastAsia" w:ascii="仿宋" w:hAnsi="仿宋" w:eastAsia="仿宋"/>
                <w:sz w:val="28"/>
                <w:szCs w:val="28"/>
              </w:rPr>
              <w:t xml:space="preserve">不接受          </w:t>
            </w:r>
            <w:r>
              <w:rPr>
                <w:rFonts w:hint="eastAsia" w:ascii="MS Gothic" w:hAnsi="MS Gothic" w:eastAsia="宋体" w:cs="MS Gothic"/>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（四）评审小组经评审认为所有报价文件都不符合询价文件要求</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的。</w:t>
      </w:r>
    </w:p>
    <w:p>
      <w:pPr>
        <w:spacing w:line="560" w:lineRule="exact"/>
        <w:ind w:firstLine="600" w:firstLineChars="200"/>
        <w:rPr>
          <w:rFonts w:ascii="仿宋" w:hAnsi="仿宋" w:eastAsia="仿宋"/>
          <w:sz w:val="30"/>
          <w:szCs w:val="30"/>
        </w:rPr>
      </w:pPr>
      <w:bookmarkStart w:id="2" w:name="_Toc217446103"/>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ascii="宋体" w:hAnsi="宋体"/>
          <w:b/>
          <w:bCs/>
          <w:sz w:val="32"/>
          <w:szCs w:val="32"/>
        </w:rPr>
      </w:pPr>
      <w:r>
        <w:rPr>
          <w:rFonts w:hint="eastAsia" w:ascii="方正小标宋简体" w:hAnsi="宋体" w:eastAsia="方正小标宋简体"/>
          <w:b/>
          <w:bCs/>
          <w:sz w:val="36"/>
          <w:szCs w:val="36"/>
        </w:rPr>
        <w:t>第三部分 合同条款（范本）</w:t>
      </w:r>
    </w:p>
    <w:p>
      <w:pPr>
        <w:spacing w:line="540" w:lineRule="exact"/>
        <w:jc w:val="center"/>
        <w:rPr>
          <w:rFonts w:hint="eastAsia" w:ascii="宋体" w:hAnsi="宋体"/>
          <w:b/>
          <w:bCs/>
          <w:sz w:val="32"/>
          <w:szCs w:val="32"/>
        </w:rPr>
      </w:pPr>
    </w:p>
    <w:p>
      <w:pPr>
        <w:spacing w:line="540" w:lineRule="exact"/>
        <w:jc w:val="center"/>
        <w:rPr>
          <w:rFonts w:hint="eastAsia" w:ascii="仿宋_GB2312" w:hAnsi="仿宋_GB2312" w:eastAsia="仿宋_GB2312" w:cs="仿宋_GB2312"/>
          <w:b/>
          <w:bCs/>
          <w:sz w:val="30"/>
          <w:szCs w:val="30"/>
          <w:u w:val="single"/>
          <w:lang w:val="en-US" w:eastAsia="zh-CN"/>
        </w:rPr>
      </w:pPr>
      <w:r>
        <w:rPr>
          <w:rFonts w:hint="eastAsia" w:ascii="仿宋_GB2312" w:hAnsi="仿宋_GB2312" w:eastAsia="仿宋_GB2312" w:cs="仿宋_GB2312"/>
          <w:b/>
          <w:bCs/>
          <w:sz w:val="30"/>
          <w:szCs w:val="30"/>
        </w:rPr>
        <w:t>2024年度</w:t>
      </w:r>
      <w:r>
        <w:rPr>
          <w:rFonts w:hint="eastAsia" w:ascii="仿宋_GB2312" w:hAnsi="仿宋_GB2312" w:eastAsia="仿宋_GB2312" w:cs="仿宋_GB2312"/>
          <w:b/>
          <w:bCs/>
          <w:sz w:val="30"/>
          <w:szCs w:val="30"/>
          <w:u w:val="single"/>
          <w:lang w:eastAsia="zh-CN"/>
        </w:rPr>
        <w:t>光学玻璃切割备料委外加工项目</w:t>
      </w:r>
      <w:r>
        <w:rPr>
          <w:rFonts w:hint="eastAsia" w:ascii="仿宋_GB2312" w:hAnsi="仿宋_GB2312" w:eastAsia="仿宋_GB2312" w:cs="仿宋_GB2312"/>
          <w:b/>
          <w:bCs/>
          <w:sz w:val="30"/>
          <w:szCs w:val="30"/>
          <w:u w:val="single"/>
          <w:lang w:val="en-US" w:eastAsia="zh-CN"/>
        </w:rPr>
        <w:t xml:space="preserve"> </w:t>
      </w:r>
    </w:p>
    <w:p>
      <w:pPr>
        <w:spacing w:line="540" w:lineRule="exact"/>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eastAsia="zh-CN"/>
        </w:rPr>
        <w:t>委托加工</w:t>
      </w:r>
      <w:r>
        <w:rPr>
          <w:rFonts w:hint="eastAsia" w:ascii="仿宋_GB2312" w:hAnsi="仿宋_GB2312" w:eastAsia="仿宋_GB2312" w:cs="仿宋_GB2312"/>
          <w:b/>
          <w:bCs/>
          <w:sz w:val="30"/>
          <w:szCs w:val="30"/>
        </w:rPr>
        <w:t>合同</w:t>
      </w:r>
    </w:p>
    <w:p>
      <w:pPr>
        <w:spacing w:line="540" w:lineRule="exact"/>
        <w:jc w:val="center"/>
        <w:rPr>
          <w:rFonts w:ascii="宋体" w:hAnsi="宋体"/>
          <w:b/>
          <w:bCs/>
          <w:sz w:val="32"/>
          <w:szCs w:val="32"/>
        </w:rPr>
      </w:pPr>
    </w:p>
    <w:p>
      <w:pPr>
        <w:spacing w:line="36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委托方</w:t>
      </w:r>
      <w:r>
        <w:rPr>
          <w:rFonts w:hint="eastAsia" w:ascii="仿宋_GB2312" w:hAnsi="仿宋_GB2312" w:eastAsia="仿宋_GB2312" w:cs="仿宋_GB2312"/>
          <w:sz w:val="30"/>
          <w:szCs w:val="30"/>
        </w:rPr>
        <w:t>（甲方）：</w:t>
      </w:r>
      <w:r>
        <w:rPr>
          <w:rFonts w:hint="eastAsia" w:ascii="仿宋_GB2312" w:hAnsi="仿宋_GB2312" w:eastAsia="仿宋_GB2312" w:cs="仿宋_GB2312"/>
          <w:sz w:val="30"/>
          <w:szCs w:val="30"/>
          <w:u w:val="single"/>
          <w:lang w:eastAsia="zh-CN"/>
        </w:rPr>
        <w:t>南阳光明光电有限公司</w:t>
      </w:r>
      <w:r>
        <w:rPr>
          <w:rFonts w:hint="eastAsia" w:ascii="仿宋_GB2312" w:hAnsi="仿宋_GB2312" w:eastAsia="仿宋_GB2312" w:cs="仿宋_GB2312"/>
          <w:sz w:val="30"/>
          <w:szCs w:val="30"/>
        </w:rPr>
        <w:t xml:space="preserve"> 电话/传真:</w:t>
      </w:r>
      <w:r>
        <w:rPr>
          <w:rFonts w:hint="eastAsia" w:ascii="仿宋_GB2312" w:hAnsi="仿宋_GB2312" w:eastAsia="仿宋_GB2312" w:cs="仿宋_GB2312"/>
          <w:sz w:val="30"/>
          <w:szCs w:val="30"/>
          <w:lang w:eastAsia="zh-CN"/>
        </w:rPr>
        <w:t>0377-63873668</w:t>
      </w:r>
    </w:p>
    <w:p>
      <w:pPr>
        <w:spacing w:line="360" w:lineRule="auto"/>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lang w:eastAsia="zh-CN"/>
        </w:rPr>
        <w:t>受委托方</w:t>
      </w:r>
      <w:r>
        <w:rPr>
          <w:rFonts w:hint="eastAsia" w:ascii="仿宋_GB2312" w:hAnsi="仿宋_GB2312" w:eastAsia="仿宋_GB2312" w:cs="仿宋_GB2312"/>
          <w:sz w:val="30"/>
          <w:szCs w:val="30"/>
        </w:rPr>
        <w:t>（乙方）：</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电话/传真:</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p>
    <w:p>
      <w:pPr>
        <w:spacing w:line="36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合同签订日期：</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rPr>
        <w:t>合同编号:</w:t>
      </w:r>
      <w:r>
        <w:rPr>
          <w:rFonts w:hint="eastAsia" w:ascii="仿宋_GB2312" w:hAnsi="仿宋_GB2312" w:eastAsia="仿宋_GB2312" w:cs="仿宋_GB2312"/>
          <w:sz w:val="30"/>
          <w:szCs w:val="30"/>
          <w:u w:val="single"/>
        </w:rPr>
        <w:t xml:space="preserve">                   </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甲乙双方在自愿、平等互利和诚实信用的原则上，就甲方委托乙方进行</w:t>
      </w:r>
      <w:r>
        <w:rPr>
          <w:rFonts w:hint="eastAsia" w:ascii="仿宋_GB2312" w:hAnsi="仿宋_GB2312" w:eastAsia="仿宋_GB2312" w:cs="仿宋_GB2312"/>
          <w:b/>
          <w:sz w:val="30"/>
          <w:szCs w:val="30"/>
          <w:highlight w:val="none"/>
          <w:u w:val="single"/>
        </w:rPr>
        <w:t>光学玻璃条料断料、切割以及切割后料块称重分档等项目</w:t>
      </w:r>
      <w:r>
        <w:rPr>
          <w:rFonts w:hint="eastAsia" w:ascii="仿宋_GB2312" w:hAnsi="仿宋_GB2312" w:eastAsia="仿宋_GB2312" w:cs="仿宋_GB2312"/>
          <w:sz w:val="30"/>
          <w:szCs w:val="30"/>
          <w:highlight w:val="none"/>
        </w:rPr>
        <w:t>产品加工事宜，经协商一致，达成如下合同：</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b/>
          <w:sz w:val="30"/>
          <w:szCs w:val="30"/>
          <w:highlight w:val="none"/>
        </w:rPr>
        <w:t>一、甲方责任和义务</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（一）甲方负责向乙方发出《切割外协加工单》（附件1），并提供符合加工要求的指定光学玻璃原材料；</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（二）甲方负责向乙方提供与《外协备料加工订单》相对应的产品生产技术图纸（附2），包括但不限于工艺技术标准、产品质量标准等；</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（三）在乙方按甲方要求完成订单加工任务且交付后，经过甲方受入检合格，甲方应按合同约定对乙方加工费用进行结算。</w:t>
      </w:r>
    </w:p>
    <w:p>
      <w:pPr>
        <w:spacing w:line="500" w:lineRule="exact"/>
        <w:ind w:firstLine="480"/>
        <w:rPr>
          <w:rFonts w:hint="eastAsia" w:ascii="仿宋_GB2312" w:hAnsi="仿宋_GB2312" w:eastAsia="仿宋_GB2312" w:cs="仿宋_GB2312"/>
          <w:b/>
          <w:sz w:val="30"/>
          <w:szCs w:val="30"/>
          <w:highlight w:val="none"/>
        </w:rPr>
      </w:pPr>
      <w:r>
        <w:rPr>
          <w:rFonts w:hint="eastAsia" w:ascii="仿宋_GB2312" w:hAnsi="仿宋_GB2312" w:eastAsia="仿宋_GB2312" w:cs="仿宋_GB2312"/>
          <w:b/>
          <w:sz w:val="30"/>
          <w:szCs w:val="30"/>
          <w:highlight w:val="none"/>
        </w:rPr>
        <w:t>二、乙方责任与义务</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（一）乙方负责按照甲方《切割外协加工单》所对应提供的原材料至甲方指定的材料供应商（成都光明）处自提原材料；</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二）乙方在加工前，应对所提取的原材料及时（24小时内）进行受入检查，检查项包括但不限于尺寸规格、外观、重量复核等。若原材料出现上述异常，不符合加工的情况，乙方应及时进行现场取证（图片形式），并告知甲方，待甲方确认后，方可进行加工活动。若乙方未严格按要求履行受入检查或异常信息未及时告知传递，自行加工所造成的一切损失由乙方承担完全责任。</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（三）乙方负责按照甲方提供的产品生产技术图纸、工艺技术标准、产品质量标准进行加工，按质、按量、按期完成甲方委托加工任务。</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（四）乙方须负责做好生产现场物料管理、物流管理、过程产品标识管理、计量器具管理等工作，确保产品加工制程与质量稳定性。</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（五）乙方须负责确保产品加工过程中信息记录资料的真实性、完整性、准确性和有效性，并做好资料信息的整理归档工作，以备甲方调阅。乙方不得私自伪造、串改、涂改信息记录。</w:t>
      </w:r>
    </w:p>
    <w:p>
      <w:pPr>
        <w:spacing w:line="500" w:lineRule="exact"/>
        <w:ind w:firstLine="480"/>
        <w:rPr>
          <w:rFonts w:hint="eastAsia" w:ascii="仿宋_GB2312" w:hAnsi="仿宋_GB2312" w:eastAsia="仿宋_GB2312" w:cs="仿宋_GB2312"/>
          <w:color w:val="0000FF"/>
          <w:sz w:val="30"/>
          <w:szCs w:val="30"/>
          <w:highlight w:val="none"/>
        </w:rPr>
      </w:pPr>
      <w:r>
        <w:rPr>
          <w:rFonts w:hint="eastAsia" w:ascii="仿宋_GB2312" w:hAnsi="仿宋_GB2312" w:eastAsia="仿宋_GB2312" w:cs="仿宋_GB2312"/>
          <w:sz w:val="30"/>
          <w:szCs w:val="30"/>
          <w:highlight w:val="none"/>
        </w:rPr>
        <w:t>（六）乙方应积极配合甲方或甲方委托方进行生产现场工程监察，对乙方出现不符合本条第四款、第五款要求的情况，甲方有权责成乙方进行整改，情节特别严重的，甲方有权取消乙方供应商资格</w:t>
      </w:r>
      <w:r>
        <w:rPr>
          <w:rFonts w:hint="eastAsia" w:ascii="仿宋_GB2312" w:hAnsi="仿宋_GB2312" w:eastAsia="仿宋_GB2312" w:cs="仿宋_GB2312"/>
          <w:color w:val="auto"/>
          <w:sz w:val="30"/>
          <w:szCs w:val="30"/>
          <w:highlight w:val="none"/>
        </w:rPr>
        <w:t>，并一次性扣罚乙方10～20%合同风险抵押金。</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（七）乙方对甲方提供的图纸、技术、质量文件资料负完全保密责任，不得将相关资料泄露给任何三方。一经查实，甲方有权取消乙方供应商资格，并一次性扣罚乙方100%合同风险抵押金。</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（八）未经甲方同意，乙方不得将本合同各项目产品委托第三方加工。若违反本条约定，乙方承担完全责任。同时，该加工项目发生的加工费由乙方全额承担，且甲方有权一次性扣罚乙方100%合同风险抵押金。</w:t>
      </w:r>
    </w:p>
    <w:p>
      <w:pPr>
        <w:spacing w:line="500" w:lineRule="exact"/>
        <w:ind w:firstLine="600" w:firstLineChars="200"/>
        <w:rPr>
          <w:rFonts w:hint="eastAsia" w:ascii="仿宋_GB2312" w:hAnsi="仿宋_GB2312" w:eastAsia="仿宋_GB2312" w:cs="仿宋_GB2312"/>
          <w:b/>
          <w:sz w:val="30"/>
          <w:szCs w:val="30"/>
          <w:highlight w:val="none"/>
        </w:rPr>
      </w:pPr>
      <w:r>
        <w:rPr>
          <w:rFonts w:hint="eastAsia" w:ascii="仿宋_GB2312" w:hAnsi="仿宋_GB2312" w:eastAsia="仿宋_GB2312" w:cs="仿宋_GB2312"/>
          <w:b/>
          <w:sz w:val="30"/>
          <w:szCs w:val="30"/>
          <w:highlight w:val="none"/>
        </w:rPr>
        <w:t>三、产品交付、加工能力、包装发货、运输方式、产品验收要求</w:t>
      </w:r>
    </w:p>
    <w:p>
      <w:pPr>
        <w:pStyle w:val="36"/>
        <w:numPr>
          <w:ilvl w:val="0"/>
          <w:numId w:val="1"/>
        </w:numPr>
        <w:spacing w:line="500" w:lineRule="exact"/>
        <w:ind w:firstLineChars="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产品交付</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1.经甲乙双方协商，产品交付以《外协备料加工订单》注明时间为准。甲乙任何其中一方须提前或延期交付的，须重新事先达成一致，并按新约定交付时间执行。</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（二）加工能力</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合同履行期间，乙方做好相应产能配备，确保供货能力，不得单方面发生中途不接单情况，影响甲方正常生产。若因不可抗力情况，乙方也须提前至少一个月告知甲方。若出现上述异常，甲方有权一次性扣罚乙方100%合同风险抵押金。</w:t>
      </w:r>
    </w:p>
    <w:p>
      <w:pPr>
        <w:spacing w:line="500" w:lineRule="exact"/>
        <w:ind w:left="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（三）包装发货</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乙方须根据产品特性，合理采取包装保护措施。若造成产品损失，甲方有权根据实际损失价值扣抵该加工项目加工费，超出加工费部分，从乙方合同风险抵押金中扣减。属物流原因造成，甲方可协助拍照取证，由乙方自行进行追责。</w:t>
      </w:r>
    </w:p>
    <w:p>
      <w:pPr>
        <w:spacing w:line="500" w:lineRule="exact"/>
        <w:ind w:firstLine="48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sz w:val="30"/>
          <w:szCs w:val="30"/>
          <w:highlight w:val="none"/>
        </w:rPr>
        <w:t>2</w:t>
      </w:r>
      <w:r>
        <w:rPr>
          <w:rFonts w:hint="eastAsia" w:ascii="仿宋_GB2312" w:hAnsi="仿宋_GB2312" w:eastAsia="仿宋_GB2312" w:cs="仿宋_GB2312"/>
          <w:color w:val="auto"/>
          <w:sz w:val="30"/>
          <w:szCs w:val="30"/>
          <w:highlight w:val="none"/>
        </w:rPr>
        <w:t>.乙方发货时，需将发货数量及发货单号告知甲方。该项目加工备料产品须填写“外协备料验收记录”（附3），并随货物一同发出或以电子邮件形式发送给甲方。若遗漏、填写不规范，甲方有权扣减乙方该加工项目200元加工费用。</w:t>
      </w:r>
    </w:p>
    <w:p>
      <w:pPr>
        <w:spacing w:line="500" w:lineRule="exact"/>
        <w:ind w:firstLine="48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3.乙方所加工产品包装须按甲方包装要求执行，具体详见（附4）。若未按包装要求执行，甲方有权扣减乙方该加工项目200元加工费用。</w:t>
      </w:r>
    </w:p>
    <w:p>
      <w:pPr>
        <w:spacing w:line="500" w:lineRule="exact"/>
        <w:ind w:firstLine="60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（四）运输方式</w:t>
      </w:r>
    </w:p>
    <w:p>
      <w:pPr>
        <w:spacing w:line="500" w:lineRule="exact"/>
        <w:ind w:firstLine="60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1.委托加工材料由乙方上门自提。运费及运输途中的一切风险由乙方承担。</w:t>
      </w:r>
    </w:p>
    <w:p>
      <w:pPr>
        <w:spacing w:line="500" w:lineRule="exact"/>
        <w:ind w:firstLine="60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2.</w:t>
      </w:r>
      <w:r>
        <w:rPr>
          <w:rFonts w:hint="eastAsia" w:ascii="仿宋_GB2312" w:hAnsi="仿宋_GB2312" w:eastAsia="仿宋_GB2312" w:cs="仿宋_GB2312"/>
          <w:color w:val="auto"/>
          <w:sz w:val="30"/>
          <w:szCs w:val="30"/>
          <w:highlight w:val="none"/>
        </w:rPr>
        <w:t>加工完工产品交付至甲方生产现场。运费及运输途中的一切风险由乙方承担。</w:t>
      </w:r>
    </w:p>
    <w:p>
      <w:pPr>
        <w:spacing w:line="500" w:lineRule="exact"/>
        <w:ind w:left="48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（五）产品验收</w:t>
      </w:r>
    </w:p>
    <w:p>
      <w:pPr>
        <w:spacing w:line="500" w:lineRule="exact"/>
        <w:ind w:firstLine="48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乙方该项目订单加工完工后，须严格按甲方要求将合格品、不良品、玻渣各自分开并同时发回，且该项目加工产品重量与原材料发料重量差额不得超过1%（1%及以下为自然损耗不计）。重量差额每超1%（不足1个百分点进行折算），甲方有权按照加工此件号原材料价值总额的0.5%~1%扣罚加工费，以此类推。超出加工费部分，从乙方合同风险抵押金中扣减。</w:t>
      </w:r>
    </w:p>
    <w:p>
      <w:pPr>
        <w:spacing w:line="500" w:lineRule="exact"/>
        <w:ind w:firstLine="48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 备料产品料型须符合甲方提供的生产技术图纸标准。</w:t>
      </w:r>
    </w:p>
    <w:p>
      <w:pPr>
        <w:spacing w:line="500" w:lineRule="exact"/>
        <w:ind w:firstLine="48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2.1因乙方备料未按甲方提供的生产技术图纸标准执行，造成甲方无法投料使用的，甲方有权向乙方按照原材料价值原值提起索赔。</w:t>
      </w:r>
    </w:p>
    <w:p>
      <w:pPr>
        <w:spacing w:line="500" w:lineRule="exact"/>
        <w:ind w:firstLine="48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2.2因上述情况发生，给甲方造成纳期损失的，甲方有权一次性扣罚乙方20%合同风险抵押金；</w:t>
      </w:r>
    </w:p>
    <w:p>
      <w:pPr>
        <w:spacing w:line="500" w:lineRule="exact"/>
        <w:ind w:firstLine="60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3.需乙方称重分选的加工产品，若甲方在受入检时查实分档不准确，须由甲方返工的，甲方除有权拒绝支付该项目中称重分选加工费。</w:t>
      </w:r>
    </w:p>
    <w:p>
      <w:pPr>
        <w:spacing w:line="500" w:lineRule="exact"/>
        <w:ind w:firstLine="60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4.委托加工项目产品品质受入检按照南阳光明质检标准执行。</w:t>
      </w:r>
    </w:p>
    <w:p>
      <w:pPr>
        <w:spacing w:line="500" w:lineRule="exact"/>
        <w:ind w:firstLine="600" w:firstLineChars="200"/>
        <w:rPr>
          <w:rFonts w:hint="eastAsia" w:ascii="仿宋_GB2312" w:hAnsi="仿宋_GB2312" w:eastAsia="仿宋_GB2312" w:cs="仿宋_GB2312"/>
          <w:b/>
          <w:color w:val="auto"/>
          <w:sz w:val="30"/>
          <w:szCs w:val="30"/>
          <w:highlight w:val="none"/>
        </w:rPr>
      </w:pPr>
      <w:r>
        <w:rPr>
          <w:rFonts w:hint="eastAsia" w:ascii="仿宋_GB2312" w:hAnsi="仿宋_GB2312" w:eastAsia="仿宋_GB2312" w:cs="仿宋_GB2312"/>
          <w:b/>
          <w:color w:val="auto"/>
          <w:sz w:val="30"/>
          <w:szCs w:val="30"/>
          <w:highlight w:val="none"/>
        </w:rPr>
        <w:t>四、委托加工费用标准</w:t>
      </w:r>
    </w:p>
    <w:p>
      <w:pPr>
        <w:spacing w:line="500" w:lineRule="exact"/>
        <w:ind w:firstLine="60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（一）基准单价标准（含税价）</w:t>
      </w:r>
    </w:p>
    <w:tbl>
      <w:tblPr>
        <w:tblStyle w:val="15"/>
        <w:tblW w:w="6506" w:type="dxa"/>
        <w:jc w:val="center"/>
        <w:tblLayout w:type="fixed"/>
        <w:tblCellMar>
          <w:top w:w="0" w:type="dxa"/>
          <w:left w:w="108" w:type="dxa"/>
          <w:bottom w:w="0" w:type="dxa"/>
          <w:right w:w="108" w:type="dxa"/>
        </w:tblCellMar>
      </w:tblPr>
      <w:tblGrid>
        <w:gridCol w:w="1660"/>
        <w:gridCol w:w="2966"/>
        <w:gridCol w:w="1880"/>
      </w:tblGrid>
      <w:tr>
        <w:tblPrEx>
          <w:tblCellMar>
            <w:top w:w="0" w:type="dxa"/>
            <w:left w:w="108" w:type="dxa"/>
            <w:bottom w:w="0" w:type="dxa"/>
            <w:right w:w="108" w:type="dxa"/>
          </w:tblCellMar>
        </w:tblPrEx>
        <w:trPr>
          <w:trHeight w:val="309" w:hRule="atLeast"/>
          <w:jc w:val="center"/>
        </w:trPr>
        <w:tc>
          <w:tcPr>
            <w:tcW w:w="166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切割重量（g）</w:t>
            </w: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切割方式</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考核良率94%</w:t>
            </w:r>
          </w:p>
        </w:tc>
      </w:tr>
      <w:tr>
        <w:tblPrEx>
          <w:tblCellMar>
            <w:top w:w="0" w:type="dxa"/>
            <w:left w:w="108" w:type="dxa"/>
            <w:bottom w:w="0" w:type="dxa"/>
            <w:right w:w="108" w:type="dxa"/>
          </w:tblCellMar>
        </w:tblPrEx>
        <w:trPr>
          <w:trHeight w:val="315" w:hRule="atLeast"/>
          <w:jc w:val="center"/>
        </w:trPr>
        <w:tc>
          <w:tcPr>
            <w:tcW w:w="1660"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rPr>
            </w:pPr>
            <w:r>
              <w:rPr>
                <w:rFonts w:hint="eastAsia" w:ascii="仿宋_GB2312" w:hAnsi="仿宋_GB2312" w:eastAsia="仿宋_GB2312" w:cs="仿宋_GB2312"/>
                <w:color w:val="auto"/>
                <w:kern w:val="0"/>
                <w:sz w:val="30"/>
                <w:szCs w:val="30"/>
                <w:highlight w:val="none"/>
              </w:rPr>
              <w:t>≤</w:t>
            </w:r>
            <w:r>
              <w:rPr>
                <w:rFonts w:hint="eastAsia" w:ascii="仿宋_GB2312" w:hAnsi="仿宋_GB2312" w:eastAsia="仿宋_GB2312" w:cs="仿宋_GB2312"/>
                <w:color w:val="auto"/>
                <w:kern w:val="0"/>
                <w:sz w:val="30"/>
                <w:szCs w:val="30"/>
                <w:highlight w:val="none"/>
                <w:lang w:val="en-US" w:eastAsia="zh-CN"/>
              </w:rPr>
              <w:t>3g</w:t>
            </w: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正常备料</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1剖2</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1剖4</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1剖8</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rPr>
            </w:pPr>
            <w:r>
              <w:rPr>
                <w:rFonts w:hint="eastAsia" w:ascii="仿宋_GB2312" w:hAnsi="仿宋_GB2312" w:eastAsia="仿宋_GB2312" w:cs="仿宋_GB2312"/>
                <w:color w:val="auto"/>
                <w:kern w:val="0"/>
                <w:sz w:val="30"/>
                <w:szCs w:val="30"/>
                <w:highlight w:val="none"/>
                <w:lang w:val="en-US" w:eastAsia="zh-CN"/>
              </w:rPr>
              <w:t>3.01-6g</w:t>
            </w: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正常备料</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1剖2</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1剖4</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1剖8</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lang w:val="en-US" w:eastAsia="zh-CN"/>
              </w:rPr>
            </w:pPr>
            <w:r>
              <w:rPr>
                <w:rFonts w:hint="eastAsia" w:ascii="仿宋_GB2312" w:hAnsi="仿宋_GB2312" w:eastAsia="仿宋_GB2312" w:cs="仿宋_GB2312"/>
                <w:color w:val="auto"/>
                <w:kern w:val="0"/>
                <w:sz w:val="30"/>
                <w:szCs w:val="30"/>
                <w:highlight w:val="none"/>
                <w:lang w:val="en-US" w:eastAsia="zh-CN"/>
              </w:rPr>
              <w:t>6.01-10g</w:t>
            </w: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rPr>
              <w:t>正常备料</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rPr>
              <w:t>1剖2</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rPr>
              <w:t>1剖4</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rPr>
              <w:t>1剖8</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lang w:val="en-US" w:eastAsia="zh-CN"/>
              </w:rPr>
            </w:pPr>
            <w:r>
              <w:rPr>
                <w:rFonts w:hint="eastAsia" w:ascii="仿宋_GB2312" w:hAnsi="仿宋_GB2312" w:eastAsia="仿宋_GB2312" w:cs="仿宋_GB2312"/>
                <w:color w:val="auto"/>
                <w:kern w:val="0"/>
                <w:sz w:val="30"/>
                <w:szCs w:val="30"/>
                <w:highlight w:val="none"/>
                <w:lang w:val="en-US" w:eastAsia="zh-CN"/>
              </w:rPr>
              <w:t>10.01-15</w:t>
            </w: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rPr>
              <w:t>正常备料</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rPr>
              <w:t>1剖2</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rPr>
              <w:t>1剖4</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rPr>
              <w:t>1剖8</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lang w:val="en-US" w:eastAsia="zh-CN"/>
              </w:rPr>
            </w:pPr>
            <w:r>
              <w:rPr>
                <w:rFonts w:hint="eastAsia" w:ascii="仿宋_GB2312" w:hAnsi="仿宋_GB2312" w:eastAsia="仿宋_GB2312" w:cs="仿宋_GB2312"/>
                <w:color w:val="auto"/>
                <w:kern w:val="0"/>
                <w:sz w:val="30"/>
                <w:szCs w:val="30"/>
                <w:highlight w:val="none"/>
                <w:lang w:val="en-US" w:eastAsia="zh-CN"/>
              </w:rPr>
              <w:t>15.01-21</w:t>
            </w: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rPr>
              <w:t>正常备料</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r>
        <w:tblPrEx>
          <w:tblCellMar>
            <w:top w:w="0" w:type="dxa"/>
            <w:left w:w="108" w:type="dxa"/>
            <w:bottom w:w="0" w:type="dxa"/>
            <w:right w:w="108" w:type="dxa"/>
          </w:tblCellMar>
        </w:tblPrEx>
        <w:trPr>
          <w:trHeight w:val="315" w:hRule="atLeast"/>
          <w:jc w:val="center"/>
        </w:trPr>
        <w:tc>
          <w:tcPr>
            <w:tcW w:w="16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auto"/>
                <w:kern w:val="0"/>
                <w:sz w:val="30"/>
                <w:szCs w:val="30"/>
                <w:highlight w:val="none"/>
              </w:rPr>
            </w:pPr>
          </w:p>
        </w:tc>
        <w:tc>
          <w:tcPr>
            <w:tcW w:w="296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rPr>
              <w:t>1剖2</w:t>
            </w:r>
          </w:p>
        </w:tc>
        <w:tc>
          <w:tcPr>
            <w:tcW w:w="188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auto"/>
                <w:kern w:val="0"/>
                <w:sz w:val="30"/>
                <w:szCs w:val="30"/>
                <w:highlight w:val="none"/>
              </w:rPr>
            </w:pPr>
          </w:p>
        </w:tc>
      </w:tr>
    </w:tbl>
    <w:p>
      <w:pPr>
        <w:spacing w:line="500" w:lineRule="exact"/>
        <w:ind w:firstLine="1350" w:firstLineChars="45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注：需要进行分选的产品，在考核单价基础上增加（     ）元</w:t>
      </w:r>
    </w:p>
    <w:p>
      <w:pPr>
        <w:tabs>
          <w:tab w:val="left" w:pos="851"/>
          <w:tab w:val="left" w:pos="993"/>
        </w:tabs>
        <w:ind w:firstLine="450" w:firstLineChars="15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（二）良率考核。</w:t>
      </w:r>
    </w:p>
    <w:p>
      <w:pPr>
        <w:tabs>
          <w:tab w:val="left" w:pos="851"/>
          <w:tab w:val="left" w:pos="993"/>
        </w:tabs>
        <w:ind w:firstLine="450" w:firstLineChars="15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 以上每款产品良品率超标准1%，加工单价增加5%；良品率超标准2%，加工单价增加10%。以此累加，比例不得超过30%。</w:t>
      </w:r>
    </w:p>
    <w:p>
      <w:pPr>
        <w:tabs>
          <w:tab w:val="left" w:pos="851"/>
          <w:tab w:val="left" w:pos="993"/>
        </w:tabs>
        <w:ind w:firstLine="450" w:firstLineChars="15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 良品率低于考核标准1%，加工单价下调5%；低于考核标准2%，加工单价下调10%。如良品率低于92%，则加工单价下调10%，同时以92%良率与实际良率差额作为材料损耗占比，按照原材料损耗等额价值进行扣减。</w:t>
      </w:r>
    </w:p>
    <w:p>
      <w:pPr>
        <w:spacing w:line="440" w:lineRule="exact"/>
        <w:ind w:firstLine="600" w:firstLineChars="200"/>
        <w:rPr>
          <w:rFonts w:hint="eastAsia" w:ascii="仿宋_GB2312" w:hAnsi="仿宋_GB2312" w:eastAsia="仿宋_GB2312" w:cs="仿宋_GB2312"/>
          <w:b/>
          <w:color w:val="auto"/>
          <w:sz w:val="30"/>
          <w:szCs w:val="30"/>
          <w:highlight w:val="none"/>
        </w:rPr>
      </w:pPr>
      <w:r>
        <w:rPr>
          <w:rFonts w:hint="eastAsia" w:ascii="仿宋_GB2312" w:hAnsi="仿宋_GB2312" w:eastAsia="仿宋_GB2312" w:cs="仿宋_GB2312"/>
          <w:b/>
          <w:color w:val="auto"/>
          <w:sz w:val="30"/>
          <w:szCs w:val="30"/>
          <w:highlight w:val="none"/>
        </w:rPr>
        <w:t>五、违约责任</w:t>
      </w:r>
    </w:p>
    <w:p>
      <w:pPr>
        <w:spacing w:line="440" w:lineRule="exact"/>
        <w:ind w:firstLine="60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（一）甲方违约责任</w:t>
      </w:r>
    </w:p>
    <w:p>
      <w:pPr>
        <w:spacing w:line="440" w:lineRule="exact"/>
        <w:ind w:firstLine="60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甲方中途提出变更加工项目产品的工艺技术标准，给乙方造成客观损失的，经甲乙双方协商一致后，由甲方承担补偿费用。</w:t>
      </w:r>
    </w:p>
    <w:p>
      <w:pPr>
        <w:spacing w:line="440" w:lineRule="exact"/>
        <w:ind w:firstLine="60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（二）乙方违约责任</w:t>
      </w:r>
    </w:p>
    <w:p>
      <w:pPr>
        <w:spacing w:line="440" w:lineRule="exact"/>
        <w:ind w:firstLine="48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乙方承诺为甲方所进行的各项目产品加工活动，均使用甲方指定的光学玻璃原材料。若乙方私自使用其他第三方原材料，视为重大违约。甲方除有权全额扣罚乙方本项目产品加工费，并有权取消乙方供应商资格。同时，乙方承诺向甲方一次性赔偿</w:t>
      </w:r>
      <w:r>
        <w:rPr>
          <w:rFonts w:hint="eastAsia" w:ascii="仿宋_GB2312" w:hAnsi="仿宋_GB2312" w:eastAsia="仿宋_GB2312" w:cs="仿宋_GB2312"/>
          <w:color w:val="auto"/>
          <w:sz w:val="30"/>
          <w:szCs w:val="30"/>
          <w:highlight w:val="none"/>
          <w:u w:val="single"/>
        </w:rPr>
        <w:t>贰拾万圆</w:t>
      </w:r>
      <w:r>
        <w:rPr>
          <w:rFonts w:hint="eastAsia" w:ascii="仿宋_GB2312" w:hAnsi="仿宋_GB2312" w:eastAsia="仿宋_GB2312" w:cs="仿宋_GB2312"/>
          <w:color w:val="auto"/>
          <w:sz w:val="30"/>
          <w:szCs w:val="30"/>
          <w:highlight w:val="none"/>
        </w:rPr>
        <w:t>人民币，若甲方指定使用的原材料价值原值大于本赔偿额额，按原材料价值原值标准进行赔偿。</w:t>
      </w:r>
    </w:p>
    <w:p>
      <w:pPr>
        <w:spacing w:line="440" w:lineRule="exact"/>
        <w:ind w:firstLine="48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color w:val="auto"/>
          <w:sz w:val="30"/>
          <w:szCs w:val="30"/>
          <w:highlight w:val="none"/>
        </w:rPr>
        <w:t>2.乙方承诺按照本合同第二条第四款标准开展工作，严格做好各项内控管理工作，杜绝混材质量事故发生。若乙方向甲方所提供的加工项目产品出现混</w:t>
      </w:r>
      <w:r>
        <w:rPr>
          <w:rFonts w:hint="eastAsia" w:ascii="仿宋_GB2312" w:hAnsi="仿宋_GB2312" w:eastAsia="仿宋_GB2312" w:cs="仿宋_GB2312"/>
          <w:sz w:val="30"/>
          <w:szCs w:val="30"/>
          <w:highlight w:val="none"/>
        </w:rPr>
        <w:t>材事故，乙方承担赔偿责任。</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2.1经甲方受入检（UV检测或ND抽样检测或退火验证）查实每单批次加工项目产品出现一次混材事故（可逆性），扣减该加工项目</w:t>
      </w:r>
      <w:r>
        <w:rPr>
          <w:rFonts w:hint="eastAsia" w:ascii="仿宋_GB2312" w:hAnsi="仿宋_GB2312" w:eastAsia="仿宋_GB2312" w:cs="仿宋_GB2312"/>
          <w:color w:val="000000"/>
          <w:sz w:val="30"/>
          <w:szCs w:val="30"/>
          <w:highlight w:val="none"/>
        </w:rPr>
        <w:t>5%～10%</w:t>
      </w:r>
      <w:r>
        <w:rPr>
          <w:rFonts w:hint="eastAsia" w:ascii="仿宋_GB2312" w:hAnsi="仿宋_GB2312" w:eastAsia="仿宋_GB2312" w:cs="仿宋_GB2312"/>
          <w:sz w:val="30"/>
          <w:szCs w:val="30"/>
          <w:highlight w:val="none"/>
        </w:rPr>
        <w:t>加工费。</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2.2若出现乙方交付该单批次加工项目产品出现不可逆性（ND检测混料，UV检测无色差且重量无法区分）混材料事故，则由乙方承担完全赔偿责任，按该批次产品原材料价值总额赔偿。</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2.3年度内累计出现3次及以上混材事故的，甲方有权取消乙方供应商资格，并一次性扣罚乙方100%合同风险抵押金。</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3.乙方须严格按照本合同第三条第一款约定履行产品交付。每逾期一天甲方有权扣减该加工项目5%加工费。年度内累计出现3次及以上交付未按约定执行的，甲方有权取消乙方供应商资格，并一次性扣罚乙方100%合同风险抵押金。</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4. 乙方须加强光学玻璃原材料安全性管理工作。若因乙方存储不当，致使甲方所提供的光学玻璃原材料毁损，灭失的，由乙方全额承担赔偿责任。</w:t>
      </w:r>
    </w:p>
    <w:p>
      <w:pPr>
        <w:spacing w:line="440" w:lineRule="exact"/>
        <w:ind w:firstLine="600" w:firstLineChars="200"/>
        <w:rPr>
          <w:rFonts w:hint="eastAsia" w:ascii="仿宋_GB2312" w:hAnsi="仿宋_GB2312" w:eastAsia="仿宋_GB2312" w:cs="仿宋_GB2312"/>
          <w:b/>
          <w:sz w:val="30"/>
          <w:szCs w:val="30"/>
          <w:highlight w:val="none"/>
        </w:rPr>
      </w:pPr>
      <w:r>
        <w:rPr>
          <w:rFonts w:hint="eastAsia" w:ascii="仿宋_GB2312" w:hAnsi="仿宋_GB2312" w:eastAsia="仿宋_GB2312" w:cs="仿宋_GB2312"/>
          <w:b/>
          <w:sz w:val="30"/>
          <w:szCs w:val="30"/>
          <w:highlight w:val="none"/>
        </w:rPr>
        <w:t>六、付款方式</w:t>
      </w:r>
    </w:p>
    <w:p>
      <w:pPr>
        <w:spacing w:line="440" w:lineRule="exact"/>
        <w:ind w:left="105" w:firstLine="450" w:firstLineChars="150"/>
        <w:rPr>
          <w:rFonts w:hint="eastAsia" w:ascii="仿宋_GB2312" w:hAnsi="仿宋_GB2312" w:eastAsia="仿宋_GB2312" w:cs="仿宋_GB2312"/>
          <w:color w:val="000000"/>
          <w:kern w:val="0"/>
          <w:sz w:val="30"/>
          <w:szCs w:val="30"/>
          <w:highlight w:val="none"/>
        </w:rPr>
      </w:pPr>
      <w:r>
        <w:rPr>
          <w:rFonts w:hint="eastAsia" w:ascii="仿宋_GB2312" w:hAnsi="仿宋_GB2312" w:eastAsia="仿宋_GB2312" w:cs="仿宋_GB2312"/>
          <w:color w:val="000000"/>
          <w:sz w:val="30"/>
          <w:szCs w:val="30"/>
          <w:highlight w:val="none"/>
        </w:rPr>
        <w:t>1.该项目产品加工交付（分批次交付亦同）结束后，</w:t>
      </w:r>
      <w:r>
        <w:rPr>
          <w:rFonts w:hint="eastAsia" w:ascii="仿宋_GB2312" w:hAnsi="仿宋_GB2312" w:eastAsia="仿宋_GB2312" w:cs="仿宋_GB2312"/>
          <w:color w:val="000000"/>
          <w:kern w:val="0"/>
          <w:sz w:val="30"/>
          <w:szCs w:val="30"/>
          <w:highlight w:val="none"/>
        </w:rPr>
        <w:t>经甲方产品验收合格，甲乙双方对帐无误后，乙方在</w:t>
      </w:r>
      <w:r>
        <w:rPr>
          <w:rFonts w:hint="eastAsia" w:ascii="仿宋_GB2312" w:hAnsi="仿宋_GB2312" w:eastAsia="仿宋_GB2312" w:cs="仿宋_GB2312"/>
          <w:color w:val="000000"/>
          <w:sz w:val="30"/>
          <w:szCs w:val="30"/>
          <w:highlight w:val="none"/>
        </w:rPr>
        <w:t>10个工作日内</w:t>
      </w:r>
      <w:r>
        <w:rPr>
          <w:rFonts w:hint="eastAsia" w:ascii="仿宋_GB2312" w:hAnsi="仿宋_GB2312" w:eastAsia="仿宋_GB2312" w:cs="仿宋_GB2312"/>
          <w:color w:val="000000"/>
          <w:kern w:val="0"/>
          <w:sz w:val="30"/>
          <w:szCs w:val="30"/>
          <w:highlight w:val="none"/>
        </w:rPr>
        <w:t>足额开具发票到甲方，甲方收到发票60日内付款。</w:t>
      </w:r>
    </w:p>
    <w:p>
      <w:pPr>
        <w:spacing w:line="440" w:lineRule="exact"/>
        <w:ind w:left="119" w:leftChars="57" w:firstLine="450" w:firstLineChars="150"/>
        <w:rPr>
          <w:rFonts w:hint="eastAsia" w:ascii="仿宋_GB2312" w:hAnsi="仿宋_GB2312" w:eastAsia="仿宋_GB2312" w:cs="仿宋_GB2312"/>
          <w:bCs/>
          <w:color w:val="000000"/>
          <w:sz w:val="30"/>
          <w:szCs w:val="30"/>
          <w:highlight w:val="none"/>
        </w:rPr>
      </w:pPr>
      <w:r>
        <w:rPr>
          <w:rFonts w:hint="eastAsia" w:ascii="仿宋_GB2312" w:hAnsi="仿宋_GB2312" w:eastAsia="仿宋_GB2312" w:cs="仿宋_GB2312"/>
          <w:color w:val="000000"/>
          <w:sz w:val="30"/>
          <w:szCs w:val="30"/>
          <w:highlight w:val="none"/>
        </w:rPr>
        <w:t>2.</w:t>
      </w:r>
      <w:r>
        <w:rPr>
          <w:rFonts w:hint="eastAsia" w:ascii="仿宋_GB2312" w:hAnsi="仿宋_GB2312" w:eastAsia="仿宋_GB2312" w:cs="仿宋_GB2312"/>
          <w:bCs/>
          <w:color w:val="000000"/>
          <w:sz w:val="30"/>
          <w:szCs w:val="30"/>
          <w:highlight w:val="none"/>
        </w:rPr>
        <w:t>乙方须开具增值税专用发票（税率13%）。若乙方所开具的发票不符合税率要求，给甲方造成的税率抵扣损失由乙方全额承担。</w:t>
      </w:r>
    </w:p>
    <w:p>
      <w:pPr>
        <w:spacing w:line="440" w:lineRule="exact"/>
        <w:ind w:firstLine="600" w:firstLineChars="200"/>
        <w:rPr>
          <w:rFonts w:hint="eastAsia" w:ascii="仿宋_GB2312" w:hAnsi="仿宋_GB2312" w:eastAsia="仿宋_GB2312" w:cs="仿宋_GB2312"/>
          <w:b/>
          <w:sz w:val="30"/>
          <w:szCs w:val="30"/>
          <w:highlight w:val="none"/>
        </w:rPr>
      </w:pPr>
      <w:r>
        <w:rPr>
          <w:rFonts w:hint="eastAsia" w:ascii="仿宋_GB2312" w:hAnsi="仿宋_GB2312" w:eastAsia="仿宋_GB2312" w:cs="仿宋_GB2312"/>
          <w:b/>
          <w:sz w:val="30"/>
          <w:szCs w:val="30"/>
          <w:highlight w:val="none"/>
        </w:rPr>
        <w:t>七、合同期限</w:t>
      </w:r>
    </w:p>
    <w:p>
      <w:pPr>
        <w:spacing w:line="44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202</w:t>
      </w:r>
      <w:r>
        <w:rPr>
          <w:rFonts w:hint="eastAsia" w:ascii="仿宋_GB2312" w:hAnsi="仿宋_GB2312" w:eastAsia="仿宋_GB2312" w:cs="仿宋_GB2312"/>
          <w:sz w:val="30"/>
          <w:szCs w:val="30"/>
          <w:highlight w:val="none"/>
          <w:lang w:val="en-US" w:eastAsia="zh-CN"/>
        </w:rPr>
        <w:t>4</w:t>
      </w:r>
      <w:r>
        <w:rPr>
          <w:rFonts w:hint="eastAsia" w:ascii="仿宋_GB2312" w:hAnsi="仿宋_GB2312" w:eastAsia="仿宋_GB2312" w:cs="仿宋_GB2312"/>
          <w:sz w:val="30"/>
          <w:szCs w:val="30"/>
          <w:highlight w:val="none"/>
        </w:rPr>
        <w:t>年  月  日～202</w:t>
      </w:r>
      <w:r>
        <w:rPr>
          <w:rFonts w:hint="eastAsia" w:ascii="仿宋_GB2312" w:hAnsi="仿宋_GB2312" w:eastAsia="仿宋_GB2312" w:cs="仿宋_GB2312"/>
          <w:sz w:val="30"/>
          <w:szCs w:val="30"/>
          <w:highlight w:val="none"/>
          <w:lang w:val="en-US" w:eastAsia="zh-CN"/>
        </w:rPr>
        <w:t>5</w:t>
      </w:r>
      <w:r>
        <w:rPr>
          <w:rFonts w:hint="eastAsia" w:ascii="仿宋_GB2312" w:hAnsi="仿宋_GB2312" w:eastAsia="仿宋_GB2312" w:cs="仿宋_GB2312"/>
          <w:sz w:val="30"/>
          <w:szCs w:val="30"/>
          <w:highlight w:val="none"/>
        </w:rPr>
        <w:t>年   月   日</w:t>
      </w:r>
    </w:p>
    <w:p>
      <w:pPr>
        <w:spacing w:line="440" w:lineRule="exact"/>
        <w:ind w:firstLine="480"/>
        <w:rPr>
          <w:rFonts w:hint="eastAsia" w:ascii="仿宋_GB2312" w:hAnsi="仿宋_GB2312" w:eastAsia="仿宋_GB2312" w:cs="仿宋_GB2312"/>
          <w:b/>
          <w:sz w:val="30"/>
          <w:szCs w:val="30"/>
          <w:highlight w:val="none"/>
        </w:rPr>
      </w:pPr>
      <w:r>
        <w:rPr>
          <w:rFonts w:hint="eastAsia" w:ascii="仿宋_GB2312" w:hAnsi="仿宋_GB2312" w:eastAsia="仿宋_GB2312" w:cs="仿宋_GB2312"/>
          <w:b/>
          <w:sz w:val="30"/>
          <w:szCs w:val="30"/>
          <w:highlight w:val="none"/>
        </w:rPr>
        <w:t>八、其他</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（一）合同风险抵押金：为保证合同的正常履约，乙方在本合同签订后30个工作日内向甲方缴纳</w:t>
      </w:r>
      <w:r>
        <w:rPr>
          <w:rFonts w:hint="eastAsia" w:ascii="仿宋_GB2312" w:hAnsi="仿宋_GB2312" w:eastAsia="仿宋_GB2312" w:cs="仿宋_GB2312"/>
          <w:sz w:val="30"/>
          <w:szCs w:val="30"/>
          <w:highlight w:val="none"/>
          <w:u w:val="single"/>
        </w:rPr>
        <w:t>壹万元</w:t>
      </w:r>
      <w:r>
        <w:rPr>
          <w:rFonts w:hint="eastAsia" w:ascii="仿宋_GB2312" w:hAnsi="仿宋_GB2312" w:eastAsia="仿宋_GB2312" w:cs="仿宋_GB2312"/>
          <w:sz w:val="30"/>
          <w:szCs w:val="30"/>
          <w:highlight w:val="none"/>
        </w:rPr>
        <w:t>合同风险抵押金，本合同履行期限届满30个工作日内返还。若乙方未按期缴纳保证金，乙方认可甲方从支付其加工费中先行扣除。</w:t>
      </w:r>
    </w:p>
    <w:p>
      <w:pPr>
        <w:spacing w:line="440" w:lineRule="exact"/>
        <w:ind w:firstLine="450" w:firstLineChars="15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（二）甲乙双方应指派专人作为双方合同履约过程中的指定联系人，负责双方业务开展过程中各事项的对接工作：</w:t>
      </w:r>
    </w:p>
    <w:p>
      <w:pPr>
        <w:spacing w:line="440" w:lineRule="exact"/>
        <w:ind w:firstLine="450" w:firstLineChars="15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 xml:space="preserve">甲方联系人：接单员              乙方联系人（签字）：     </w:t>
      </w:r>
    </w:p>
    <w:p>
      <w:pPr>
        <w:spacing w:line="440" w:lineRule="exact"/>
        <w:ind w:firstLine="480"/>
        <w:rPr>
          <w:rFonts w:hint="eastAsia" w:ascii="仿宋_GB2312" w:hAnsi="仿宋_GB2312" w:eastAsia="仿宋_GB2312" w:cs="仿宋_GB2312"/>
          <w:b/>
          <w:sz w:val="30"/>
          <w:szCs w:val="30"/>
          <w:highlight w:val="none"/>
        </w:rPr>
      </w:pPr>
      <w:r>
        <w:rPr>
          <w:rFonts w:hint="eastAsia" w:ascii="仿宋_GB2312" w:hAnsi="仿宋_GB2312" w:eastAsia="仿宋_GB2312" w:cs="仿宋_GB2312"/>
          <w:b/>
          <w:sz w:val="30"/>
          <w:szCs w:val="30"/>
          <w:highlight w:val="none"/>
        </w:rPr>
        <w:t>九、附则</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（一）在委托加工过程中发生纠纷时，甲乙双方协商解决，协商不成时，由甲方所在地人民法院起诉。</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（二）本合同未尽事宜，经双方协商可签订补充合同。补充合同与本合同具有同等法律效力，补充合同与本合同相抵触的，以补充合同为准。</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（三）本合同中的附件，作为本合同的共同组成部分，具有同等法律效力。</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（四）本合同一式叁份，甲方两份，乙方一份，具有同等法律效力。</w:t>
      </w:r>
    </w:p>
    <w:p>
      <w:pPr>
        <w:spacing w:line="44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（五）本合同自双方签字盖章之日起生效。</w:t>
      </w:r>
    </w:p>
    <w:p>
      <w:pPr>
        <w:rPr>
          <w:rFonts w:hint="eastAsia" w:ascii="仿宋_GB2312" w:hAnsi="仿宋_GB2312" w:eastAsia="仿宋_GB2312" w:cs="仿宋_GB2312"/>
          <w:sz w:val="30"/>
          <w:szCs w:val="30"/>
          <w:highlight w:val="none"/>
        </w:rPr>
      </w:pPr>
    </w:p>
    <w:p>
      <w:pPr>
        <w:ind w:firstLine="300" w:firstLineChars="1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 xml:space="preserve">甲方（委托方）：（盖章）             乙方（受托方）：（盖章） </w:t>
      </w:r>
    </w:p>
    <w:p>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委托代理人：（签字）                   委托代理人：（签字）</w:t>
      </w:r>
    </w:p>
    <w:p>
      <w:pPr>
        <w:ind w:firstLine="300" w:firstLineChars="100"/>
        <w:rPr>
          <w:rFonts w:hint="eastAsia" w:ascii="仿宋_GB2312" w:hAnsi="仿宋_GB2312" w:eastAsia="仿宋_GB2312" w:cs="仿宋_GB2312"/>
          <w:sz w:val="24"/>
          <w:highlight w:val="none"/>
        </w:rPr>
      </w:pPr>
      <w:r>
        <w:rPr>
          <w:rFonts w:hint="eastAsia" w:ascii="仿宋_GB2312" w:hAnsi="仿宋_GB2312" w:eastAsia="仿宋_GB2312" w:cs="仿宋_GB2312"/>
          <w:sz w:val="30"/>
          <w:szCs w:val="30"/>
          <w:highlight w:val="none"/>
        </w:rPr>
        <w:t xml:space="preserve">日期：                                   </w:t>
      </w:r>
      <w:r>
        <w:rPr>
          <w:rFonts w:hint="eastAsia" w:ascii="仿宋_GB2312" w:hAnsi="仿宋_GB2312" w:eastAsia="仿宋_GB2312" w:cs="仿宋_GB2312"/>
          <w:sz w:val="30"/>
          <w:szCs w:val="30"/>
          <w:highlight w:val="none"/>
          <w:lang w:val="en-US" w:eastAsia="zh-CN"/>
        </w:rPr>
        <w:t xml:space="preserve">  </w:t>
      </w:r>
      <w:r>
        <w:rPr>
          <w:rFonts w:hint="eastAsia" w:ascii="仿宋_GB2312" w:hAnsi="仿宋_GB2312" w:eastAsia="仿宋_GB2312" w:cs="仿宋_GB2312"/>
          <w:sz w:val="30"/>
          <w:szCs w:val="30"/>
          <w:highlight w:val="none"/>
        </w:rPr>
        <w:t xml:space="preserve">日期：      </w:t>
      </w:r>
      <w:r>
        <w:rPr>
          <w:rFonts w:hint="eastAsia" w:ascii="仿宋_GB2312" w:hAnsi="仿宋_GB2312" w:eastAsia="仿宋_GB2312" w:cs="仿宋_GB2312"/>
          <w:sz w:val="24"/>
          <w:highlight w:val="none"/>
        </w:rPr>
        <w:t xml:space="preserve">   </w:t>
      </w:r>
    </w:p>
    <w:p>
      <w:pPr>
        <w:spacing w:line="540" w:lineRule="exact"/>
        <w:jc w:val="center"/>
        <w:rPr>
          <w:rFonts w:ascii="宋体" w:hAnsi="宋体" w:eastAsia="宋体"/>
          <w:sz w:val="28"/>
          <w:szCs w:val="28"/>
        </w:rPr>
      </w:pPr>
    </w:p>
    <w:p>
      <w:pPr>
        <w:spacing w:line="540" w:lineRule="exact"/>
        <w:jc w:val="center"/>
        <w:rPr>
          <w:rFonts w:ascii="宋体" w:hAnsi="宋体" w:eastAsia="宋体"/>
          <w:sz w:val="28"/>
          <w:szCs w:val="28"/>
        </w:rPr>
      </w:pPr>
    </w:p>
    <w:p>
      <w:pPr>
        <w:tabs>
          <w:tab w:val="left" w:pos="223"/>
        </w:tabs>
        <w:jc w:val="left"/>
        <w:rPr>
          <w:rFonts w:hint="eastAsia" w:ascii="仿宋_GB2312" w:hAnsi="仿宋_GB2312" w:eastAsia="仿宋_GB2312" w:cs="仿宋_GB2312"/>
          <w:b/>
          <w:bCs/>
          <w:sz w:val="24"/>
        </w:rPr>
      </w:pPr>
    </w:p>
    <w:p>
      <w:pPr>
        <w:tabs>
          <w:tab w:val="left" w:pos="223"/>
        </w:tabs>
        <w:jc w:val="left"/>
        <w:rPr>
          <w:rFonts w:hint="eastAsia" w:ascii="仿宋_GB2312" w:hAnsi="仿宋_GB2312" w:eastAsia="仿宋_GB2312" w:cs="仿宋_GB2312"/>
          <w:b/>
          <w:bCs/>
          <w:sz w:val="30"/>
          <w:szCs w:val="30"/>
        </w:rPr>
      </w:pPr>
    </w:p>
    <w:p>
      <w:pPr>
        <w:tabs>
          <w:tab w:val="left" w:pos="223"/>
        </w:tabs>
        <w:jc w:val="left"/>
        <w:rPr>
          <w:rFonts w:hint="eastAsia" w:ascii="仿宋_GB2312" w:hAnsi="仿宋_GB2312" w:eastAsia="仿宋_GB2312" w:cs="仿宋_GB2312"/>
          <w:b/>
          <w:bCs/>
          <w:sz w:val="30"/>
          <w:szCs w:val="30"/>
        </w:rPr>
      </w:pPr>
    </w:p>
    <w:p>
      <w:pPr>
        <w:tabs>
          <w:tab w:val="left" w:pos="223"/>
        </w:tabs>
        <w:jc w:val="left"/>
        <w:rPr>
          <w:rFonts w:hint="eastAsia" w:ascii="仿宋_GB2312" w:hAnsi="仿宋_GB2312" w:eastAsia="仿宋_GB2312" w:cs="仿宋_GB2312"/>
          <w:b/>
          <w:bCs/>
          <w:sz w:val="30"/>
          <w:szCs w:val="30"/>
        </w:rPr>
      </w:pPr>
      <w:bookmarkStart w:id="3" w:name="_GoBack"/>
      <w:bookmarkEnd w:id="3"/>
      <w:r>
        <w:rPr>
          <w:rFonts w:hint="eastAsia" w:ascii="仿宋_GB2312" w:hAnsi="仿宋_GB2312" w:eastAsia="仿宋_GB2312" w:cs="仿宋_GB2312"/>
          <w:b/>
          <w:bCs/>
          <w:sz w:val="30"/>
          <w:szCs w:val="30"/>
        </w:rPr>
        <w:t>附件1</w:t>
      </w:r>
    </w:p>
    <w:p>
      <w:pPr>
        <w:tabs>
          <w:tab w:val="left" w:pos="223"/>
        </w:tabs>
        <w:jc w:val="left"/>
        <w:rPr>
          <w:rFonts w:hint="eastAsia" w:ascii="仿宋_GB2312" w:hAnsi="仿宋_GB2312" w:eastAsia="仿宋_GB2312" w:cs="仿宋_GB2312"/>
        </w:rPr>
      </w:pPr>
    </w:p>
    <w:tbl>
      <w:tblPr>
        <w:tblStyle w:val="15"/>
        <w:tblW w:w="8780" w:type="dxa"/>
        <w:tblInd w:w="0" w:type="dxa"/>
        <w:tblLayout w:type="fixed"/>
        <w:tblCellMar>
          <w:top w:w="0" w:type="dxa"/>
          <w:left w:w="0" w:type="dxa"/>
          <w:bottom w:w="0" w:type="dxa"/>
          <w:right w:w="0" w:type="dxa"/>
        </w:tblCellMar>
      </w:tblPr>
      <w:tblGrid>
        <w:gridCol w:w="462"/>
        <w:gridCol w:w="451"/>
        <w:gridCol w:w="803"/>
        <w:gridCol w:w="1148"/>
        <w:gridCol w:w="679"/>
        <w:gridCol w:w="612"/>
        <w:gridCol w:w="853"/>
        <w:gridCol w:w="679"/>
        <w:gridCol w:w="1260"/>
        <w:gridCol w:w="713"/>
        <w:gridCol w:w="447"/>
        <w:gridCol w:w="673"/>
      </w:tblGrid>
      <w:tr>
        <w:tblPrEx>
          <w:tblCellMar>
            <w:top w:w="0" w:type="dxa"/>
            <w:left w:w="0" w:type="dxa"/>
            <w:bottom w:w="0" w:type="dxa"/>
            <w:right w:w="0" w:type="dxa"/>
          </w:tblCellMar>
        </w:tblPrEx>
        <w:trPr>
          <w:trHeight w:val="719" w:hRule="atLeast"/>
        </w:trPr>
        <w:tc>
          <w:tcPr>
            <w:tcW w:w="8780" w:type="dxa"/>
            <w:gridSpan w:val="12"/>
            <w:tcBorders>
              <w:top w:val="nil"/>
              <w:left w:val="nil"/>
              <w:bottom w:val="single" w:color="000000" w:sz="4" w:space="0"/>
              <w:right w:val="nil"/>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b/>
                <w:color w:val="000000"/>
                <w:sz w:val="30"/>
                <w:szCs w:val="30"/>
              </w:rPr>
            </w:pPr>
            <w:r>
              <w:rPr>
                <w:rFonts w:hint="eastAsia" w:ascii="仿宋_GB2312" w:hAnsi="仿宋_GB2312" w:eastAsia="仿宋_GB2312" w:cs="仿宋_GB2312"/>
                <w:b/>
                <w:color w:val="000000"/>
                <w:kern w:val="0"/>
                <w:sz w:val="30"/>
                <w:szCs w:val="30"/>
                <w:lang w:bidi="ar"/>
              </w:rPr>
              <w:t xml:space="preserve">切割外协加工单 </w:t>
            </w:r>
          </w:p>
        </w:tc>
      </w:tr>
      <w:tr>
        <w:tblPrEx>
          <w:tblCellMar>
            <w:top w:w="0" w:type="dxa"/>
            <w:left w:w="0" w:type="dxa"/>
            <w:bottom w:w="0" w:type="dxa"/>
            <w:right w:w="0" w:type="dxa"/>
          </w:tblCellMar>
        </w:tblPrEx>
        <w:trPr>
          <w:trHeight w:val="2462" w:hRule="atLeast"/>
        </w:trPr>
        <w:tc>
          <w:tcPr>
            <w:tcW w:w="46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外协明细</w:t>
            </w:r>
          </w:p>
        </w:tc>
        <w:tc>
          <w:tcPr>
            <w:tcW w:w="4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编号</w:t>
            </w:r>
          </w:p>
        </w:tc>
        <w:tc>
          <w:tcPr>
            <w:tcW w:w="8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牌号</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埚号</w:t>
            </w:r>
          </w:p>
        </w:tc>
        <w:tc>
          <w:tcPr>
            <w:tcW w:w="6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条料重量</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理论数量</w:t>
            </w:r>
          </w:p>
        </w:tc>
        <w:tc>
          <w:tcPr>
            <w:tcW w:w="8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切割重量范围</w:t>
            </w:r>
          </w:p>
        </w:tc>
        <w:tc>
          <w:tcPr>
            <w:tcW w:w="6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01批范围</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料型</w:t>
            </w:r>
          </w:p>
        </w:tc>
        <w:tc>
          <w:tcPr>
            <w:tcW w:w="7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几个切</w:t>
            </w:r>
          </w:p>
        </w:tc>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炸料条数</w:t>
            </w:r>
          </w:p>
        </w:tc>
        <w:tc>
          <w:tcPr>
            <w:tcW w:w="6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交期</w:t>
            </w:r>
          </w:p>
        </w:tc>
      </w:tr>
      <w:tr>
        <w:tblPrEx>
          <w:tblCellMar>
            <w:top w:w="0" w:type="dxa"/>
            <w:left w:w="0" w:type="dxa"/>
            <w:bottom w:w="0" w:type="dxa"/>
            <w:right w:w="0" w:type="dxa"/>
          </w:tblCellMar>
        </w:tblPrEx>
        <w:trPr>
          <w:trHeight w:val="635" w:hRule="atLeast"/>
        </w:trPr>
        <w:tc>
          <w:tcPr>
            <w:tcW w:w="46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4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p>
        </w:tc>
        <w:tc>
          <w:tcPr>
            <w:tcW w:w="80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p>
        </w:tc>
        <w:tc>
          <w:tcPr>
            <w:tcW w:w="6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p>
        </w:tc>
        <w:tc>
          <w:tcPr>
            <w:tcW w:w="6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p>
        </w:tc>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p>
        </w:tc>
        <w:tc>
          <w:tcPr>
            <w:tcW w:w="6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_GB2312" w:hAnsi="仿宋_GB2312" w:eastAsia="仿宋_GB2312" w:cs="仿宋_GB2312"/>
                <w:color w:val="000000"/>
                <w:sz w:val="30"/>
                <w:szCs w:val="30"/>
              </w:rPr>
            </w:pPr>
          </w:p>
        </w:tc>
        <w:tc>
          <w:tcPr>
            <w:tcW w:w="12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30"/>
                <w:szCs w:val="30"/>
              </w:rPr>
            </w:pPr>
          </w:p>
        </w:tc>
        <w:tc>
          <w:tcPr>
            <w:tcW w:w="71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30"/>
                <w:szCs w:val="30"/>
              </w:rPr>
            </w:pPr>
          </w:p>
        </w:tc>
        <w:tc>
          <w:tcPr>
            <w:tcW w:w="44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p>
        </w:tc>
        <w:tc>
          <w:tcPr>
            <w:tcW w:w="6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r>
      <w:tr>
        <w:tblPrEx>
          <w:tblCellMar>
            <w:top w:w="0" w:type="dxa"/>
            <w:left w:w="0" w:type="dxa"/>
            <w:bottom w:w="0" w:type="dxa"/>
            <w:right w:w="0" w:type="dxa"/>
          </w:tblCellMar>
        </w:tblPrEx>
        <w:trPr>
          <w:trHeight w:val="635" w:hRule="atLeast"/>
        </w:trPr>
        <w:tc>
          <w:tcPr>
            <w:tcW w:w="462"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技术要求</w:t>
            </w:r>
          </w:p>
        </w:tc>
        <w:tc>
          <w:tcPr>
            <w:tcW w:w="8318" w:type="dxa"/>
            <w:gridSpan w:val="11"/>
            <w:tcBorders>
              <w:top w:val="single" w:color="000000" w:sz="4" w:space="0"/>
              <w:left w:val="single" w:color="000000" w:sz="4" w:space="0"/>
              <w:bottom w:val="nil"/>
              <w:right w:val="single" w:color="000000" w:sz="4" w:space="0"/>
            </w:tcBorders>
            <w:noWrap/>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1、外协后需对料型对角线确认，对角线不能超过外径.</w:t>
            </w:r>
          </w:p>
        </w:tc>
      </w:tr>
      <w:tr>
        <w:tblPrEx>
          <w:tblCellMar>
            <w:top w:w="0" w:type="dxa"/>
            <w:left w:w="0" w:type="dxa"/>
            <w:bottom w:w="0" w:type="dxa"/>
            <w:right w:w="0" w:type="dxa"/>
          </w:tblCellMar>
        </w:tblPrEx>
        <w:trPr>
          <w:trHeight w:val="624" w:hRule="atLeast"/>
        </w:trPr>
        <w:tc>
          <w:tcPr>
            <w:tcW w:w="462" w:type="dxa"/>
            <w:vMerge w:val="continue"/>
            <w:tcBorders>
              <w:top w:val="nil"/>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8318" w:type="dxa"/>
            <w:gridSpan w:val="11"/>
            <w:tcBorders>
              <w:top w:val="nil"/>
              <w:left w:val="single" w:color="000000" w:sz="4" w:space="0"/>
              <w:bottom w:val="nil"/>
              <w:right w:val="single" w:color="000000" w:sz="4" w:space="0"/>
            </w:tcBorders>
            <w:noWrap/>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2、外协后，总重量误差不能超过1%。</w:t>
            </w:r>
          </w:p>
        </w:tc>
      </w:tr>
      <w:tr>
        <w:tblPrEx>
          <w:tblCellMar>
            <w:top w:w="0" w:type="dxa"/>
            <w:left w:w="0" w:type="dxa"/>
            <w:bottom w:w="0" w:type="dxa"/>
            <w:right w:w="0" w:type="dxa"/>
          </w:tblCellMar>
        </w:tblPrEx>
        <w:trPr>
          <w:trHeight w:val="624" w:hRule="atLeast"/>
        </w:trPr>
        <w:tc>
          <w:tcPr>
            <w:tcW w:w="462" w:type="dxa"/>
            <w:vMerge w:val="continue"/>
            <w:tcBorders>
              <w:top w:val="nil"/>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8318" w:type="dxa"/>
            <w:gridSpan w:val="11"/>
            <w:tcBorders>
              <w:top w:val="nil"/>
              <w:left w:val="single" w:color="000000" w:sz="4" w:space="0"/>
              <w:bottom w:val="nil"/>
              <w:right w:val="single" w:color="000000" w:sz="4" w:space="0"/>
            </w:tcBorders>
            <w:noWrap/>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3、外协后，对碰伤进行检验，碰伤要求不能高于5%。</w:t>
            </w:r>
          </w:p>
        </w:tc>
      </w:tr>
      <w:tr>
        <w:tblPrEx>
          <w:tblCellMar>
            <w:top w:w="0" w:type="dxa"/>
            <w:left w:w="0" w:type="dxa"/>
            <w:bottom w:w="0" w:type="dxa"/>
            <w:right w:w="0" w:type="dxa"/>
          </w:tblCellMar>
        </w:tblPrEx>
        <w:trPr>
          <w:trHeight w:val="624" w:hRule="atLeast"/>
        </w:trPr>
        <w:tc>
          <w:tcPr>
            <w:tcW w:w="462"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8318" w:type="dxa"/>
            <w:gridSpan w:val="11"/>
            <w:tcBorders>
              <w:top w:val="nil"/>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4、外协后，需对产品进行产品重量范围确认，超差比例不能超过3%。</w:t>
            </w:r>
          </w:p>
        </w:tc>
      </w:tr>
      <w:tr>
        <w:tblPrEx>
          <w:tblCellMar>
            <w:top w:w="0" w:type="dxa"/>
            <w:left w:w="0" w:type="dxa"/>
            <w:bottom w:w="0" w:type="dxa"/>
            <w:right w:w="0" w:type="dxa"/>
          </w:tblCellMar>
        </w:tblPrEx>
        <w:trPr>
          <w:trHeight w:val="1809" w:hRule="atLeast"/>
        </w:trPr>
        <w:tc>
          <w:tcPr>
            <w:tcW w:w="46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入库检验</w:t>
            </w:r>
          </w:p>
        </w:tc>
        <w:tc>
          <w:tcPr>
            <w:tcW w:w="4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编号</w:t>
            </w:r>
          </w:p>
        </w:tc>
        <w:tc>
          <w:tcPr>
            <w:tcW w:w="8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日期</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外协后重量</w:t>
            </w:r>
          </w:p>
        </w:tc>
        <w:tc>
          <w:tcPr>
            <w:tcW w:w="129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外协后数量</w:t>
            </w:r>
          </w:p>
        </w:tc>
        <w:tc>
          <w:tcPr>
            <w:tcW w:w="8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01批数量</w:t>
            </w:r>
          </w:p>
        </w:tc>
        <w:tc>
          <w:tcPr>
            <w:tcW w:w="6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良品率</w:t>
            </w:r>
          </w:p>
        </w:tc>
        <w:tc>
          <w:tcPr>
            <w:tcW w:w="12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碰伤比例</w:t>
            </w:r>
          </w:p>
        </w:tc>
        <w:tc>
          <w:tcPr>
            <w:tcW w:w="7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超尺寸比例</w:t>
            </w:r>
          </w:p>
        </w:tc>
        <w:tc>
          <w:tcPr>
            <w:tcW w:w="11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抽检员</w:t>
            </w:r>
          </w:p>
        </w:tc>
      </w:tr>
      <w:tr>
        <w:tblPrEx>
          <w:tblCellMar>
            <w:top w:w="0" w:type="dxa"/>
            <w:left w:w="0" w:type="dxa"/>
            <w:bottom w:w="0" w:type="dxa"/>
            <w:right w:w="0" w:type="dxa"/>
          </w:tblCellMar>
        </w:tblPrEx>
        <w:trPr>
          <w:trHeight w:val="635" w:hRule="atLeast"/>
        </w:trPr>
        <w:tc>
          <w:tcPr>
            <w:tcW w:w="46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4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80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11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129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85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6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12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71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11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r>
      <w:tr>
        <w:tblPrEx>
          <w:tblCellMar>
            <w:top w:w="0" w:type="dxa"/>
            <w:left w:w="0" w:type="dxa"/>
            <w:bottom w:w="0" w:type="dxa"/>
            <w:right w:w="0" w:type="dxa"/>
          </w:tblCellMar>
        </w:tblPrEx>
        <w:trPr>
          <w:trHeight w:val="624" w:hRule="atLeast"/>
        </w:trPr>
        <w:tc>
          <w:tcPr>
            <w:tcW w:w="462"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30"/>
                <w:szCs w:val="30"/>
              </w:rPr>
            </w:pPr>
          </w:p>
        </w:tc>
        <w:tc>
          <w:tcPr>
            <w:tcW w:w="451"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30"/>
                <w:szCs w:val="30"/>
              </w:rPr>
            </w:pPr>
          </w:p>
        </w:tc>
        <w:tc>
          <w:tcPr>
            <w:tcW w:w="803" w:type="dxa"/>
            <w:tcBorders>
              <w:top w:val="nil"/>
              <w:left w:val="nil"/>
              <w:bottom w:val="nil"/>
              <w:right w:val="nil"/>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1148" w:type="dxa"/>
            <w:tcBorders>
              <w:top w:val="nil"/>
              <w:left w:val="nil"/>
              <w:bottom w:val="nil"/>
              <w:right w:val="nil"/>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679"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30"/>
                <w:szCs w:val="30"/>
              </w:rPr>
            </w:pPr>
          </w:p>
        </w:tc>
        <w:tc>
          <w:tcPr>
            <w:tcW w:w="612"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30"/>
                <w:szCs w:val="30"/>
              </w:rPr>
            </w:pPr>
          </w:p>
        </w:tc>
        <w:tc>
          <w:tcPr>
            <w:tcW w:w="853"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30"/>
                <w:szCs w:val="30"/>
              </w:rPr>
            </w:pPr>
          </w:p>
        </w:tc>
        <w:tc>
          <w:tcPr>
            <w:tcW w:w="679"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30"/>
                <w:szCs w:val="30"/>
              </w:rPr>
            </w:pPr>
          </w:p>
        </w:tc>
        <w:tc>
          <w:tcPr>
            <w:tcW w:w="1260"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30"/>
                <w:szCs w:val="30"/>
              </w:rPr>
            </w:pPr>
          </w:p>
        </w:tc>
        <w:tc>
          <w:tcPr>
            <w:tcW w:w="713"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30"/>
                <w:szCs w:val="30"/>
              </w:rPr>
            </w:pPr>
          </w:p>
        </w:tc>
        <w:tc>
          <w:tcPr>
            <w:tcW w:w="447"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30"/>
                <w:szCs w:val="30"/>
              </w:rPr>
            </w:pPr>
          </w:p>
        </w:tc>
        <w:tc>
          <w:tcPr>
            <w:tcW w:w="673" w:type="dxa"/>
            <w:tcBorders>
              <w:top w:val="nil"/>
              <w:left w:val="nil"/>
              <w:bottom w:val="nil"/>
              <w:right w:val="nil"/>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r>
      <w:tr>
        <w:tblPrEx>
          <w:tblCellMar>
            <w:top w:w="0" w:type="dxa"/>
            <w:left w:w="0" w:type="dxa"/>
            <w:bottom w:w="0" w:type="dxa"/>
            <w:right w:w="0" w:type="dxa"/>
          </w:tblCellMar>
        </w:tblPrEx>
        <w:trPr>
          <w:trHeight w:val="624" w:hRule="atLeast"/>
        </w:trPr>
        <w:tc>
          <w:tcPr>
            <w:tcW w:w="913" w:type="dxa"/>
            <w:gridSpan w:val="2"/>
            <w:tcBorders>
              <w:top w:val="nil"/>
              <w:left w:val="nil"/>
              <w:bottom w:val="nil"/>
              <w:right w:val="nil"/>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制表人：</w:t>
            </w:r>
          </w:p>
        </w:tc>
        <w:tc>
          <w:tcPr>
            <w:tcW w:w="803" w:type="dxa"/>
            <w:tcBorders>
              <w:top w:val="nil"/>
              <w:left w:val="nil"/>
              <w:bottom w:val="nil"/>
              <w:right w:val="nil"/>
            </w:tcBorders>
            <w:noWrap/>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0"/>
                <w:szCs w:val="30"/>
              </w:rPr>
            </w:pPr>
          </w:p>
        </w:tc>
        <w:tc>
          <w:tcPr>
            <w:tcW w:w="1148" w:type="dxa"/>
            <w:tcBorders>
              <w:top w:val="nil"/>
              <w:left w:val="nil"/>
              <w:bottom w:val="nil"/>
              <w:right w:val="nil"/>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679" w:type="dxa"/>
            <w:tcBorders>
              <w:top w:val="nil"/>
              <w:left w:val="nil"/>
              <w:bottom w:val="nil"/>
              <w:right w:val="nil"/>
            </w:tcBorders>
            <w:noWrap/>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审核：</w:t>
            </w:r>
          </w:p>
        </w:tc>
        <w:tc>
          <w:tcPr>
            <w:tcW w:w="1465" w:type="dxa"/>
            <w:gridSpan w:val="2"/>
            <w:tcBorders>
              <w:top w:val="nil"/>
              <w:left w:val="nil"/>
              <w:bottom w:val="nil"/>
              <w:right w:val="nil"/>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c>
          <w:tcPr>
            <w:tcW w:w="679" w:type="dxa"/>
            <w:tcBorders>
              <w:top w:val="nil"/>
              <w:left w:val="nil"/>
              <w:bottom w:val="nil"/>
              <w:right w:val="nil"/>
            </w:tcBorders>
            <w:noWrap/>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批准：</w:t>
            </w:r>
          </w:p>
        </w:tc>
        <w:tc>
          <w:tcPr>
            <w:tcW w:w="1260" w:type="dxa"/>
            <w:tcBorders>
              <w:top w:val="nil"/>
              <w:left w:val="nil"/>
              <w:bottom w:val="nil"/>
              <w:right w:val="nil"/>
            </w:tcBorders>
            <w:noWrap/>
            <w:tcMar>
              <w:top w:w="15" w:type="dxa"/>
              <w:left w:w="15" w:type="dxa"/>
              <w:right w:w="15" w:type="dxa"/>
            </w:tcMar>
            <w:vAlign w:val="center"/>
          </w:tcPr>
          <w:p>
            <w:pPr>
              <w:rPr>
                <w:rFonts w:hint="eastAsia" w:ascii="仿宋_GB2312" w:hAnsi="仿宋_GB2312" w:eastAsia="仿宋_GB2312" w:cs="仿宋_GB2312"/>
                <w:color w:val="000000"/>
                <w:sz w:val="30"/>
                <w:szCs w:val="30"/>
              </w:rPr>
            </w:pPr>
          </w:p>
        </w:tc>
        <w:tc>
          <w:tcPr>
            <w:tcW w:w="713" w:type="dxa"/>
            <w:tcBorders>
              <w:top w:val="nil"/>
              <w:left w:val="nil"/>
              <w:bottom w:val="nil"/>
              <w:right w:val="nil"/>
            </w:tcBorders>
            <w:noWrap/>
            <w:tcMar>
              <w:top w:w="15" w:type="dxa"/>
              <w:left w:w="15" w:type="dxa"/>
              <w:right w:w="15" w:type="dxa"/>
            </w:tcMar>
            <w:vAlign w:val="center"/>
          </w:tcPr>
          <w:p>
            <w:pPr>
              <w:widowControl/>
              <w:jc w:val="right"/>
              <w:textAlignment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日期：</w:t>
            </w:r>
          </w:p>
        </w:tc>
        <w:tc>
          <w:tcPr>
            <w:tcW w:w="1120" w:type="dxa"/>
            <w:gridSpan w:val="2"/>
            <w:tcBorders>
              <w:top w:val="nil"/>
              <w:left w:val="nil"/>
              <w:bottom w:val="nil"/>
              <w:right w:val="nil"/>
            </w:tcBorders>
            <w:noWrap/>
            <w:tcMar>
              <w:top w:w="15" w:type="dxa"/>
              <w:left w:w="15" w:type="dxa"/>
              <w:right w:w="15" w:type="dxa"/>
            </w:tcMar>
            <w:vAlign w:val="center"/>
          </w:tcPr>
          <w:p>
            <w:pPr>
              <w:jc w:val="center"/>
              <w:rPr>
                <w:rFonts w:hint="eastAsia" w:ascii="仿宋_GB2312" w:hAnsi="仿宋_GB2312" w:eastAsia="仿宋_GB2312" w:cs="仿宋_GB2312"/>
                <w:color w:val="000000"/>
                <w:sz w:val="30"/>
                <w:szCs w:val="30"/>
              </w:rPr>
            </w:pPr>
          </w:p>
        </w:tc>
      </w:tr>
    </w:tbl>
    <w:p>
      <w:pPr>
        <w:tabs>
          <w:tab w:val="left" w:pos="223"/>
        </w:tabs>
        <w:jc w:val="left"/>
        <w:rPr>
          <w:rFonts w:hint="eastAsia" w:ascii="仿宋_GB2312" w:hAnsi="仿宋_GB2312" w:eastAsia="仿宋_GB2312" w:cs="仿宋_GB2312"/>
        </w:rPr>
        <w:sectPr>
          <w:footerReference r:id="rId3" w:type="default"/>
          <w:pgSz w:w="11906" w:h="16838"/>
          <w:pgMar w:top="1440" w:right="1274" w:bottom="1440" w:left="1418" w:header="851" w:footer="992" w:gutter="0"/>
          <w:cols w:space="720" w:num="1"/>
          <w:docGrid w:type="linesAndChars" w:linePitch="312" w:charSpace="0"/>
        </w:sectPr>
      </w:pPr>
    </w:p>
    <w:p>
      <w:pPr>
        <w:spacing w:line="54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附件2：</w:t>
      </w:r>
    </w:p>
    <w:p>
      <w:pPr>
        <w:spacing w:line="540" w:lineRule="exact"/>
        <w:rPr>
          <w:rFonts w:ascii="宋体" w:hAnsi="宋体" w:eastAsia="宋体"/>
          <w:sz w:val="28"/>
          <w:szCs w:val="28"/>
        </w:rPr>
      </w:pPr>
      <w:r>
        <w:drawing>
          <wp:anchor distT="0" distB="0" distL="114300" distR="114300" simplePos="0" relativeHeight="251665408" behindDoc="0" locked="0" layoutInCell="1" allowOverlap="1">
            <wp:simplePos x="0" y="0"/>
            <wp:positionH relativeFrom="column">
              <wp:posOffset>0</wp:posOffset>
            </wp:positionH>
            <wp:positionV relativeFrom="paragraph">
              <wp:posOffset>12065</wp:posOffset>
            </wp:positionV>
            <wp:extent cx="8980170" cy="5139055"/>
            <wp:effectExtent l="0" t="0" r="11430" b="1206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8980170" cy="5139055"/>
                    </a:xfrm>
                    <a:prstGeom prst="rect">
                      <a:avLst/>
                    </a:prstGeom>
                    <a:noFill/>
                    <a:ln>
                      <a:noFill/>
                    </a:ln>
                  </pic:spPr>
                </pic:pic>
              </a:graphicData>
            </a:graphic>
          </wp:anchor>
        </w:drawing>
      </w: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pPr>
    </w:p>
    <w:p>
      <w:pPr>
        <w:spacing w:line="540" w:lineRule="exact"/>
        <w:jc w:val="center"/>
        <w:rPr>
          <w:rFonts w:ascii="宋体" w:hAnsi="宋体" w:eastAsia="宋体"/>
          <w:sz w:val="44"/>
          <w:szCs w:val="44"/>
        </w:rPr>
        <w:sectPr>
          <w:pgSz w:w="16838" w:h="11906" w:orient="landscape"/>
          <w:pgMar w:top="1418" w:right="1440" w:bottom="1274" w:left="1440" w:header="851" w:footer="992" w:gutter="0"/>
          <w:cols w:space="720" w:num="1"/>
          <w:docGrid w:type="linesAndChars" w:linePitch="312" w:charSpace="0"/>
        </w:sectPr>
      </w:pPr>
    </w:p>
    <w:p>
      <w:pP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附件3:</w:t>
      </w:r>
    </w:p>
    <w:p>
      <w:pPr>
        <w:ind w:firstLine="3200" w:firstLineChars="1000"/>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关于外协备料包装要求</w:t>
      </w:r>
    </w:p>
    <w:p>
      <w:pPr>
        <w:pStyle w:val="36"/>
        <w:numPr>
          <w:ilvl w:val="0"/>
          <w:numId w:val="2"/>
        </w:numPr>
        <w:ind w:left="420" w:leftChars="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目的</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为了保障外协备料产品在运输过程中安全，规范受入检管理，防止混材混料发生。</w:t>
      </w:r>
    </w:p>
    <w:p>
      <w:pPr>
        <w:pStyle w:val="36"/>
        <w:numPr>
          <w:ilvl w:val="0"/>
          <w:numId w:val="2"/>
        </w:numPr>
        <w:ind w:left="420" w:leftChars="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具体要求</w:t>
      </w:r>
    </w:p>
    <w:p>
      <w:pPr>
        <w:pStyle w:val="36"/>
        <w:numPr>
          <w:ilvl w:val="0"/>
          <w:numId w:val="3"/>
        </w:numPr>
        <w:ind w:left="570" w:leftChars="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外协备料包装箱需使用我司提供的原材料包装箱，如必须使用其他包装箱的需向我司提前告知。</w:t>
      </w:r>
    </w:p>
    <w:p>
      <w:pPr>
        <w:pStyle w:val="36"/>
        <w:numPr>
          <w:ilvl w:val="0"/>
          <w:numId w:val="3"/>
        </w:numPr>
        <w:ind w:left="570" w:leftChars="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单个包装箱包装重量≤23KG，外箱接口必须用胶带封好，并用封箱带打包好。</w:t>
      </w:r>
    </w:p>
    <w:p>
      <w:pPr>
        <w:pStyle w:val="36"/>
        <w:numPr>
          <w:ilvl w:val="0"/>
          <w:numId w:val="3"/>
        </w:numPr>
        <w:ind w:left="570" w:leftChars="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包装箱上必须张贴备料产品信息单，按照箱内所装备料产品准确填写，</w:t>
      </w:r>
    </w:p>
    <w:p>
      <w:pPr>
        <w:ind w:firstLine="300" w:firstLineChars="1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填写内容必须清晰，不得随意修改。（见下表）。</w:t>
      </w:r>
    </w:p>
    <w:tbl>
      <w:tblPr>
        <w:tblStyle w:val="15"/>
        <w:tblW w:w="8021" w:type="dxa"/>
        <w:jc w:val="center"/>
        <w:tblLayout w:type="fixed"/>
        <w:tblCellMar>
          <w:top w:w="0" w:type="dxa"/>
          <w:left w:w="108" w:type="dxa"/>
          <w:bottom w:w="0" w:type="dxa"/>
          <w:right w:w="108" w:type="dxa"/>
        </w:tblCellMar>
      </w:tblPr>
      <w:tblGrid>
        <w:gridCol w:w="2792"/>
        <w:gridCol w:w="1378"/>
        <w:gridCol w:w="2162"/>
        <w:gridCol w:w="1689"/>
      </w:tblGrid>
      <w:tr>
        <w:tblPrEx>
          <w:tblCellMar>
            <w:top w:w="0" w:type="dxa"/>
            <w:left w:w="108" w:type="dxa"/>
            <w:bottom w:w="0" w:type="dxa"/>
            <w:right w:w="108" w:type="dxa"/>
          </w:tblCellMar>
        </w:tblPrEx>
        <w:trPr>
          <w:trHeight w:val="470" w:hRule="atLeast"/>
          <w:jc w:val="center"/>
        </w:trPr>
        <w:tc>
          <w:tcPr>
            <w:tcW w:w="8021" w:type="dxa"/>
            <w:gridSpan w:val="4"/>
            <w:tcBorders>
              <w:top w:val="nil"/>
              <w:left w:val="nil"/>
              <w:bottom w:val="single" w:color="auto" w:sz="4" w:space="0"/>
              <w:right w:val="nil"/>
            </w:tcBorders>
            <w:noWrap/>
            <w:vAlign w:val="center"/>
          </w:tcPr>
          <w:p>
            <w:pPr>
              <w:widowControl/>
              <w:jc w:val="center"/>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外协备料信息表</w:t>
            </w:r>
          </w:p>
        </w:tc>
      </w:tr>
      <w:tr>
        <w:tblPrEx>
          <w:tblCellMar>
            <w:top w:w="0" w:type="dxa"/>
            <w:left w:w="108" w:type="dxa"/>
            <w:bottom w:w="0" w:type="dxa"/>
            <w:right w:w="108" w:type="dxa"/>
          </w:tblCellMar>
        </w:tblPrEx>
        <w:trPr>
          <w:trHeight w:val="480" w:hRule="atLeast"/>
          <w:jc w:val="center"/>
        </w:trPr>
        <w:tc>
          <w:tcPr>
            <w:tcW w:w="2792" w:type="dxa"/>
            <w:tcBorders>
              <w:top w:val="nil"/>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产品名称</w:t>
            </w:r>
          </w:p>
        </w:tc>
        <w:tc>
          <w:tcPr>
            <w:tcW w:w="1378"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①</w:t>
            </w:r>
          </w:p>
        </w:tc>
        <w:tc>
          <w:tcPr>
            <w:tcW w:w="2162"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状态</w:t>
            </w:r>
          </w:p>
        </w:tc>
        <w:tc>
          <w:tcPr>
            <w:tcW w:w="1689"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②</w:t>
            </w:r>
          </w:p>
        </w:tc>
      </w:tr>
      <w:tr>
        <w:tblPrEx>
          <w:tblCellMar>
            <w:top w:w="0" w:type="dxa"/>
            <w:left w:w="108" w:type="dxa"/>
            <w:bottom w:w="0" w:type="dxa"/>
            <w:right w:w="108" w:type="dxa"/>
          </w:tblCellMar>
        </w:tblPrEx>
        <w:trPr>
          <w:trHeight w:val="593" w:hRule="atLeast"/>
          <w:jc w:val="center"/>
        </w:trPr>
        <w:tc>
          <w:tcPr>
            <w:tcW w:w="2792" w:type="dxa"/>
            <w:tcBorders>
              <w:top w:val="nil"/>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牌号</w:t>
            </w:r>
          </w:p>
        </w:tc>
        <w:tc>
          <w:tcPr>
            <w:tcW w:w="1378"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③</w:t>
            </w:r>
          </w:p>
        </w:tc>
        <w:tc>
          <w:tcPr>
            <w:tcW w:w="2162"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熔炼号</w:t>
            </w:r>
          </w:p>
        </w:tc>
        <w:tc>
          <w:tcPr>
            <w:tcW w:w="1689"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④</w:t>
            </w:r>
          </w:p>
        </w:tc>
      </w:tr>
      <w:tr>
        <w:tblPrEx>
          <w:tblCellMar>
            <w:top w:w="0" w:type="dxa"/>
            <w:left w:w="108" w:type="dxa"/>
            <w:bottom w:w="0" w:type="dxa"/>
            <w:right w:w="108" w:type="dxa"/>
          </w:tblCellMar>
        </w:tblPrEx>
        <w:trPr>
          <w:trHeight w:val="593" w:hRule="atLeast"/>
          <w:jc w:val="center"/>
        </w:trPr>
        <w:tc>
          <w:tcPr>
            <w:tcW w:w="2792" w:type="dxa"/>
            <w:tcBorders>
              <w:top w:val="nil"/>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重量</w:t>
            </w:r>
          </w:p>
        </w:tc>
        <w:tc>
          <w:tcPr>
            <w:tcW w:w="1378"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⑤</w:t>
            </w:r>
          </w:p>
        </w:tc>
        <w:tc>
          <w:tcPr>
            <w:tcW w:w="2162"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件数</w:t>
            </w:r>
          </w:p>
        </w:tc>
        <w:tc>
          <w:tcPr>
            <w:tcW w:w="1689"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⑥</w:t>
            </w:r>
          </w:p>
        </w:tc>
      </w:tr>
      <w:tr>
        <w:tblPrEx>
          <w:tblCellMar>
            <w:top w:w="0" w:type="dxa"/>
            <w:left w:w="108" w:type="dxa"/>
            <w:bottom w:w="0" w:type="dxa"/>
            <w:right w:w="108" w:type="dxa"/>
          </w:tblCellMar>
        </w:tblPrEx>
        <w:trPr>
          <w:trHeight w:val="593" w:hRule="atLeast"/>
          <w:jc w:val="center"/>
        </w:trPr>
        <w:tc>
          <w:tcPr>
            <w:tcW w:w="2792" w:type="dxa"/>
            <w:tcBorders>
              <w:top w:val="nil"/>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是否分称</w:t>
            </w:r>
          </w:p>
        </w:tc>
        <w:tc>
          <w:tcPr>
            <w:tcW w:w="1378"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是/否</w:t>
            </w:r>
          </w:p>
        </w:tc>
        <w:tc>
          <w:tcPr>
            <w:tcW w:w="2162"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分称档位</w:t>
            </w:r>
          </w:p>
        </w:tc>
        <w:tc>
          <w:tcPr>
            <w:tcW w:w="1689"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⑦</w:t>
            </w:r>
          </w:p>
        </w:tc>
      </w:tr>
      <w:tr>
        <w:tblPrEx>
          <w:tblCellMar>
            <w:top w:w="0" w:type="dxa"/>
            <w:left w:w="108" w:type="dxa"/>
            <w:bottom w:w="0" w:type="dxa"/>
            <w:right w:w="108" w:type="dxa"/>
          </w:tblCellMar>
        </w:tblPrEx>
        <w:trPr>
          <w:trHeight w:val="528" w:hRule="atLeast"/>
          <w:jc w:val="center"/>
        </w:trPr>
        <w:tc>
          <w:tcPr>
            <w:tcW w:w="2792" w:type="dxa"/>
            <w:tcBorders>
              <w:top w:val="nil"/>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总箱数</w:t>
            </w:r>
          </w:p>
        </w:tc>
        <w:tc>
          <w:tcPr>
            <w:tcW w:w="1378"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⑧</w:t>
            </w:r>
          </w:p>
        </w:tc>
        <w:tc>
          <w:tcPr>
            <w:tcW w:w="2162"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分箱号</w:t>
            </w:r>
          </w:p>
        </w:tc>
        <w:tc>
          <w:tcPr>
            <w:tcW w:w="1689" w:type="dxa"/>
            <w:tcBorders>
              <w:top w:val="nil"/>
              <w:left w:val="nil"/>
              <w:bottom w:val="single" w:color="auto" w:sz="4" w:space="0"/>
              <w:right w:val="single" w:color="auto" w:sz="4" w:space="0"/>
            </w:tcBorders>
            <w:noWrap/>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⑨</w:t>
            </w:r>
          </w:p>
        </w:tc>
      </w:tr>
      <w:tr>
        <w:tblPrEx>
          <w:tblCellMar>
            <w:top w:w="0" w:type="dxa"/>
            <w:left w:w="108" w:type="dxa"/>
            <w:bottom w:w="0" w:type="dxa"/>
            <w:right w:w="108" w:type="dxa"/>
          </w:tblCellMar>
        </w:tblPrEx>
        <w:trPr>
          <w:trHeight w:val="593" w:hRule="atLeast"/>
          <w:jc w:val="center"/>
        </w:trPr>
        <w:tc>
          <w:tcPr>
            <w:tcW w:w="8021" w:type="dxa"/>
            <w:gridSpan w:val="4"/>
            <w:tcBorders>
              <w:top w:val="nil"/>
              <w:left w:val="nil"/>
              <w:bottom w:val="nil"/>
            </w:tcBorders>
            <w:noWrap/>
            <w:vAlign w:val="bottom"/>
          </w:tcPr>
          <w:p>
            <w:pPr>
              <w:widowControl/>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b/>
                <w:color w:val="0C0C0C"/>
                <w:kern w:val="0"/>
                <w:sz w:val="30"/>
                <w:szCs w:val="30"/>
              </w:rPr>
              <w:t>说明：</w:t>
            </w:r>
            <w:r>
              <w:rPr>
                <w:rFonts w:hint="eastAsia" w:ascii="仿宋_GB2312" w:hAnsi="仿宋_GB2312" w:eastAsia="仿宋_GB2312" w:cs="仿宋_GB2312"/>
                <w:color w:val="000000"/>
                <w:kern w:val="0"/>
                <w:sz w:val="30"/>
                <w:szCs w:val="30"/>
              </w:rPr>
              <w:t>①料产品名称   ②正料/边料/玻渣/不良品等  ③备料玻璃牌号</w:t>
            </w:r>
          </w:p>
        </w:tc>
      </w:tr>
      <w:tr>
        <w:tblPrEx>
          <w:tblCellMar>
            <w:top w:w="0" w:type="dxa"/>
            <w:left w:w="108" w:type="dxa"/>
            <w:bottom w:w="0" w:type="dxa"/>
            <w:right w:w="108" w:type="dxa"/>
          </w:tblCellMar>
        </w:tblPrEx>
        <w:trPr>
          <w:trHeight w:val="584" w:hRule="atLeast"/>
          <w:jc w:val="center"/>
        </w:trPr>
        <w:tc>
          <w:tcPr>
            <w:tcW w:w="8021" w:type="dxa"/>
            <w:gridSpan w:val="4"/>
            <w:tcBorders>
              <w:top w:val="nil"/>
              <w:left w:val="nil"/>
              <w:bottom w:val="nil"/>
            </w:tcBorders>
            <w:noWrap/>
            <w:vAlign w:val="bottom"/>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④对应的熔炼号   ⑤这一箱的重量（不含包装箱）   ⑥这一箱内备料件数</w:t>
            </w:r>
          </w:p>
        </w:tc>
      </w:tr>
      <w:tr>
        <w:tblPrEx>
          <w:tblCellMar>
            <w:top w:w="0" w:type="dxa"/>
            <w:left w:w="108" w:type="dxa"/>
            <w:bottom w:w="0" w:type="dxa"/>
            <w:right w:w="108" w:type="dxa"/>
          </w:tblCellMar>
        </w:tblPrEx>
        <w:trPr>
          <w:trHeight w:val="584" w:hRule="atLeast"/>
          <w:jc w:val="center"/>
        </w:trPr>
        <w:tc>
          <w:tcPr>
            <w:tcW w:w="8021" w:type="dxa"/>
            <w:gridSpan w:val="4"/>
            <w:tcBorders>
              <w:top w:val="nil"/>
              <w:left w:val="nil"/>
              <w:bottom w:val="nil"/>
            </w:tcBorders>
            <w:noWrap/>
            <w:vAlign w:val="bottom"/>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⑧分选的各档位   ⑨发回产品此批次的总箱数   ⑩分箱数</w:t>
            </w:r>
          </w:p>
        </w:tc>
      </w:tr>
    </w:tbl>
    <w:p>
      <w:pPr>
        <w:rPr>
          <w:rFonts w:hint="eastAsia" w:ascii="仿宋_GB2312" w:hAnsi="仿宋_GB2312" w:eastAsia="仿宋_GB2312" w:cs="仿宋_GB2312"/>
          <w:sz w:val="30"/>
          <w:szCs w:val="30"/>
          <w:lang w:val="en-US" w:eastAsia="zh-CN"/>
        </w:rPr>
      </w:pPr>
    </w:p>
    <w:p>
      <w:pPr>
        <w:pStyle w:val="36"/>
        <w:numPr>
          <w:ilvl w:val="0"/>
          <w:numId w:val="3"/>
        </w:numPr>
        <w:ind w:left="570" w:leftChars="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如有其它特殊要求，由我司接单员联系为准。</w:t>
      </w:r>
    </w:p>
    <w:p>
      <w:pPr>
        <w:pStyle w:val="36"/>
        <w:numPr>
          <w:ilvl w:val="0"/>
          <w:numId w:val="3"/>
        </w:numPr>
        <w:ind w:left="570" w:leftChars="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纸箱打包要求见下图。</w:t>
      </w:r>
    </w:p>
    <w:p>
      <w:pPr>
        <w:rPr>
          <w:rFonts w:ascii="宋体" w:hAnsi="宋体"/>
          <w:sz w:val="18"/>
          <w:szCs w:val="18"/>
        </w:rPr>
      </w:pPr>
      <w:r>
        <w:rPr>
          <w:rFonts w:ascii="宋体" w:hAnsi="宋体"/>
          <w:sz w:val="18"/>
          <w:szCs w:val="18"/>
        </w:rPr>
        <w:drawing>
          <wp:anchor distT="0" distB="0" distL="114300" distR="114300" simplePos="0" relativeHeight="251660288" behindDoc="0" locked="0" layoutInCell="1" allowOverlap="1">
            <wp:simplePos x="0" y="0"/>
            <wp:positionH relativeFrom="column">
              <wp:posOffset>3248025</wp:posOffset>
            </wp:positionH>
            <wp:positionV relativeFrom="paragraph">
              <wp:posOffset>88265</wp:posOffset>
            </wp:positionV>
            <wp:extent cx="1772285" cy="1526540"/>
            <wp:effectExtent l="0" t="0" r="10795" b="1270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1772285" cy="1526540"/>
                    </a:xfrm>
                    <a:prstGeom prst="rect">
                      <a:avLst/>
                    </a:prstGeom>
                    <a:noFill/>
                    <a:ln>
                      <a:noFill/>
                    </a:ln>
                  </pic:spPr>
                </pic:pic>
              </a:graphicData>
            </a:graphic>
          </wp:anchor>
        </w:drawing>
      </w:r>
      <w:r>
        <w:rPr>
          <w:rFonts w:ascii="宋体" w:hAnsi="宋体"/>
          <w:sz w:val="18"/>
          <w:szCs w:val="18"/>
        </w:rPr>
        <w:drawing>
          <wp:anchor distT="0" distB="0" distL="114300" distR="114300" simplePos="0" relativeHeight="251659264" behindDoc="0" locked="0" layoutInCell="1" allowOverlap="1">
            <wp:simplePos x="0" y="0"/>
            <wp:positionH relativeFrom="column">
              <wp:posOffset>575945</wp:posOffset>
            </wp:positionH>
            <wp:positionV relativeFrom="paragraph">
              <wp:posOffset>88265</wp:posOffset>
            </wp:positionV>
            <wp:extent cx="1797050" cy="1049655"/>
            <wp:effectExtent l="0" t="0" r="1270" b="1905"/>
            <wp:wrapNone/>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8"/>
                    <a:stretch>
                      <a:fillRect/>
                    </a:stretch>
                  </pic:blipFill>
                  <pic:spPr>
                    <a:xfrm>
                      <a:off x="0" y="0"/>
                      <a:ext cx="1797050" cy="1049655"/>
                    </a:xfrm>
                    <a:prstGeom prst="rect">
                      <a:avLst/>
                    </a:prstGeom>
                    <a:noFill/>
                    <a:ln>
                      <a:noFill/>
                    </a:ln>
                  </pic:spPr>
                </pic:pic>
              </a:graphicData>
            </a:graphic>
          </wp:anchor>
        </w:drawing>
      </w:r>
    </w:p>
    <w:p>
      <w:pPr>
        <w:rPr>
          <w:rFonts w:ascii="宋体" w:hAnsi="宋体"/>
          <w:sz w:val="18"/>
          <w:szCs w:val="18"/>
        </w:rPr>
      </w:pPr>
    </w:p>
    <w:p>
      <w:pPr>
        <w:rPr>
          <w:rFonts w:ascii="宋体" w:hAnsi="宋体"/>
          <w:sz w:val="18"/>
          <w:szCs w:val="18"/>
        </w:rPr>
      </w:pPr>
    </w:p>
    <w:p>
      <w:pPr>
        <w:rPr>
          <w:rFonts w:ascii="宋体" w:hAnsi="宋体"/>
          <w:sz w:val="18"/>
          <w:szCs w:val="18"/>
        </w:rPr>
      </w:pPr>
    </w:p>
    <w:p>
      <w:pPr>
        <w:rPr>
          <w:rFonts w:ascii="宋体" w:hAnsi="宋体"/>
          <w:sz w:val="18"/>
          <w:szCs w:val="18"/>
        </w:rPr>
      </w:pPr>
    </w:p>
    <w:p>
      <w:pPr>
        <w:rPr>
          <w:rFonts w:ascii="宋体" w:hAnsi="宋体"/>
          <w:sz w:val="18"/>
          <w:szCs w:val="18"/>
        </w:rPr>
      </w:pPr>
    </w:p>
    <w:p>
      <w:pPr>
        <w:rPr>
          <w:rFonts w:ascii="宋体" w:hAnsi="宋体"/>
          <w:sz w:val="18"/>
          <w:szCs w:val="18"/>
        </w:rPr>
      </w:pPr>
      <w:r>
        <w:rPr>
          <w:rFonts w:ascii="宋体" w:hAnsi="宋体"/>
          <w:sz w:val="18"/>
          <w:szCs w:val="18"/>
        </w:rPr>
        <w:drawing>
          <wp:anchor distT="0" distB="0" distL="114300" distR="114300" simplePos="0" relativeHeight="251661312" behindDoc="0" locked="0" layoutInCell="1" allowOverlap="1">
            <wp:simplePos x="0" y="0"/>
            <wp:positionH relativeFrom="column">
              <wp:posOffset>726440</wp:posOffset>
            </wp:positionH>
            <wp:positionV relativeFrom="paragraph">
              <wp:posOffset>139065</wp:posOffset>
            </wp:positionV>
            <wp:extent cx="1168400" cy="1391285"/>
            <wp:effectExtent l="0" t="0" r="5080" b="10795"/>
            <wp:wrapNone/>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9"/>
                    <a:stretch>
                      <a:fillRect/>
                    </a:stretch>
                  </pic:blipFill>
                  <pic:spPr>
                    <a:xfrm>
                      <a:off x="0" y="0"/>
                      <a:ext cx="1168400" cy="1391285"/>
                    </a:xfrm>
                    <a:prstGeom prst="rect">
                      <a:avLst/>
                    </a:prstGeom>
                    <a:noFill/>
                    <a:ln>
                      <a:noFill/>
                    </a:ln>
                  </pic:spPr>
                </pic:pic>
              </a:graphicData>
            </a:graphic>
          </wp:anchor>
        </w:drawing>
      </w:r>
    </w:p>
    <w:p>
      <w:pPr>
        <w:rPr>
          <w:rFonts w:ascii="宋体" w:hAnsi="宋体"/>
          <w:sz w:val="18"/>
          <w:szCs w:val="18"/>
        </w:rPr>
      </w:pPr>
    </w:p>
    <w:p>
      <w:pPr>
        <w:rPr>
          <w:rFonts w:ascii="宋体" w:hAnsi="宋体"/>
          <w:sz w:val="18"/>
          <w:szCs w:val="18"/>
        </w:rPr>
      </w:pPr>
    </w:p>
    <w:p>
      <w:pPr>
        <w:rPr>
          <w:rFonts w:ascii="宋体" w:hAnsi="宋体"/>
          <w:sz w:val="18"/>
          <w:szCs w:val="18"/>
        </w:rPr>
      </w:pPr>
    </w:p>
    <w:p>
      <w:pPr>
        <w:rPr>
          <w:rFonts w:ascii="宋体" w:hAnsi="宋体"/>
          <w:sz w:val="18"/>
          <w:szCs w:val="18"/>
        </w:rPr>
      </w:pPr>
      <w:r>
        <w:rPr>
          <w:rFonts w:ascii="宋体" w:hAnsi="宋体"/>
          <w:sz w:val="18"/>
          <w:szCs w:val="18"/>
        </w:rPr>
        <mc:AlternateContent>
          <mc:Choice Requires="wps">
            <w:drawing>
              <wp:anchor distT="0" distB="0" distL="114300" distR="114300" simplePos="0" relativeHeight="251662336" behindDoc="0" locked="0" layoutInCell="1" allowOverlap="1">
                <wp:simplePos x="0" y="0"/>
                <wp:positionH relativeFrom="column">
                  <wp:posOffset>2500630</wp:posOffset>
                </wp:positionH>
                <wp:positionV relativeFrom="paragraph">
                  <wp:posOffset>55245</wp:posOffset>
                </wp:positionV>
                <wp:extent cx="1028700" cy="533400"/>
                <wp:effectExtent l="12700" t="12700" r="25400" b="17780"/>
                <wp:wrapNone/>
                <wp:docPr id="6" name="矩形 6"/>
                <wp:cNvGraphicFramePr/>
                <a:graphic xmlns:a="http://schemas.openxmlformats.org/drawingml/2006/main">
                  <a:graphicData uri="http://schemas.microsoft.com/office/word/2010/wordprocessingShape">
                    <wps:wsp>
                      <wps:cNvSpPr/>
                      <wps:spPr>
                        <a:xfrm>
                          <a:off x="0" y="0"/>
                          <a:ext cx="1028700" cy="533400"/>
                        </a:xfrm>
                        <a:prstGeom prst="rect">
                          <a:avLst/>
                        </a:prstGeom>
                        <a:solidFill>
                          <a:srgbClr val="4BACC6"/>
                        </a:solidFill>
                        <a:ln w="25400" cap="flat" cmpd="sng" algn="ctr">
                          <a:solidFill>
                            <a:srgbClr val="357D91">
                              <a:shade val="50000"/>
                            </a:srgbClr>
                          </a:solidFill>
                          <a:prstDash val="solid"/>
                        </a:ln>
                        <a:effectLst/>
                      </wps:spPr>
                      <wps:txbx>
                        <w:txbxContent>
                          <w:p>
                            <w:pPr>
                              <w:jc w:val="center"/>
                              <w:rPr>
                                <w:color w:val="000000"/>
                              </w:rPr>
                            </w:pPr>
                            <w:r>
                              <w:rPr>
                                <w:rFonts w:hint="eastAsia"/>
                                <w:color w:val="000000"/>
                              </w:rPr>
                              <w:t>外协备料信息表黏贴位置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6.9pt;margin-top:4.35pt;height:42pt;width:81pt;z-index:251662336;v-text-anchor:middle;mso-width-relative:page;mso-height-relative:page;" fillcolor="#4BACC6" filled="t" stroked="t" coordsize="21600,21600" o:gfxdata="UEsDBAoAAAAAAIdO4kAAAAAAAAAAAAAAAAAEAAAAZHJzL1BLAwQUAAAACACHTuJAbiaD7dcAAAAI&#10;AQAADwAAAGRycy9kb3ducmV2LnhtbE2PMU/DMBCFdyT+g3VIbNRpq5AmxKkEiC6IgZQBNic+kgj7&#10;HMVuGv49xwTj0zt977tyvzgrZpzC4EnBepWAQGq9GahT8HZ8utmBCFGT0dYTKvjGAPvq8qLUhfFn&#10;esW5jp1gCIVCK+hjHAspQ9uj02HlRyTuPv3kdOQ4ddJM+sxwZ+UmSW6l0wPxQq9HfOix/apPTsG2&#10;lu+zzJ9f7GOTZcvx/tClHwelrq/WyR2IiEv8O4ZffVaHip0afyIThGVGvmX1qGCXgeA+TVPOjYJ8&#10;k4GsSvn/geoHUEsDBBQAAAAIAIdO4kA3sbbShAIAABcFAAAOAAAAZHJzL2Uyb0RvYy54bWytVEtu&#10;2zAQ3RfoHQjuG8mOnY9hOXBtpCgQNAbSomuaoiwB/JWkLaeXKdBdD9HjFL1GHyklsdMusqgX9Ixm&#10;+IbvcYbTq72SZCecb4wu6OAkp0RobspGbwr66eP1mwtKfGC6ZNJoUdB74enV7PWraWsnYmhqI0vh&#10;CEC0n7S2oHUIdpJlntdCMX9irNAIVsYpFuC6TVY61gJdyWyY52dZa1xpneHCe3xddkHaI7qXAJqq&#10;arhYGr5VQocO1QnJAij5urGeztJpq0rwcFtVXgQiCwqmIa0oAnsd12w2ZZONY7ZueH8E9pIjPOOk&#10;WKNR9BFqyQIjW9f8BaUa7ow3VTjhRmUdkaQIWAzyZ9rc1cyKxAVSe/souv9/sPzDbuVIUxb0jBLN&#10;FC7897cfv35+J2dRm9b6CVLu7Mr1nocZie4rp+I/KJB90vP+UU+xD4Tj4yAfXpznkJojNj49HcEG&#10;TPa02zof3gmjSDQK6nBfSUa2u/GhS31IicW8kU153UiZHLdZL6QjO4a7Hb2dLxbpyEA/SpOatAUd&#10;jmNxwhk6tkKnwFQWrL3eUMLkBqPAg0u1j3b7wyKn4/Pl5aBLqlkputLjHL+eV5+eOB7hRBZL5utu&#10;Swr1W6SOZETq1Z50VL3TOVphv9734q9NeY/rcqbrY2/5dQPgG+bDijk0LihitMMtlkoa8Da9RUlt&#10;3Nd/fY/56CdEKWkxCNDky5Y5QYl8r9Fpl4PRCLAhOaPx+RCOO4ysDyN6qxYG9zHAI2J5MmN+kA9m&#10;5Yz6jBdgHqsixDRH7U793lmEbkDxhnAxn6c0TItl4UbfWR7Bo2TazLfBVE3qkyhUpw60jw7mJd1C&#10;P9txIA/9lPX0ns3+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G4mg+3XAAAACAEAAA8AAAAAAAAA&#10;AQAgAAAAIgAAAGRycy9kb3ducmV2LnhtbFBLAQIUABQAAAAIAIdO4kA3sbbShAIAABcFAAAOAAAA&#10;AAAAAAEAIAAAACYBAABkcnMvZTJvRG9jLnhtbFBLBQYAAAAABgAGAFkBAAAcBgAAAAA=&#10;">
                <v:fill on="t" focussize="0,0"/>
                <v:stroke weight="2pt" color="#245A69" joinstyle="round"/>
                <v:imagedata o:title=""/>
                <o:lock v:ext="edit" aspectratio="f"/>
                <v:textbox>
                  <w:txbxContent>
                    <w:p>
                      <w:pPr>
                        <w:jc w:val="center"/>
                        <w:rPr>
                          <w:color w:val="000000"/>
                        </w:rPr>
                      </w:pPr>
                      <w:r>
                        <w:rPr>
                          <w:rFonts w:hint="eastAsia"/>
                          <w:color w:val="000000"/>
                        </w:rPr>
                        <w:t>外协备料信息表黏贴位置</w:t>
                      </w:r>
                    </w:p>
                  </w:txbxContent>
                </v:textbox>
              </v:rect>
            </w:pict>
          </mc:Fallback>
        </mc:AlternateContent>
      </w:r>
      <w:r>
        <w:rPr>
          <w:rFonts w:hint="eastAsia" w:ascii="宋体" w:hAnsi="宋体"/>
          <w:sz w:val="18"/>
          <w:szCs w:val="18"/>
        </w:rPr>
        <w:t xml:space="preserve">                                               </w:t>
      </w:r>
    </w:p>
    <w:p>
      <w:pPr>
        <w:rPr>
          <w:rFonts w:ascii="宋体" w:hAnsi="宋体"/>
          <w:sz w:val="18"/>
          <w:szCs w:val="18"/>
        </w:rPr>
      </w:pPr>
      <w:r>
        <w:rPr>
          <w:rFonts w:ascii="宋体" w:hAnsi="宋体"/>
          <w:sz w:val="18"/>
          <w:szCs w:val="18"/>
        </w:rPr>
        <mc:AlternateContent>
          <mc:Choice Requires="wps">
            <w:drawing>
              <wp:anchor distT="0" distB="0" distL="114300" distR="114300" simplePos="0" relativeHeight="251663360" behindDoc="0" locked="0" layoutInCell="1" allowOverlap="1">
                <wp:simplePos x="0" y="0"/>
                <wp:positionH relativeFrom="column">
                  <wp:posOffset>1458595</wp:posOffset>
                </wp:positionH>
                <wp:positionV relativeFrom="paragraph">
                  <wp:posOffset>123190</wp:posOffset>
                </wp:positionV>
                <wp:extent cx="989965" cy="133350"/>
                <wp:effectExtent l="0" t="9525" r="15875" b="55245"/>
                <wp:wrapNone/>
                <wp:docPr id="7" name="直接箭头连接符 7"/>
                <wp:cNvGraphicFramePr/>
                <a:graphic xmlns:a="http://schemas.openxmlformats.org/drawingml/2006/main">
                  <a:graphicData uri="http://schemas.microsoft.com/office/word/2010/wordprocessingShape">
                    <wps:wsp>
                      <wps:cNvCnPr/>
                      <wps:spPr>
                        <a:xfrm flipH="1">
                          <a:off x="0" y="0"/>
                          <a:ext cx="989965" cy="133350"/>
                        </a:xfrm>
                        <a:prstGeom prst="straightConnector1">
                          <a:avLst/>
                        </a:prstGeom>
                        <a:noFill/>
                        <a:ln w="19050" cap="flat" cmpd="sng" algn="ctr">
                          <a:solidFill>
                            <a:srgbClr val="1F497D"/>
                          </a:solidFill>
                          <a:prstDash val="solid"/>
                          <a:tailEnd type="arrow"/>
                        </a:ln>
                        <a:effectLst/>
                      </wps:spPr>
                      <wps:bodyPr/>
                    </wps:wsp>
                  </a:graphicData>
                </a:graphic>
              </wp:anchor>
            </w:drawing>
          </mc:Choice>
          <mc:Fallback>
            <w:pict>
              <v:shape id="_x0000_s1026" o:spid="_x0000_s1026" o:spt="32" type="#_x0000_t32" style="position:absolute;left:0pt;flip:x;margin-left:114.85pt;margin-top:9.7pt;height:10.5pt;width:77.95pt;z-index:251663360;mso-width-relative:page;mso-height-relative:page;" filled="f" stroked="t" coordsize="21600,21600" o:gfxdata="UEsDBAoAAAAAAIdO4kAAAAAAAAAAAAAAAAAEAAAAZHJzL1BLAwQUAAAACACHTuJAQlC4d9kAAAAJ&#10;AQAADwAAAGRycy9kb3ducmV2LnhtbE2PMU/DMBCFdyT+g3VIbNRumpQ2xOmAoBJLK0KHjm5yJIH4&#10;HMVO2/x7jgnG0/v03nfZ5mo7ccbBt440zGcKBFLpqpZqDYeP14cVCB8MVaZzhBom9LDJb28yk1bu&#10;Qu94LkItuIR8ajQ0IfSplL5s0Bo/cz0SZ59usCbwOdSyGsyFy20nI6WW0pqWeKExPT43WH4Xo9Ww&#10;T9SbC8m02G5xd/x66cep2I1a39/N1ROIgNfwB8OvPqtDzk4nN1LlRachitaPjHKwjkEwsFglSxAn&#10;DbGKQeaZ/P9B/gNQSwMEFAAAAAgAh07iQBiH6R4NAgAA5AMAAA4AAABkcnMvZTJvRG9jLnhtbK1T&#10;S44TMRDdI3EHy3vSyYT5JEpnFgmBBYJIwAEct7vbkn+q8qSTS3ABJFbAamA1e04DwzEou0M0DJtZ&#10;sLGqXK5X9V6VZ5c7a9hWAWrvSj4aDDlTTvpKu6bk796unlxwhlG4ShjvVMn3Cvnl/PGjWRem6sS3&#10;3lQKGIE4nHah5G2MYVoUKFtlBQ58UI6CtQcrIrnQFBWIjtCtKU6Gw7Oi81AF8FIh0u2yD/IDIjwE&#10;0Ne1lmrp5ZVVLvaooIyIRAlbHZDPc7d1rWR8XdeoIjMlJ6Yxn1SE7E06i/lMTBsQodXy0IJ4SAv3&#10;OFmhHRU9Qi1FFOwK9D9QVkvw6Os4kN4WPZGsCLEYDe9p86YVQWUuJDWGo+j4/2Dlq+0amK5Kfs6Z&#10;E5YGfvvh5uf7z7ffvv74dPPr+8dkX39h50mqLuCUMhZuDQcPwxoS710NltVGhxe0U1kJ4sZ2Wej9&#10;UWi1i0zS5eRiMjk75UxSaDQej0/zIIoeJsEFwPhcecuSUXKMIHTTxoV3jkbqoS8hti8xUiOU+Cch&#10;JTu/0sbkyRrHOioxGVIFJgWta01rQqYNRBldw5kwDf0DGSF3jd7oKqUnIIRmszDAtoK2Z7R6Ojlf&#10;JhWo3F/PUu2lwLZ/l0P9XkWhzTNXsbgPpKsA8N0h37iEr/KCHjgkbXs1k7Xx1T6LXCSPhp/LHhY1&#10;bdddn+y7n3P+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JQuHfZAAAACQEAAA8AAAAAAAAAAQAg&#10;AAAAIgAAAGRycy9kb3ducmV2LnhtbFBLAQIUABQAAAAIAIdO4kAYh+keDQIAAOQDAAAOAAAAAAAA&#10;AAEAIAAAACgBAABkcnMvZTJvRG9jLnhtbFBLBQYAAAAABgAGAFkBAACnBQAAAAA=&#10;">
                <v:fill on="f" focussize="0,0"/>
                <v:stroke weight="1.5pt" color="#1F497D" joinstyle="round" endarrow="open"/>
                <v:imagedata o:title=""/>
                <o:lock v:ext="edit" aspectratio="f"/>
              </v:shape>
            </w:pict>
          </mc:Fallback>
        </mc:AlternateContent>
      </w:r>
      <w:r>
        <w:rPr>
          <w:rFonts w:ascii="宋体" w:hAnsi="宋体"/>
          <w:sz w:val="18"/>
          <w:szCs w:val="18"/>
        </w:rPr>
        <mc:AlternateContent>
          <mc:Choice Requires="wps">
            <w:drawing>
              <wp:anchor distT="0" distB="0" distL="114300" distR="114300" simplePos="0" relativeHeight="251664384" behindDoc="0" locked="0" layoutInCell="1" allowOverlap="1">
                <wp:simplePos x="0" y="0"/>
                <wp:positionH relativeFrom="column">
                  <wp:posOffset>1038860</wp:posOffset>
                </wp:positionH>
                <wp:positionV relativeFrom="paragraph">
                  <wp:posOffset>123190</wp:posOffset>
                </wp:positionV>
                <wp:extent cx="419735" cy="346075"/>
                <wp:effectExtent l="12700" t="12700" r="24765" b="22225"/>
                <wp:wrapNone/>
                <wp:docPr id="8" name="椭圆 8"/>
                <wp:cNvGraphicFramePr/>
                <a:graphic xmlns:a="http://schemas.openxmlformats.org/drawingml/2006/main">
                  <a:graphicData uri="http://schemas.microsoft.com/office/word/2010/wordprocessingShape">
                    <wps:wsp>
                      <wps:cNvSpPr/>
                      <wps:spPr>
                        <a:xfrm>
                          <a:off x="0" y="0"/>
                          <a:ext cx="419735" cy="346075"/>
                        </a:xfrm>
                        <a:prstGeom prst="ellipse">
                          <a:avLst/>
                        </a:prstGeom>
                        <a:noFill/>
                        <a:ln w="25400" cap="flat" cmpd="sng" algn="ctr">
                          <a:solidFill>
                            <a:srgbClr val="0070C0"/>
                          </a:solidFill>
                          <a:prstDash val="solid"/>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1.8pt;margin-top:9.7pt;height:27.25pt;width:33.05pt;z-index:251664384;v-text-anchor:middle;mso-width-relative:page;mso-height-relative:page;" filled="f" stroked="t" coordsize="21600,21600" o:gfxdata="UEsDBAoAAAAAAIdO4kAAAAAAAAAAAAAAAAAEAAAAZHJzL1BLAwQUAAAACACHTuJAgf2aTdkAAAAJ&#10;AQAADwAAAGRycy9kb3ducmV2LnhtbE2PwU7DMAyG70i8Q2QkLoil66aOlqbTQHAaFwpIHL0mNNUa&#10;p2qydXt7zGnc/Muffn8u1yfXi6MZQ+dJwXyWgDDUeN1Rq+Dz4/X+AUSISBp7T0bB2QRYV9dXJRba&#10;T/RujnVsBZdQKFCBjXEopAyNNQ7DzA+GePfjR4eR49hKPeLE5a6XaZJk0mFHfMHiYJ6tafb1wSm4&#10;O9uvrKaXTfe9bN7sttvg035S6vZmnjyCiOYULzD86bM6VOy08wfSQfScs0XGKA/5EgQDaZqvQOwU&#10;rBY5yKqU/z+ofgFQSwMEFAAAAAgAh07iQA0WR4JuAgAAzwQAAA4AAABkcnMvZTJvRG9jLnhtbK1U&#10;zW4TMRC+I/EOlu9kN2nStKtuqihREFJFKxXEeeK1s5b8h+1kUx6Ap+DIlceC52Ds3f5QOPTAZTPj&#10;GX/29/mbXFwetSIH7oO0pqbjUUkJN8w20uxq+vHD5s0ZJSGCaUBZw2t6xwO9XLx+ddG5ik9sa1XD&#10;PUEQE6rO1bSN0VVFEVjLNYSRddxgUVivIWLqd0XjoUN0rYpJWZ4WnfWN85bxEHB13RfpgOhfAmiF&#10;kIyvLdtrbmKP6rmCiJRCK12gi3xbITiL10IEHomqKTKN+YuHYLxN32JxAdXOg2slG64AL7nCM04a&#10;pMFDH6DWEIHsvfwLSkvmbbAijpjVRU8kK4IsxuUzbW5bcDxzQamDexA9/D9Y9v5w44lsaorPbkDj&#10;g//6/uPnt6/kLGnTuVBhy6278UMWMExEj8Lr9IsUyDHrefegJz9GwnBxOj6fn8woYVg6mZ6W81nC&#10;LB43Ox/iW241SUFNuVL4eIkxVHC4CrHvvu9Ky8ZupFK4DpUypKvpZDYt8TEZoBUFWgBD7ZBOMDtK&#10;QO3Q4yz6DBmskk3annYHv9uulCcHSM4o5+UqmwEv90dbOnsNoe37cmngoEyC4dljw1WTWr0+KYrH&#10;7XEQbWubO5TZ295/wbGNROArCPEGPBoOGeBIxmv8CGWRlh0iSlrrv/xrPfWjD7BKSYcGRsqf9+A5&#10;JeqdQYecj6fT5PicTGfzCSb+aWX7tGL2emVRiTEOv2M5TP1R3YfCW/0JJ3eZTsUSGIZn9+IOySr2&#10;g4Wzz/hymdvQ5Q7ilbl1LIH3T7jcRytkft0kVK8OGiMl6PNskWEm0yA9zXPX4//Q4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B/ZpN2QAAAAkBAAAPAAAAAAAAAAEAIAAAACIAAABkcnMvZG93bnJl&#10;di54bWxQSwECFAAUAAAACACHTuJADRZHgm4CAADPBAAADgAAAAAAAAABACAAAAAoAQAAZHJzL2Uy&#10;b0RvYy54bWxQSwUGAAAAAAYABgBZAQAACAYAAAAA&#10;">
                <v:fill on="f" focussize="0,0"/>
                <v:stroke weight="2pt" color="#0070C0" joinstyle="round"/>
                <v:imagedata o:title=""/>
                <o:lock v:ext="edit" aspectratio="f"/>
                <v:textbox>
                  <w:txbxContent>
                    <w:p>
                      <w:pPr>
                        <w:jc w:val="center"/>
                      </w:pPr>
                    </w:p>
                  </w:txbxContent>
                </v:textbox>
              </v:shape>
            </w:pict>
          </mc:Fallback>
        </mc:AlternateContent>
      </w:r>
    </w:p>
    <w:p>
      <w:pPr>
        <w:spacing w:line="540" w:lineRule="exact"/>
        <w:rPr>
          <w:rFonts w:ascii="宋体" w:hAnsi="宋体" w:eastAsia="宋体"/>
          <w:sz w:val="44"/>
          <w:szCs w:val="44"/>
        </w:rPr>
      </w:pPr>
    </w:p>
    <w:p>
      <w:pPr>
        <w:spacing w:line="540" w:lineRule="exact"/>
        <w:rPr>
          <w:rFonts w:ascii="宋体" w:hAnsi="宋体" w:eastAsia="宋体"/>
          <w:sz w:val="44"/>
          <w:szCs w:val="44"/>
        </w:rPr>
      </w:pPr>
    </w:p>
    <w:p>
      <w:pPr>
        <w:spacing w:line="540" w:lineRule="exact"/>
        <w:rPr>
          <w:rFonts w:ascii="宋体" w:hAnsi="宋体" w:eastAsia="宋体"/>
          <w:sz w:val="44"/>
          <w:szCs w:val="44"/>
        </w:rPr>
      </w:pPr>
    </w:p>
    <w:p>
      <w:pPr>
        <w:spacing w:line="540" w:lineRule="exact"/>
        <w:jc w:val="center"/>
        <w:rPr>
          <w:rFonts w:hint="eastAsia" w:ascii="宋体" w:hAnsi="宋体" w:eastAsia="宋体"/>
          <w:sz w:val="44"/>
          <w:szCs w:val="44"/>
        </w:rPr>
      </w:pPr>
    </w:p>
    <w:p>
      <w:pPr>
        <w:spacing w:line="540" w:lineRule="exact"/>
        <w:jc w:val="center"/>
        <w:rPr>
          <w:rFonts w:hint="eastAsia" w:ascii="宋体" w:hAnsi="宋体" w:eastAsia="宋体"/>
          <w:sz w:val="44"/>
          <w:szCs w:val="44"/>
        </w:rPr>
      </w:pPr>
    </w:p>
    <w:p>
      <w:pPr>
        <w:spacing w:line="540" w:lineRule="exact"/>
        <w:jc w:val="center"/>
        <w:rPr>
          <w:rFonts w:hint="eastAsia" w:ascii="宋体" w:hAnsi="宋体" w:eastAsia="宋体"/>
          <w:sz w:val="44"/>
          <w:szCs w:val="44"/>
        </w:rPr>
      </w:pPr>
    </w:p>
    <w:p>
      <w:pPr>
        <w:spacing w:line="540" w:lineRule="exact"/>
        <w:jc w:val="center"/>
        <w:rPr>
          <w:rFonts w:hint="eastAsia" w:ascii="宋体" w:hAnsi="宋体" w:eastAsia="宋体"/>
          <w:sz w:val="44"/>
          <w:szCs w:val="44"/>
        </w:rPr>
      </w:pPr>
    </w:p>
    <w:p>
      <w:pPr>
        <w:spacing w:line="540" w:lineRule="exact"/>
        <w:jc w:val="center"/>
        <w:rPr>
          <w:rFonts w:hint="eastAsia" w:ascii="宋体" w:hAnsi="宋体" w:eastAsia="宋体"/>
          <w:sz w:val="44"/>
          <w:szCs w:val="44"/>
        </w:rPr>
      </w:pPr>
    </w:p>
    <w:p>
      <w:pPr>
        <w:spacing w:line="540" w:lineRule="exact"/>
        <w:jc w:val="center"/>
        <w:rPr>
          <w:rFonts w:hint="eastAsia" w:ascii="宋体" w:hAnsi="宋体" w:eastAsia="宋体"/>
          <w:sz w:val="44"/>
          <w:szCs w:val="44"/>
        </w:rPr>
      </w:pPr>
    </w:p>
    <w:p>
      <w:pPr>
        <w:spacing w:line="540" w:lineRule="exact"/>
        <w:jc w:val="both"/>
        <w:rPr>
          <w:rFonts w:hint="eastAsia" w:ascii="宋体" w:hAnsi="宋体" w:eastAsia="宋体"/>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第四部分 评分标准</w:t>
      </w:r>
    </w:p>
    <w:p>
      <w:pPr>
        <w:spacing w:line="540" w:lineRule="exact"/>
        <w:ind w:firstLine="3840" w:firstLineChars="1200"/>
        <w:jc w:val="both"/>
        <w:rPr>
          <w:rFonts w:hint="eastAsia" w:ascii="仿宋_GB2312" w:hAnsi="仿宋_GB2312" w:eastAsia="仿宋_GB2312" w:cs="仿宋_GB2312"/>
          <w:b w:val="0"/>
          <w:bCs/>
          <w:sz w:val="32"/>
          <w:szCs w:val="32"/>
          <w:highlight w:val="none"/>
        </w:rPr>
      </w:pPr>
    </w:p>
    <w:p>
      <w:pPr>
        <w:spacing w:line="540" w:lineRule="exact"/>
        <w:ind w:firstLine="3200" w:firstLineChars="800"/>
        <w:jc w:val="both"/>
        <w:rPr>
          <w:rFonts w:hint="eastAsia" w:ascii="黑体" w:hAnsi="黑体" w:eastAsia="黑体" w:cs="黑体"/>
          <w:b w:val="0"/>
          <w:bCs/>
          <w:sz w:val="40"/>
          <w:szCs w:val="40"/>
          <w:highlight w:val="none"/>
        </w:rPr>
      </w:pPr>
      <w:r>
        <w:rPr>
          <w:rFonts w:hint="eastAsia" w:ascii="黑体" w:hAnsi="黑体" w:eastAsia="黑体" w:cs="黑体"/>
          <w:b w:val="0"/>
          <w:bCs/>
          <w:sz w:val="40"/>
          <w:szCs w:val="40"/>
          <w:highlight w:val="none"/>
        </w:rPr>
        <w:t>询价采购评分表</w:t>
      </w:r>
    </w:p>
    <w:p>
      <w:pPr>
        <w:spacing w:line="540" w:lineRule="exact"/>
        <w:jc w:val="both"/>
        <w:rPr>
          <w:rFonts w:hint="eastAsia" w:ascii="黑体" w:hAnsi="黑体" w:eastAsia="黑体" w:cs="黑体"/>
          <w:b w:val="0"/>
          <w:bCs/>
          <w:sz w:val="40"/>
          <w:szCs w:val="40"/>
          <w:highlight w:val="none"/>
        </w:rPr>
      </w:pPr>
    </w:p>
    <w:tbl>
      <w:tblPr>
        <w:tblStyle w:val="15"/>
        <w:tblW w:w="9638" w:type="dxa"/>
        <w:tblInd w:w="-34" w:type="dxa"/>
        <w:tblLayout w:type="fixed"/>
        <w:tblCellMar>
          <w:top w:w="0" w:type="dxa"/>
          <w:left w:w="108" w:type="dxa"/>
          <w:bottom w:w="0" w:type="dxa"/>
          <w:right w:w="108" w:type="dxa"/>
        </w:tblCellMar>
      </w:tblPr>
      <w:tblGrid>
        <w:gridCol w:w="903"/>
        <w:gridCol w:w="1404"/>
        <w:gridCol w:w="852"/>
        <w:gridCol w:w="6479"/>
      </w:tblGrid>
      <w:tr>
        <w:tblPrEx>
          <w:tblCellMar>
            <w:top w:w="0" w:type="dxa"/>
            <w:left w:w="108" w:type="dxa"/>
            <w:bottom w:w="0" w:type="dxa"/>
            <w:right w:w="108" w:type="dxa"/>
          </w:tblCellMar>
        </w:tblPrEx>
        <w:trPr>
          <w:trHeight w:val="938" w:hRule="atLeast"/>
        </w:trPr>
        <w:tc>
          <w:tcPr>
            <w:tcW w:w="903"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序号</w:t>
            </w:r>
          </w:p>
        </w:tc>
        <w:tc>
          <w:tcPr>
            <w:tcW w:w="1404"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评分因素</w:t>
            </w:r>
          </w:p>
        </w:tc>
        <w:tc>
          <w:tcPr>
            <w:tcW w:w="852"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分值</w:t>
            </w:r>
          </w:p>
        </w:tc>
        <w:tc>
          <w:tcPr>
            <w:tcW w:w="6479"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评分标准</w:t>
            </w:r>
          </w:p>
        </w:tc>
      </w:tr>
      <w:tr>
        <w:tblPrEx>
          <w:tblCellMar>
            <w:top w:w="0" w:type="dxa"/>
            <w:left w:w="108" w:type="dxa"/>
            <w:bottom w:w="0" w:type="dxa"/>
            <w:right w:w="108" w:type="dxa"/>
          </w:tblCellMar>
        </w:tblPrEx>
        <w:trPr>
          <w:trHeight w:val="1402" w:hRule="atLeast"/>
        </w:trPr>
        <w:tc>
          <w:tcPr>
            <w:tcW w:w="903" w:type="dxa"/>
            <w:tcBorders>
              <w:top w:val="nil"/>
              <w:left w:val="single" w:color="auto" w:sz="4" w:space="0"/>
              <w:bottom w:val="single" w:color="auto" w:sz="4" w:space="0"/>
              <w:right w:val="single" w:color="auto" w:sz="4" w:space="0"/>
            </w:tcBorders>
            <w:noWrap/>
            <w:vAlign w:val="center"/>
          </w:tcPr>
          <w:p>
            <w:pPr>
              <w:widowControl/>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p>
        </w:tc>
        <w:tc>
          <w:tcPr>
            <w:tcW w:w="1404"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价格</w:t>
            </w:r>
          </w:p>
        </w:tc>
        <w:tc>
          <w:tcPr>
            <w:tcW w:w="852"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40</w:t>
            </w:r>
          </w:p>
        </w:tc>
        <w:tc>
          <w:tcPr>
            <w:tcW w:w="6479" w:type="dxa"/>
            <w:tcBorders>
              <w:top w:val="nil"/>
              <w:left w:val="nil"/>
              <w:bottom w:val="single" w:color="auto" w:sz="4" w:space="0"/>
              <w:right w:val="single" w:color="auto" w:sz="4" w:space="0"/>
            </w:tcBorders>
            <w:noWrap/>
            <w:vAlign w:val="bottom"/>
          </w:tcPr>
          <w:p>
            <w:pPr>
              <w:widowControl/>
              <w:spacing w:line="4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评分标准：每单项报价最低报价者得10分，次低报价者得8分，以此类推，得分最低0分，再将每项得分相加求得总得分，最高者得40分，次低者30分，以此类推，最低得分不低于0分</w:t>
            </w:r>
          </w:p>
        </w:tc>
      </w:tr>
      <w:tr>
        <w:tblPrEx>
          <w:tblCellMar>
            <w:top w:w="0" w:type="dxa"/>
            <w:left w:w="108" w:type="dxa"/>
            <w:bottom w:w="0" w:type="dxa"/>
            <w:right w:w="108" w:type="dxa"/>
          </w:tblCellMar>
        </w:tblPrEx>
        <w:trPr>
          <w:trHeight w:val="938" w:hRule="atLeast"/>
        </w:trPr>
        <w:tc>
          <w:tcPr>
            <w:tcW w:w="903" w:type="dxa"/>
            <w:tcBorders>
              <w:top w:val="nil"/>
              <w:left w:val="single" w:color="auto" w:sz="4" w:space="0"/>
              <w:bottom w:val="single" w:color="auto" w:sz="4" w:space="0"/>
              <w:right w:val="single" w:color="auto" w:sz="4" w:space="0"/>
            </w:tcBorders>
            <w:noWrap/>
            <w:vAlign w:val="center"/>
          </w:tcPr>
          <w:p>
            <w:pPr>
              <w:widowControl/>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p>
        </w:tc>
        <w:tc>
          <w:tcPr>
            <w:tcW w:w="1404"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供给能力</w:t>
            </w:r>
          </w:p>
        </w:tc>
        <w:tc>
          <w:tcPr>
            <w:tcW w:w="852"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30</w:t>
            </w:r>
          </w:p>
        </w:tc>
        <w:tc>
          <w:tcPr>
            <w:tcW w:w="6479" w:type="dxa"/>
            <w:tcBorders>
              <w:top w:val="nil"/>
              <w:left w:val="nil"/>
              <w:bottom w:val="single" w:color="auto" w:sz="4" w:space="0"/>
              <w:right w:val="single" w:color="auto" w:sz="4" w:space="0"/>
            </w:tcBorders>
            <w:noWrap/>
            <w:vAlign w:val="bottom"/>
          </w:tcPr>
          <w:p>
            <w:pPr>
              <w:widowControl/>
              <w:spacing w:line="4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每天供给产能最高者得30分，次低者得20分，以此类推，最低得分不低于0分</w:t>
            </w:r>
          </w:p>
        </w:tc>
      </w:tr>
      <w:tr>
        <w:tblPrEx>
          <w:tblCellMar>
            <w:top w:w="0" w:type="dxa"/>
            <w:left w:w="108" w:type="dxa"/>
            <w:bottom w:w="0" w:type="dxa"/>
            <w:right w:w="108" w:type="dxa"/>
          </w:tblCellMar>
        </w:tblPrEx>
        <w:trPr>
          <w:trHeight w:val="1234" w:hRule="atLeast"/>
        </w:trPr>
        <w:tc>
          <w:tcPr>
            <w:tcW w:w="903" w:type="dxa"/>
            <w:tcBorders>
              <w:top w:val="single" w:color="auto" w:sz="4" w:space="0"/>
              <w:left w:val="single" w:color="auto" w:sz="4" w:space="0"/>
              <w:bottom w:val="single" w:color="auto" w:sz="4" w:space="0"/>
              <w:right w:val="single" w:color="auto" w:sz="4" w:space="0"/>
            </w:tcBorders>
            <w:noWrap/>
            <w:vAlign w:val="center"/>
          </w:tcPr>
          <w:p>
            <w:pPr>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w:t>
            </w:r>
          </w:p>
        </w:tc>
        <w:tc>
          <w:tcPr>
            <w:tcW w:w="1404" w:type="dxa"/>
            <w:tcBorders>
              <w:top w:val="single" w:color="auto" w:sz="4" w:space="0"/>
              <w:left w:val="nil"/>
              <w:bottom w:val="single" w:color="auto" w:sz="4" w:space="0"/>
              <w:right w:val="single" w:color="auto" w:sz="4" w:space="0"/>
            </w:tcBorders>
            <w:noWrap/>
            <w:vAlign w:val="center"/>
          </w:tcPr>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交付及时性</w:t>
            </w:r>
          </w:p>
        </w:tc>
        <w:tc>
          <w:tcPr>
            <w:tcW w:w="852" w:type="dxa"/>
            <w:tcBorders>
              <w:top w:val="single" w:color="auto" w:sz="4" w:space="0"/>
              <w:left w:val="nil"/>
              <w:bottom w:val="single" w:color="auto" w:sz="4" w:space="0"/>
              <w:right w:val="single" w:color="auto" w:sz="4" w:space="0"/>
            </w:tcBorders>
            <w:noWrap/>
            <w:vAlign w:val="center"/>
          </w:tcPr>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30</w:t>
            </w:r>
          </w:p>
        </w:tc>
        <w:tc>
          <w:tcPr>
            <w:tcW w:w="6479" w:type="dxa"/>
            <w:tcBorders>
              <w:top w:val="single" w:color="auto" w:sz="4" w:space="0"/>
              <w:left w:val="nil"/>
              <w:bottom w:val="single" w:color="auto" w:sz="4" w:space="0"/>
              <w:right w:val="single" w:color="auto" w:sz="4" w:space="0"/>
            </w:tcBorders>
            <w:noWrap/>
            <w:vAlign w:val="bottom"/>
          </w:tcPr>
          <w:p>
            <w:pPr>
              <w:spacing w:line="4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交付周期最短得30分，次短者得分20，以此类推，最低得分不低于0分</w:t>
            </w:r>
          </w:p>
        </w:tc>
      </w:tr>
    </w:tbl>
    <w:p>
      <w:pPr>
        <w:widowControl/>
        <w:spacing w:line="400" w:lineRule="exact"/>
        <w:ind w:firstLine="560" w:firstLineChars="200"/>
        <w:rPr>
          <w:rFonts w:hint="eastAsia" w:ascii="仿宋_GB2312" w:hAnsi="仿宋_GB2312" w:eastAsia="仿宋_GB2312" w:cs="仿宋_GB2312"/>
          <w:kern w:val="0"/>
          <w:sz w:val="28"/>
          <w:szCs w:val="28"/>
          <w:lang w:eastAsia="zh-CN"/>
        </w:rPr>
      </w:pPr>
    </w:p>
    <w:p>
      <w:pPr>
        <w:widowControl/>
        <w:spacing w:line="400" w:lineRule="exact"/>
        <w:ind w:firstLine="560" w:firstLineChars="200"/>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eastAsia="zh-CN"/>
        </w:rPr>
        <w:t>此次询价采购，将依据供应商考核得分高低排序，原则上选择得分最高三家供应商作为合作方。</w:t>
      </w:r>
    </w:p>
    <w:p>
      <w:pPr>
        <w:widowControl/>
        <w:ind w:firstLine="800" w:firstLineChars="200"/>
        <w:jc w:val="both"/>
        <w:rPr>
          <w:rFonts w:hint="eastAsia" w:ascii="宋体" w:hAnsi="宋体" w:eastAsia="宋体" w:cs="宋体"/>
          <w:kern w:val="0"/>
          <w:sz w:val="40"/>
          <w:szCs w:val="40"/>
          <w:highlight w:val="none"/>
          <w:lang w:eastAsia="zh-CN"/>
        </w:rPr>
      </w:pPr>
    </w:p>
    <w:p>
      <w:pPr>
        <w:spacing w:line="540" w:lineRule="exact"/>
        <w:rPr>
          <w:rFonts w:hint="eastAsia" w:ascii="仿宋_GB2312" w:hAnsi="仿宋_GB2312" w:eastAsia="仿宋_GB2312" w:cs="仿宋_GB2312"/>
          <w:kern w:val="0"/>
          <w:sz w:val="24"/>
        </w:rPr>
      </w:pPr>
      <w:r>
        <w:rPr>
          <w:rFonts w:hint="eastAsia" w:ascii="宋体" w:hAnsi="宋体" w:eastAsia="宋体" w:cs="宋体"/>
          <w:kern w:val="0"/>
          <w:sz w:val="40"/>
          <w:szCs w:val="40"/>
          <w:highlight w:val="none"/>
          <w:lang w:eastAsia="zh-CN"/>
        </w:rPr>
        <w:br w:type="page"/>
      </w:r>
      <w:r>
        <w:rPr>
          <w:rFonts w:hint="eastAsia" w:ascii="宋体" w:hAnsi="宋体" w:cs="宋体"/>
          <w:kern w:val="0"/>
          <w:sz w:val="40"/>
          <w:szCs w:val="40"/>
          <w:highlight w:val="none"/>
          <w:lang w:val="en-US" w:eastAsia="zh-CN"/>
        </w:rPr>
        <w:t xml:space="preserve">      </w:t>
      </w:r>
    </w:p>
    <w:p>
      <w:pPr>
        <w:spacing w:line="540" w:lineRule="exact"/>
        <w:jc w:val="both"/>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widowControl/>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仿宋" w:hAnsi="仿宋" w:eastAsia="仿宋" w:cs="宋体;SimSun"/>
          <w:b/>
          <w:sz w:val="30"/>
          <w:szCs w:val="30"/>
        </w:rPr>
      </w:pPr>
      <w:r>
        <w:rPr>
          <w:rFonts w:hint="eastAsia" w:ascii="方正小标宋简体" w:hAnsi="仿宋" w:eastAsia="方正小标宋简体"/>
          <w:sz w:val="36"/>
          <w:szCs w:val="36"/>
        </w:rPr>
        <w:t>承 诺 函</w:t>
      </w: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44"/>
          <w:szCs w:val="44"/>
        </w:rPr>
        <w:t>报价表</w:t>
      </w:r>
    </w:p>
    <w:tbl>
      <w:tblPr>
        <w:tblStyle w:val="15"/>
        <w:tblW w:w="8538" w:type="dxa"/>
        <w:jc w:val="center"/>
        <w:tblLayout w:type="fixed"/>
        <w:tblCellMar>
          <w:top w:w="0" w:type="dxa"/>
          <w:left w:w="108" w:type="dxa"/>
          <w:bottom w:w="0" w:type="dxa"/>
          <w:right w:w="108" w:type="dxa"/>
        </w:tblCellMar>
      </w:tblPr>
      <w:tblGrid>
        <w:gridCol w:w="2991"/>
        <w:gridCol w:w="3174"/>
        <w:gridCol w:w="2373"/>
      </w:tblGrid>
      <w:tr>
        <w:tblPrEx>
          <w:tblCellMar>
            <w:top w:w="0" w:type="dxa"/>
            <w:left w:w="108" w:type="dxa"/>
            <w:bottom w:w="0" w:type="dxa"/>
            <w:right w:w="108" w:type="dxa"/>
          </w:tblCellMar>
        </w:tblPrEx>
        <w:trPr>
          <w:trHeight w:val="597" w:hRule="atLeast"/>
          <w:jc w:val="center"/>
        </w:trPr>
        <w:tc>
          <w:tcPr>
            <w:tcW w:w="299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切割重量（g）</w:t>
            </w: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切割方式</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考核良率94%</w:t>
            </w:r>
          </w:p>
        </w:tc>
      </w:tr>
      <w:tr>
        <w:tblPrEx>
          <w:tblCellMar>
            <w:top w:w="0" w:type="dxa"/>
            <w:left w:w="108" w:type="dxa"/>
            <w:bottom w:w="0" w:type="dxa"/>
            <w:right w:w="108" w:type="dxa"/>
          </w:tblCellMar>
        </w:tblPrEx>
        <w:trPr>
          <w:trHeight w:val="597" w:hRule="atLeast"/>
          <w:jc w:val="center"/>
        </w:trPr>
        <w:tc>
          <w:tcPr>
            <w:tcW w:w="2991"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rPr>
              <w:t>≤</w:t>
            </w:r>
            <w:r>
              <w:rPr>
                <w:rFonts w:hint="eastAsia" w:ascii="仿宋_GB2312" w:hAnsi="仿宋_GB2312" w:eastAsia="仿宋_GB2312" w:cs="仿宋_GB2312"/>
                <w:color w:val="000000"/>
                <w:kern w:val="0"/>
                <w:sz w:val="30"/>
                <w:szCs w:val="30"/>
                <w:lang w:val="en-US" w:eastAsia="zh-CN"/>
              </w:rPr>
              <w:t>3g</w:t>
            </w: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正常备料</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1剖2</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1剖4</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1剖8</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restart"/>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3.01-6g</w:t>
            </w: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正常备料</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1剖2</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1剖4</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1剖8</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6.01-10g</w:t>
            </w: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bidi="ar-SA"/>
              </w:rPr>
            </w:pPr>
            <w:r>
              <w:rPr>
                <w:rFonts w:hint="eastAsia" w:ascii="仿宋_GB2312" w:hAnsi="仿宋_GB2312" w:eastAsia="仿宋_GB2312" w:cs="仿宋_GB2312"/>
                <w:color w:val="000000"/>
                <w:kern w:val="0"/>
                <w:sz w:val="30"/>
                <w:szCs w:val="30"/>
              </w:rPr>
              <w:t>正常备料</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bidi="ar-SA"/>
              </w:rPr>
            </w:pPr>
            <w:r>
              <w:rPr>
                <w:rFonts w:hint="eastAsia" w:ascii="仿宋_GB2312" w:hAnsi="仿宋_GB2312" w:eastAsia="仿宋_GB2312" w:cs="仿宋_GB2312"/>
                <w:color w:val="000000"/>
                <w:kern w:val="0"/>
                <w:sz w:val="30"/>
                <w:szCs w:val="30"/>
              </w:rPr>
              <w:t>1剖2</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bidi="ar-SA"/>
              </w:rPr>
            </w:pPr>
            <w:r>
              <w:rPr>
                <w:rFonts w:hint="eastAsia" w:ascii="仿宋_GB2312" w:hAnsi="仿宋_GB2312" w:eastAsia="仿宋_GB2312" w:cs="仿宋_GB2312"/>
                <w:color w:val="000000"/>
                <w:kern w:val="0"/>
                <w:sz w:val="30"/>
                <w:szCs w:val="30"/>
              </w:rPr>
              <w:t>1剖4</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bidi="ar-SA"/>
              </w:rPr>
            </w:pPr>
            <w:r>
              <w:rPr>
                <w:rFonts w:hint="eastAsia" w:ascii="仿宋_GB2312" w:hAnsi="仿宋_GB2312" w:eastAsia="仿宋_GB2312" w:cs="仿宋_GB2312"/>
                <w:color w:val="000000"/>
                <w:kern w:val="0"/>
                <w:sz w:val="30"/>
                <w:szCs w:val="30"/>
              </w:rPr>
              <w:t>1剖8</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10.01-15</w:t>
            </w: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bidi="ar-SA"/>
              </w:rPr>
            </w:pPr>
            <w:r>
              <w:rPr>
                <w:rFonts w:hint="eastAsia" w:ascii="仿宋_GB2312" w:hAnsi="仿宋_GB2312" w:eastAsia="仿宋_GB2312" w:cs="仿宋_GB2312"/>
                <w:color w:val="000000"/>
                <w:kern w:val="0"/>
                <w:sz w:val="30"/>
                <w:szCs w:val="30"/>
              </w:rPr>
              <w:t>正常备料</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bidi="ar-SA"/>
              </w:rPr>
            </w:pPr>
            <w:r>
              <w:rPr>
                <w:rFonts w:hint="eastAsia" w:ascii="仿宋_GB2312" w:hAnsi="仿宋_GB2312" w:eastAsia="仿宋_GB2312" w:cs="仿宋_GB2312"/>
                <w:color w:val="000000"/>
                <w:kern w:val="0"/>
                <w:sz w:val="30"/>
                <w:szCs w:val="30"/>
              </w:rPr>
              <w:t>1剖2</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bidi="ar-SA"/>
              </w:rPr>
            </w:pPr>
            <w:r>
              <w:rPr>
                <w:rFonts w:hint="eastAsia" w:ascii="仿宋_GB2312" w:hAnsi="仿宋_GB2312" w:eastAsia="仿宋_GB2312" w:cs="仿宋_GB2312"/>
                <w:color w:val="000000"/>
                <w:kern w:val="0"/>
                <w:sz w:val="30"/>
                <w:szCs w:val="30"/>
              </w:rPr>
              <w:t>1剖4</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bidi="ar-SA"/>
              </w:rPr>
            </w:pPr>
            <w:r>
              <w:rPr>
                <w:rFonts w:hint="eastAsia" w:ascii="仿宋_GB2312" w:hAnsi="仿宋_GB2312" w:eastAsia="仿宋_GB2312" w:cs="仿宋_GB2312"/>
                <w:color w:val="000000"/>
                <w:kern w:val="0"/>
                <w:sz w:val="30"/>
                <w:szCs w:val="30"/>
              </w:rPr>
              <w:t>1剖8</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597" w:hRule="atLeast"/>
          <w:jc w:val="center"/>
        </w:trPr>
        <w:tc>
          <w:tcPr>
            <w:tcW w:w="2991"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15.01-21</w:t>
            </w: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bidi="ar-SA"/>
              </w:rPr>
            </w:pPr>
            <w:r>
              <w:rPr>
                <w:rFonts w:hint="eastAsia" w:ascii="仿宋_GB2312" w:hAnsi="仿宋_GB2312" w:eastAsia="仿宋_GB2312" w:cs="仿宋_GB2312"/>
                <w:color w:val="000000"/>
                <w:kern w:val="0"/>
                <w:sz w:val="30"/>
                <w:szCs w:val="30"/>
              </w:rPr>
              <w:t>正常备料</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r>
        <w:tblPrEx>
          <w:tblCellMar>
            <w:top w:w="0" w:type="dxa"/>
            <w:left w:w="108" w:type="dxa"/>
            <w:bottom w:w="0" w:type="dxa"/>
            <w:right w:w="108" w:type="dxa"/>
          </w:tblCellMar>
        </w:tblPrEx>
        <w:trPr>
          <w:trHeight w:val="607" w:hRule="atLeast"/>
          <w:jc w:val="center"/>
        </w:trPr>
        <w:tc>
          <w:tcPr>
            <w:tcW w:w="299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color w:val="000000"/>
                <w:kern w:val="0"/>
                <w:sz w:val="30"/>
                <w:szCs w:val="30"/>
              </w:rPr>
            </w:pPr>
          </w:p>
        </w:tc>
        <w:tc>
          <w:tcPr>
            <w:tcW w:w="317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仿宋_GB2312" w:hAnsi="仿宋_GB2312" w:eastAsia="仿宋_GB2312" w:cs="仿宋_GB2312"/>
                <w:color w:val="000000"/>
                <w:kern w:val="0"/>
                <w:sz w:val="30"/>
                <w:szCs w:val="30"/>
                <w:lang w:val="en-US" w:eastAsia="zh-CN" w:bidi="ar-SA"/>
              </w:rPr>
            </w:pPr>
            <w:r>
              <w:rPr>
                <w:rFonts w:hint="eastAsia" w:ascii="仿宋_GB2312" w:hAnsi="仿宋_GB2312" w:eastAsia="仿宋_GB2312" w:cs="仿宋_GB2312"/>
                <w:color w:val="000000"/>
                <w:kern w:val="0"/>
                <w:sz w:val="30"/>
                <w:szCs w:val="30"/>
              </w:rPr>
              <w:t>1剖2</w:t>
            </w:r>
          </w:p>
        </w:tc>
        <w:tc>
          <w:tcPr>
            <w:tcW w:w="23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FF0000"/>
                <w:kern w:val="0"/>
                <w:sz w:val="30"/>
                <w:szCs w:val="30"/>
              </w:rPr>
              <w:t>单价填报处</w:t>
            </w:r>
          </w:p>
        </w:tc>
      </w:tr>
    </w:tbl>
    <w:p>
      <w:pPr>
        <w:spacing w:line="560" w:lineRule="exact"/>
        <w:rPr>
          <w:rFonts w:ascii="仿宋" w:hAnsi="仿宋" w:eastAsia="仿宋"/>
          <w:sz w:val="30"/>
          <w:szCs w:val="30"/>
        </w:rPr>
      </w:pPr>
      <w:r>
        <w:rPr>
          <w:rFonts w:hint="eastAsia" w:ascii="仿宋" w:hAnsi="仿宋" w:eastAsia="仿宋"/>
          <w:sz w:val="30"/>
          <w:szCs w:val="30"/>
        </w:rPr>
        <w:t>注：1、需要进行分选的产品，在考核单价基础上增加（     ）元</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594" w:firstLineChars="1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4" w:type="default"/>
      <w:pgSz w:w="11906" w:h="16838"/>
      <w:pgMar w:top="1440" w:right="1274" w:bottom="1440" w:left="1418"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23</w:t>
    </w:r>
    <w:r>
      <w:rPr>
        <w:lang w:val="zh-CN"/>
      </w:rPr>
      <w:fldChar w:fldCharType="end"/>
    </w:r>
  </w:p>
  <w:p>
    <w:pPr>
      <w:pStyle w:val="11"/>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09566A"/>
    <w:multiLevelType w:val="multilevel"/>
    <w:tmpl w:val="2609566A"/>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899392D"/>
    <w:multiLevelType w:val="multilevel"/>
    <w:tmpl w:val="2899392D"/>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49767A8A"/>
    <w:multiLevelType w:val="multilevel"/>
    <w:tmpl w:val="49767A8A"/>
    <w:lvl w:ilvl="0" w:tentative="0">
      <w:start w:val="1"/>
      <w:numFmt w:val="decimal"/>
      <w:lvlText w:val="%1、"/>
      <w:lvlJc w:val="left"/>
      <w:pPr>
        <w:ind w:left="570" w:hanging="360"/>
      </w:pPr>
      <w:rPr>
        <w:rFonts w:hint="default"/>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72A27"/>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0F6CD0"/>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08A9"/>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55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223A"/>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8CF"/>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5B91"/>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154"/>
    <w:rsid w:val="00BB7388"/>
    <w:rsid w:val="00BC44E7"/>
    <w:rsid w:val="00BC57D8"/>
    <w:rsid w:val="00BC649C"/>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C781B"/>
    <w:rsid w:val="087903E0"/>
    <w:rsid w:val="0C3340CE"/>
    <w:rsid w:val="103F6525"/>
    <w:rsid w:val="115C1106"/>
    <w:rsid w:val="158242C4"/>
    <w:rsid w:val="170209AC"/>
    <w:rsid w:val="17B443B2"/>
    <w:rsid w:val="1EA54791"/>
    <w:rsid w:val="212958D0"/>
    <w:rsid w:val="22B91371"/>
    <w:rsid w:val="27B91ECD"/>
    <w:rsid w:val="2C6923FD"/>
    <w:rsid w:val="34CF5C82"/>
    <w:rsid w:val="34DB0B40"/>
    <w:rsid w:val="34DB41A2"/>
    <w:rsid w:val="39430317"/>
    <w:rsid w:val="3BCD5545"/>
    <w:rsid w:val="3BE00A18"/>
    <w:rsid w:val="415A73C9"/>
    <w:rsid w:val="48522723"/>
    <w:rsid w:val="491746A0"/>
    <w:rsid w:val="49BD6122"/>
    <w:rsid w:val="4E5D14DF"/>
    <w:rsid w:val="4F9E082D"/>
    <w:rsid w:val="53BB5D38"/>
    <w:rsid w:val="54B72BB8"/>
    <w:rsid w:val="57944B16"/>
    <w:rsid w:val="57BD1C08"/>
    <w:rsid w:val="58177512"/>
    <w:rsid w:val="582F4FA6"/>
    <w:rsid w:val="59CA695D"/>
    <w:rsid w:val="5BA84B60"/>
    <w:rsid w:val="5C224C8A"/>
    <w:rsid w:val="5C681369"/>
    <w:rsid w:val="5D6A43FC"/>
    <w:rsid w:val="5F531F75"/>
    <w:rsid w:val="5FFB256E"/>
    <w:rsid w:val="60254CE2"/>
    <w:rsid w:val="63623A3E"/>
    <w:rsid w:val="64263C29"/>
    <w:rsid w:val="66167AF9"/>
    <w:rsid w:val="692148E4"/>
    <w:rsid w:val="6948313E"/>
    <w:rsid w:val="694A022F"/>
    <w:rsid w:val="69E93C5A"/>
    <w:rsid w:val="69FC62DA"/>
    <w:rsid w:val="6AF17C50"/>
    <w:rsid w:val="70B60DD1"/>
    <w:rsid w:val="750139B7"/>
    <w:rsid w:val="7640055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llowedHyperlink"/>
    <w:basedOn w:val="17"/>
    <w:semiHidden/>
    <w:unhideWhenUsed/>
    <w:qFormat/>
    <w:uiPriority w:val="99"/>
    <w:rPr>
      <w:color w:val="954F72"/>
      <w:u w:val="single"/>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0"/>
      <w:szCs w:val="20"/>
    </w:rPr>
  </w:style>
  <w:style w:type="paragraph" w:customStyle="1" w:styleId="4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6">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4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5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5">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7">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0">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1">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2">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7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4">
    <w:name w:val="xl10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5">
    <w:name w:val="xl103"/>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6">
    <w:name w:val="xl10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character" w:customStyle="1" w:styleId="77">
    <w:name w:val="font01"/>
    <w:basedOn w:val="17"/>
    <w:qFormat/>
    <w:uiPriority w:val="0"/>
    <w:rPr>
      <w:rFonts w:ascii="Calibri" w:hAnsi="Calibri" w:cs="Calibri"/>
      <w:color w:val="000000"/>
      <w:sz w:val="22"/>
      <w:szCs w:val="22"/>
      <w:u w:val="none"/>
    </w:rPr>
  </w:style>
  <w:style w:type="character" w:customStyle="1" w:styleId="78">
    <w:name w:val="font31"/>
    <w:basedOn w:val="17"/>
    <w:qFormat/>
    <w:uiPriority w:val="0"/>
    <w:rPr>
      <w:rFonts w:hint="eastAsia" w:ascii="宋体" w:hAnsi="宋体" w:eastAsia="宋体" w:cs="宋体"/>
      <w:color w:val="000000"/>
      <w:sz w:val="22"/>
      <w:szCs w:val="22"/>
      <w:u w:val="none"/>
    </w:rPr>
  </w:style>
  <w:style w:type="character" w:customStyle="1" w:styleId="79">
    <w:name w:val="font41"/>
    <w:basedOn w:val="17"/>
    <w:qFormat/>
    <w:uiPriority w:val="0"/>
    <w:rPr>
      <w:rFonts w:hint="eastAsia" w:ascii="仿宋" w:hAnsi="仿宋" w:eastAsia="仿宋" w:cs="仿宋"/>
      <w:color w:val="000000"/>
      <w:sz w:val="22"/>
      <w:szCs w:val="22"/>
      <w:u w:val="none"/>
    </w:rPr>
  </w:style>
  <w:style w:type="character" w:customStyle="1" w:styleId="80">
    <w:name w:val="font21"/>
    <w:basedOn w:val="17"/>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107</Pages>
  <Words>14756</Words>
  <Characters>84114</Characters>
  <Lines>700</Lines>
  <Paragraphs>197</Paragraphs>
  <TotalTime>8</TotalTime>
  <ScaleCrop>false</ScaleCrop>
  <LinksUpToDate>false</LinksUpToDate>
  <CharactersWithSpaces>98673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2024-02-28T05:49:00Z</cp:lastPrinted>
  <dcterms:modified xsi:type="dcterms:W3CDTF">2024-02-29T10:23:53Z</dcterms:modified>
  <cp:revision>495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EA4ACE5700C449818261578FAEF6DF84_12</vt:lpwstr>
  </property>
</Properties>
</file>