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2</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4</w:t>
      </w:r>
      <w:r>
        <w:rPr>
          <w:rFonts w:hint="eastAsia" w:ascii="宋体" w:hAnsi="宋体"/>
          <w:b/>
          <w:sz w:val="36"/>
          <w:szCs w:val="36"/>
          <w:u w:val="single"/>
        </w:rPr>
        <w:t>年度包装纸箱</w:t>
      </w:r>
      <w:r>
        <w:rPr>
          <w:rFonts w:hint="eastAsia" w:ascii="宋体" w:hAnsi="宋体"/>
          <w:b/>
          <w:sz w:val="36"/>
          <w:szCs w:val="36"/>
          <w:u w:val="single"/>
          <w:lang w:eastAsia="zh-CN"/>
        </w:rPr>
        <w:t>、</w:t>
      </w:r>
      <w:r>
        <w:rPr>
          <w:rFonts w:hint="eastAsia" w:ascii="宋体" w:hAnsi="宋体"/>
          <w:b/>
          <w:sz w:val="36"/>
          <w:szCs w:val="36"/>
          <w:u w:val="single"/>
          <w:lang w:val="en-US" w:eastAsia="zh-CN"/>
        </w:rPr>
        <w:t>纸板、纸护角询价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8"/>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8"/>
        <w:spacing w:line="500" w:lineRule="exact"/>
        <w:ind w:firstLine="720"/>
        <w:jc w:val="center"/>
        <w:rPr>
          <w:rFonts w:hAnsi="宋体"/>
          <w:b/>
          <w:sz w:val="36"/>
          <w:szCs w:val="36"/>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商务及技术要求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4</w:t>
      </w:r>
      <w:r>
        <w:rPr>
          <w:rFonts w:hint="eastAsia" w:asciiTheme="minorEastAsia" w:hAnsiTheme="minorEastAsia" w:eastAsiaTheme="minorEastAsia"/>
          <w:b/>
          <w:bCs w:val="0"/>
          <w:sz w:val="28"/>
          <w:szCs w:val="28"/>
          <w:u w:val="single"/>
        </w:rPr>
        <w:t>年度包装纸箱</w:t>
      </w:r>
      <w:r>
        <w:rPr>
          <w:rFonts w:hint="eastAsia" w:asciiTheme="minorEastAsia" w:hAnsiTheme="minorEastAsia" w:eastAsiaTheme="minorEastAsia"/>
          <w:b/>
          <w:bCs w:val="0"/>
          <w:sz w:val="28"/>
          <w:szCs w:val="28"/>
          <w:u w:val="single"/>
          <w:lang w:eastAsia="zh-CN"/>
        </w:rPr>
        <w:t>、</w:t>
      </w:r>
      <w:r>
        <w:rPr>
          <w:rFonts w:hint="eastAsia" w:asciiTheme="minorEastAsia" w:hAnsiTheme="minorEastAsia" w:eastAsiaTheme="minorEastAsia"/>
          <w:b/>
          <w:bCs w:val="0"/>
          <w:sz w:val="28"/>
          <w:szCs w:val="28"/>
          <w:u w:val="single"/>
          <w:lang w:val="en-US" w:eastAsia="zh-CN"/>
        </w:rPr>
        <w:t>纸板、纸</w:t>
      </w:r>
      <w:r>
        <w:rPr>
          <w:rFonts w:hint="eastAsia"/>
          <w:b/>
          <w:bCs w:val="0"/>
          <w:sz w:val="28"/>
          <w:szCs w:val="28"/>
          <w:u w:val="single"/>
          <w:lang w:val="en-US" w:eastAsia="zh-CN"/>
        </w:rPr>
        <w:t>护角</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w:t>
      </w:r>
      <w:r>
        <w:rPr>
          <w:rFonts w:hint="eastAsia" w:cs="Times New Roman" w:asciiTheme="minorEastAsia" w:hAnsiTheme="minorEastAsia" w:eastAsiaTheme="minorEastAsia"/>
          <w:b/>
          <w:bCs w:val="0"/>
          <w:color w:val="auto"/>
          <w:kern w:val="2"/>
          <w:sz w:val="28"/>
          <w:szCs w:val="28"/>
          <w:lang w:val="en-US" w:eastAsia="zh-CN" w:bidi="ar-SA"/>
        </w:rPr>
        <w:t>非“三无”供应商。（即具有实缴资本、参保人员、生产经营场所的供应商）</w:t>
      </w:r>
      <w:r>
        <w:rPr>
          <w:rFonts w:hint="eastAsia" w:cs="Times New Roman" w:asciiTheme="minorEastAsia" w:hAnsiTheme="minorEastAsia" w:eastAsiaTheme="minorEastAsia"/>
          <w:bCs/>
          <w:kern w:val="2"/>
          <w:sz w:val="28"/>
          <w:szCs w:val="28"/>
          <w:lang w:val="en-US" w:eastAsia="zh-CN" w:bidi="ar-SA"/>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5</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22</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4"/>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2"/>
      </w:pPr>
    </w:p>
    <w:p>
      <w:pPr>
        <w:pStyle w:val="2"/>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4</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5日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6"/>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b/>
                <w:bCs/>
                <w:color w:val="FF0000"/>
                <w:sz w:val="28"/>
                <w:szCs w:val="28"/>
              </w:rPr>
              <w:t>不接受</w:t>
            </w:r>
            <w:r>
              <w:rPr>
                <w:rFonts w:hint="eastAsia" w:ascii="宋体" w:hAnsi="宋体"/>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8"/>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8"/>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cs="仿宋_GB2312" w:asciiTheme="minorEastAsia" w:hAnsiTheme="minorEastAsia" w:eastAsiaTheme="minorEastAsia"/>
                <w:b/>
                <w:bCs/>
                <w:color w:val="auto"/>
                <w:kern w:val="2"/>
                <w:sz w:val="28"/>
                <w:szCs w:val="28"/>
                <w:u w:val="single"/>
              </w:rPr>
              <w:t>综合评分</w:t>
            </w:r>
            <w:r>
              <w:rPr>
                <w:rFonts w:hint="eastAsia" w:hAnsi="宋体"/>
                <w:b/>
                <w:bCs/>
                <w:color w:val="auto"/>
                <w:kern w:val="2"/>
                <w:sz w:val="28"/>
                <w:szCs w:val="28"/>
                <w:u w:val="single"/>
              </w:rPr>
              <w:t>法</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6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w:t>
      </w:r>
      <w:r>
        <w:rPr>
          <w:rFonts w:hint="eastAsia" w:ascii="仿宋" w:hAnsi="仿宋" w:eastAsia="仿宋"/>
          <w:b/>
          <w:color w:val="FF0000"/>
          <w:sz w:val="30"/>
          <w:szCs w:val="30"/>
        </w:rPr>
        <w:t>供应商未按“第六部分”文件格式要求，提供天眼查官网查询的“工商信息”页面截图（须盖公章）；或经我司查询供应商存在“无实缴资本”、“无参保人员”、“无生产经营场所”等“三无”情形之一的。</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w:t>
      </w:r>
      <w:r>
        <w:rPr>
          <w:rFonts w:hint="eastAsia" w:cs="仿宋_GB2312" w:asciiTheme="minorEastAsia" w:hAnsiTheme="minorEastAsia" w:eastAsiaTheme="minorEastAsia"/>
          <w:color w:val="auto"/>
          <w:kern w:val="2"/>
          <w:sz w:val="28"/>
          <w:szCs w:val="28"/>
        </w:rPr>
        <w:t>综合评分法</w:t>
      </w:r>
      <w:r>
        <w:rPr>
          <w:rFonts w:hint="eastAsia" w:ascii="宋体" w:hAnsi="宋体"/>
          <w:bCs/>
          <w:sz w:val="28"/>
          <w:szCs w:val="28"/>
        </w:rPr>
        <w:t>评审。询价小组将对资格性审查、符合性审查合格的供应按</w:t>
      </w:r>
      <w:r>
        <w:rPr>
          <w:rFonts w:hint="eastAsia" w:cs="仿宋_GB2312" w:asciiTheme="minorEastAsia" w:hAnsiTheme="minorEastAsia" w:eastAsiaTheme="minorEastAsia"/>
          <w:color w:val="auto"/>
          <w:kern w:val="2"/>
          <w:sz w:val="28"/>
          <w:szCs w:val="28"/>
        </w:rPr>
        <w:t>综合评分法</w:t>
      </w:r>
      <w:r>
        <w:rPr>
          <w:rFonts w:hint="eastAsia" w:cs="仿宋_GB2312" w:asciiTheme="minorEastAsia" w:hAnsiTheme="minorEastAsia" w:eastAsiaTheme="minorEastAsia"/>
          <w:color w:val="auto"/>
          <w:kern w:val="2"/>
          <w:sz w:val="28"/>
          <w:szCs w:val="28"/>
          <w:lang w:val="en-US" w:eastAsia="zh-CN"/>
        </w:rPr>
        <w:t>进行</w:t>
      </w:r>
      <w:r>
        <w:rPr>
          <w:rFonts w:hint="eastAsia" w:ascii="宋体" w:hAnsi="宋体"/>
          <w:bCs/>
          <w:sz w:val="28"/>
          <w:szCs w:val="28"/>
        </w:rPr>
        <w:t>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ind w:firstLine="560" w:firstLineChars="200"/>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1．本项目采用综合评分法评审，评审方案如下表：</w:t>
      </w:r>
    </w:p>
    <w:tbl>
      <w:tblPr>
        <w:tblStyle w:val="16"/>
        <w:tblpPr w:leftFromText="180" w:rightFromText="180" w:vertAnchor="text" w:horzAnchor="margin" w:tblpXSpec="center" w:tblpY="167"/>
        <w:tblW w:w="10580" w:type="dxa"/>
        <w:tblInd w:w="0" w:type="dxa"/>
        <w:tblLayout w:type="fixed"/>
        <w:tblCellMar>
          <w:top w:w="0" w:type="dxa"/>
          <w:left w:w="108" w:type="dxa"/>
          <w:bottom w:w="0" w:type="dxa"/>
          <w:right w:w="108" w:type="dxa"/>
        </w:tblCellMar>
      </w:tblPr>
      <w:tblGrid>
        <w:gridCol w:w="1080"/>
        <w:gridCol w:w="820"/>
        <w:gridCol w:w="1900"/>
        <w:gridCol w:w="2057"/>
        <w:gridCol w:w="4723"/>
      </w:tblGrid>
      <w:tr>
        <w:tblPrEx>
          <w:tblCellMar>
            <w:top w:w="0" w:type="dxa"/>
            <w:left w:w="108" w:type="dxa"/>
            <w:bottom w:w="0" w:type="dxa"/>
            <w:right w:w="108" w:type="dxa"/>
          </w:tblCellMar>
        </w:tblPrEx>
        <w:trPr>
          <w:trHeight w:val="285"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32"/>
                <w:szCs w:val="32"/>
              </w:rPr>
            </w:pPr>
            <w:r>
              <w:rPr>
                <w:rFonts w:hint="eastAsia" w:ascii="宋体" w:hAnsi="宋体" w:cs="宋体"/>
                <w:color w:val="000000"/>
                <w:kern w:val="0"/>
                <w:sz w:val="32"/>
                <w:szCs w:val="32"/>
              </w:rPr>
              <w:t>综合评分标准</w:t>
            </w:r>
          </w:p>
        </w:tc>
        <w:tc>
          <w:tcPr>
            <w:tcW w:w="8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评分占比</w:t>
            </w:r>
          </w:p>
        </w:tc>
        <w:tc>
          <w:tcPr>
            <w:tcW w:w="2057"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评分项</w:t>
            </w:r>
          </w:p>
        </w:tc>
        <w:tc>
          <w:tcPr>
            <w:tcW w:w="4723"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评分标准</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1</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报价文件格式要求</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符合投标文件编制及装订要求，符合要求的得10分；一般不符合得6分；严重不符合得0分，视为无效投标；</w:t>
            </w:r>
          </w:p>
        </w:tc>
      </w:tr>
      <w:tr>
        <w:tblPrEx>
          <w:tblCellMar>
            <w:top w:w="0" w:type="dxa"/>
            <w:left w:w="108" w:type="dxa"/>
            <w:bottom w:w="0" w:type="dxa"/>
            <w:right w:w="108" w:type="dxa"/>
          </w:tblCellMar>
        </w:tblPrEx>
        <w:trPr>
          <w:trHeight w:val="88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2</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投标报价评分标准10%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firstLine="240" w:firstLineChars="100"/>
              <w:jc w:val="both"/>
              <w:rPr>
                <w:rFonts w:ascii="仿宋_GB2312" w:hAnsi="宋体" w:eastAsia="仿宋_GB2312" w:cs="宋体"/>
                <w:color w:val="000000"/>
                <w:kern w:val="0"/>
                <w:sz w:val="24"/>
              </w:rPr>
            </w:pPr>
            <w:r>
              <w:rPr>
                <w:rFonts w:hint="eastAsia" w:ascii="仿宋_GB2312" w:hAnsi="宋体" w:eastAsia="仿宋_GB2312" w:cs="宋体"/>
                <w:color w:val="000000"/>
                <w:kern w:val="0"/>
                <w:sz w:val="24"/>
              </w:rPr>
              <w:t>样品提供</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能按照询价文件要求提供样品，按照要求全部提供的得10分，有提供不全的一样扣3分，未提供的，则视作废标处置。</w:t>
            </w:r>
          </w:p>
        </w:tc>
      </w:tr>
      <w:tr>
        <w:tblPrEx>
          <w:tblCellMar>
            <w:top w:w="0" w:type="dxa"/>
            <w:left w:w="108" w:type="dxa"/>
            <w:bottom w:w="0" w:type="dxa"/>
            <w:right w:w="108" w:type="dxa"/>
          </w:tblCellMar>
        </w:tblPrEx>
        <w:trPr>
          <w:trHeight w:val="97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3</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投标公司的业绩</w:t>
            </w:r>
          </w:p>
        </w:tc>
        <w:tc>
          <w:tcPr>
            <w:tcW w:w="4723" w:type="dxa"/>
            <w:tcBorders>
              <w:top w:val="nil"/>
              <w:left w:val="nil"/>
              <w:bottom w:val="single" w:color="auto" w:sz="4" w:space="0"/>
              <w:right w:val="single" w:color="auto" w:sz="4" w:space="0"/>
            </w:tcBorders>
            <w:shd w:val="clear" w:color="000000" w:fill="F5F5F5"/>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供应商具有在国内外中标和本次采购项目类似的过往业绩（附销售合同或中标通知书），每提供1个业绩，得1分，最高得5分。</w:t>
            </w:r>
          </w:p>
        </w:tc>
      </w:tr>
      <w:tr>
        <w:tblPrEx>
          <w:tblCellMar>
            <w:top w:w="0" w:type="dxa"/>
            <w:left w:w="108" w:type="dxa"/>
            <w:bottom w:w="0" w:type="dxa"/>
            <w:right w:w="108" w:type="dxa"/>
          </w:tblCellMar>
        </w:tblPrEx>
        <w:trPr>
          <w:trHeight w:val="130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4</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技术要求响应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对各供应商提供样品进行现场评判，有1项★号条款不满足做废标处理；每有1项一般条款不满足扣5分。</w:t>
            </w:r>
          </w:p>
        </w:tc>
      </w:tr>
      <w:tr>
        <w:tblPrEx>
          <w:tblCellMar>
            <w:top w:w="0" w:type="dxa"/>
            <w:left w:w="108" w:type="dxa"/>
            <w:bottom w:w="0" w:type="dxa"/>
            <w:right w:w="108" w:type="dxa"/>
          </w:tblCellMar>
        </w:tblPrEx>
        <w:trPr>
          <w:trHeight w:val="1230"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5</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投标报价评分标准20%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商务条款响应</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根据商务条款的响应文件进行评价，有1项★号条款不满足做废标处理；每有1项一般条款不满足扣3分，超过2项不满足作废标处理。</w:t>
            </w:r>
          </w:p>
        </w:tc>
      </w:tr>
      <w:tr>
        <w:tblPrEx>
          <w:tblCellMar>
            <w:top w:w="0" w:type="dxa"/>
            <w:left w:w="108" w:type="dxa"/>
            <w:bottom w:w="0" w:type="dxa"/>
            <w:right w:w="108" w:type="dxa"/>
          </w:tblCellMar>
        </w:tblPrEx>
        <w:trPr>
          <w:trHeight w:val="142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6</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投标报价评分标准35%</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仿宋_GB2312" w:hAnsi="宋体" w:eastAsia="仿宋_GB2312" w:cs="宋体"/>
                <w:color w:val="000000"/>
                <w:kern w:val="0"/>
                <w:sz w:val="24"/>
              </w:rPr>
            </w:pPr>
            <w:r>
              <w:rPr>
                <w:rFonts w:hint="eastAsia" w:ascii="仿宋_GB2312" w:hAnsi="宋体" w:eastAsia="仿宋_GB2312" w:cs="宋体"/>
                <w:color w:val="000000"/>
                <w:kern w:val="0"/>
                <w:sz w:val="24"/>
              </w:rPr>
              <w:t>投标报价</w:t>
            </w:r>
          </w:p>
        </w:tc>
        <w:tc>
          <w:tcPr>
            <w:tcW w:w="4723" w:type="dxa"/>
            <w:tcBorders>
              <w:top w:val="nil"/>
              <w:left w:val="nil"/>
              <w:bottom w:val="single" w:color="auto" w:sz="4" w:space="0"/>
              <w:right w:val="single" w:color="auto" w:sz="4" w:space="0"/>
            </w:tcBorders>
            <w:shd w:val="clear" w:color="auto" w:fill="auto"/>
            <w:vAlign w:val="center"/>
          </w:tcPr>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宋体" w:eastAsia="仿宋_GB2312" w:cs="宋体"/>
                <w:color w:val="000000"/>
                <w:kern w:val="0"/>
                <w:sz w:val="24"/>
                <w:szCs w:val="24"/>
                <w:lang w:val="en-US" w:eastAsia="zh-CN" w:bidi="ar-SA"/>
              </w:rPr>
            </w:pPr>
            <w:r>
              <w:rPr>
                <w:rFonts w:hint="eastAsia" w:ascii="仿宋_GB2312" w:hAnsi="宋体" w:eastAsia="仿宋_GB2312" w:cs="宋体"/>
                <w:color w:val="000000"/>
                <w:kern w:val="0"/>
                <w:sz w:val="24"/>
                <w:szCs w:val="24"/>
                <w:lang w:val="en-US" w:eastAsia="zh-CN" w:bidi="ar-SA"/>
              </w:rPr>
              <w:t>评分标准：</w:t>
            </w:r>
            <w:r>
              <w:rPr>
                <w:rFonts w:hint="default" w:ascii="仿宋_GB2312" w:hAnsi="宋体" w:eastAsia="仿宋_GB2312" w:cs="宋体"/>
                <w:color w:val="000000"/>
                <w:kern w:val="0"/>
                <w:sz w:val="24"/>
                <w:szCs w:val="24"/>
                <w:lang w:val="en-US" w:eastAsia="zh-CN" w:bidi="ar-SA"/>
              </w:rPr>
              <w:t>1</w:t>
            </w:r>
            <w:r>
              <w:rPr>
                <w:rFonts w:hint="eastAsia" w:ascii="仿宋_GB2312" w:hAnsi="宋体" w:eastAsia="仿宋_GB2312" w:cs="宋体"/>
                <w:color w:val="000000"/>
                <w:kern w:val="0"/>
                <w:sz w:val="24"/>
                <w:szCs w:val="24"/>
                <w:lang w:val="en-US" w:eastAsia="zh-CN" w:bidi="ar-SA"/>
              </w:rPr>
              <w:t>）当有效投标家数为</w:t>
            </w:r>
            <w:r>
              <w:rPr>
                <w:rFonts w:hint="default" w:ascii="仿宋_GB2312" w:hAnsi="宋体" w:eastAsia="仿宋_GB2312" w:cs="宋体"/>
                <w:color w:val="000000"/>
                <w:kern w:val="0"/>
                <w:sz w:val="24"/>
                <w:szCs w:val="24"/>
                <w:lang w:val="en-US" w:eastAsia="zh-CN" w:bidi="ar-SA"/>
              </w:rPr>
              <w:t>5家以上（含5家）时，去掉一个最高和最低投标报价，计算其余投标报价的算数平均值A；</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2）当有效投标家数少于5家时，计算所有投标报价的算术平均值B。</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3）评标基准价=A（B）×0.95</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default" w:ascii="仿宋_GB2312" w:hAnsi="宋体" w:eastAsia="仿宋_GB2312" w:cs="宋体"/>
                <w:color w:val="000000"/>
                <w:kern w:val="0"/>
                <w:sz w:val="24"/>
                <w:szCs w:val="24"/>
                <w:lang w:val="en-US" w:eastAsia="zh-CN" w:bidi="ar-SA"/>
              </w:rPr>
              <w:t>投标报价等于评标基准价的投标人价格分为满分，投标报价与评标基准价相比，每高1%扣1分，每低1%扣0.5分，最多扣20分。按照线性插入法计算，精确到0.01分</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仿宋_GB2312" w:hAnsi="宋体" w:eastAsia="仿宋_GB2312" w:cs="宋体"/>
                <w:color w:val="000000"/>
                <w:kern w:val="0"/>
                <w:sz w:val="24"/>
                <w:szCs w:val="24"/>
                <w:lang w:val="en-US" w:eastAsia="zh-CN" w:bidi="ar-SA"/>
              </w:rPr>
            </w:pPr>
            <w:r>
              <w:rPr>
                <w:rFonts w:hint="eastAsia" w:ascii="仿宋_GB2312" w:eastAsia="仿宋_GB2312" w:cs="宋体"/>
                <w:color w:val="000000"/>
                <w:kern w:val="0"/>
                <w:sz w:val="24"/>
                <w:szCs w:val="24"/>
                <w:lang w:val="en-US" w:eastAsia="zh-CN" w:bidi="ar-SA"/>
              </w:rPr>
              <w:t>4）</w:t>
            </w:r>
            <w:r>
              <w:rPr>
                <w:rFonts w:hint="eastAsia" w:ascii="仿宋_GB2312" w:hAnsi="宋体" w:eastAsia="仿宋_GB2312" w:cs="宋体"/>
                <w:color w:val="000000"/>
                <w:kern w:val="0"/>
                <w:sz w:val="24"/>
                <w:szCs w:val="24"/>
                <w:lang w:val="zh-CN" w:eastAsia="zh-CN" w:bidi="ar-SA"/>
              </w:rPr>
              <w:t>供应商所有品种报价评分的算术平均值为该供应商的报价得分。</w:t>
            </w:r>
          </w:p>
        </w:tc>
      </w:tr>
      <w:tr>
        <w:tblPrEx>
          <w:tblCellMar>
            <w:top w:w="0" w:type="dxa"/>
            <w:left w:w="108" w:type="dxa"/>
            <w:bottom w:w="0" w:type="dxa"/>
            <w:right w:w="108" w:type="dxa"/>
          </w:tblCellMar>
        </w:tblPrEx>
        <w:trPr>
          <w:trHeight w:val="315" w:hRule="atLeast"/>
        </w:trPr>
        <w:tc>
          <w:tcPr>
            <w:tcW w:w="108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ascii="宋体" w:hAnsi="宋体" w:cs="宋体"/>
                <w:color w:val="000000"/>
                <w:kern w:val="0"/>
                <w:sz w:val="32"/>
                <w:szCs w:val="32"/>
              </w:rPr>
            </w:pPr>
          </w:p>
        </w:tc>
        <w:tc>
          <w:tcPr>
            <w:tcW w:w="82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总分</w:t>
            </w:r>
          </w:p>
        </w:tc>
        <w:tc>
          <w:tcPr>
            <w:tcW w:w="19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ascii="宋体" w:hAnsi="宋体" w:cs="宋体"/>
                <w:color w:val="000000"/>
                <w:kern w:val="0"/>
                <w:sz w:val="24"/>
              </w:rPr>
            </w:pPr>
            <w:r>
              <w:rPr>
                <w:rFonts w:hint="eastAsia" w:ascii="宋体" w:hAnsi="宋体" w:cs="宋体"/>
                <w:color w:val="000000"/>
                <w:kern w:val="0"/>
                <w:sz w:val="24"/>
              </w:rPr>
              <w:t>100</w:t>
            </w:r>
          </w:p>
        </w:tc>
        <w:tc>
          <w:tcPr>
            <w:tcW w:w="205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w:t>
            </w:r>
          </w:p>
        </w:tc>
        <w:tc>
          <w:tcPr>
            <w:tcW w:w="472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rPr>
                <w:color w:val="000000"/>
                <w:kern w:val="0"/>
                <w:sz w:val="24"/>
              </w:rPr>
            </w:pPr>
            <w:r>
              <w:rPr>
                <w:color w:val="000000"/>
                <w:kern w:val="0"/>
                <w:sz w:val="24"/>
              </w:rPr>
              <w:t>100</w:t>
            </w:r>
            <w:r>
              <w:rPr>
                <w:rFonts w:hint="eastAsia" w:ascii="宋体" w:hAnsi="宋体"/>
                <w:color w:val="000000"/>
                <w:kern w:val="0"/>
                <w:sz w:val="24"/>
              </w:rPr>
              <w:t>分</w:t>
            </w:r>
          </w:p>
        </w:tc>
      </w:tr>
    </w:tbl>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商务及技术要求部分</w:t>
      </w:r>
    </w:p>
    <w:p>
      <w:pPr>
        <w:adjustRightInd w:val="0"/>
        <w:snapToGrid w:val="0"/>
        <w:spacing w:line="440" w:lineRule="exact"/>
        <w:ind w:right="399" w:rightChars="190"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一、商务要求</w:t>
      </w:r>
    </w:p>
    <w:p>
      <w:pPr>
        <w:snapToGrid w:val="0"/>
        <w:spacing w:line="440" w:lineRule="exact"/>
        <w:ind w:firstLine="560" w:firstLineChars="200"/>
        <w:textAlignment w:val="baseline"/>
        <w:rPr>
          <w:rFonts w:asciiTheme="minorEastAsia" w:hAnsiTheme="minorEastAsia" w:eastAsiaTheme="minorEastAsia"/>
          <w:sz w:val="28"/>
          <w:szCs w:val="28"/>
        </w:rPr>
      </w:pPr>
      <w:r>
        <w:rPr>
          <w:rFonts w:hint="eastAsia" w:asciiTheme="minorEastAsia" w:hAnsiTheme="minorEastAsia" w:eastAsiaTheme="minorEastAsia"/>
          <w:sz w:val="28"/>
          <w:szCs w:val="28"/>
        </w:rPr>
        <w:t>1.交货期及地点：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1.1</w:t>
      </w:r>
      <w:r>
        <w:rPr>
          <w:rFonts w:asciiTheme="minorEastAsia" w:hAnsiTheme="minorEastAsia" w:eastAsiaTheme="minorEastAsia"/>
          <w:sz w:val="28"/>
          <w:szCs w:val="28"/>
        </w:rPr>
        <w:t>交货地点</w:t>
      </w:r>
      <w:r>
        <w:rPr>
          <w:rFonts w:hint="eastAsia" w:asciiTheme="minorEastAsia" w:hAnsiTheme="minorEastAsia" w:eastAsiaTheme="minorEastAsia"/>
          <w:sz w:val="28"/>
          <w:szCs w:val="28"/>
        </w:rPr>
        <w:t>：</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成都奥格光学玻璃有限公司</w:t>
      </w:r>
      <w:r>
        <w:rPr>
          <w:rFonts w:hint="eastAsia" w:asciiTheme="minorEastAsia" w:hAnsiTheme="minorEastAsia" w:eastAsiaTheme="minorEastAsia"/>
          <w:sz w:val="28"/>
          <w:szCs w:val="28"/>
        </w:rPr>
        <w:t>；</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★1.2</w:t>
      </w:r>
      <w:r>
        <w:rPr>
          <w:rFonts w:asciiTheme="minorEastAsia" w:hAnsiTheme="minorEastAsia" w:eastAsiaTheme="minorEastAsia"/>
          <w:sz w:val="28"/>
          <w:szCs w:val="28"/>
        </w:rPr>
        <w:t>交货</w:t>
      </w:r>
      <w:r>
        <w:rPr>
          <w:rFonts w:hint="eastAsia" w:asciiTheme="minorEastAsia" w:hAnsiTheme="minorEastAsia" w:eastAsiaTheme="minorEastAsia"/>
          <w:sz w:val="28"/>
          <w:szCs w:val="28"/>
        </w:rPr>
        <w:t>期：采购人发出采购订单7天内送达采购人指定地点。</w:t>
      </w:r>
    </w:p>
    <w:p>
      <w:pPr>
        <w:spacing w:line="440" w:lineRule="exact"/>
        <w:ind w:firstLine="560" w:firstLineChars="200"/>
        <w:jc w:val="left"/>
        <w:rPr>
          <w:rFonts w:asciiTheme="minorEastAsia" w:hAnsiTheme="minorEastAsia" w:eastAsiaTheme="minorEastAsia"/>
          <w:sz w:val="28"/>
          <w:szCs w:val="28"/>
        </w:rPr>
      </w:pPr>
      <w:r>
        <w:rPr>
          <w:rFonts w:hint="eastAsia" w:asciiTheme="minorEastAsia" w:hAnsiTheme="minorEastAsia" w:eastAsiaTheme="minorEastAsia"/>
          <w:sz w:val="28"/>
          <w:szCs w:val="28"/>
        </w:rPr>
        <w:t>★1.3货物送达后，由供应商负责装卸，并按照采购人要求进行堆放整齐。</w:t>
      </w:r>
    </w:p>
    <w:p>
      <w:pPr>
        <w:spacing w:line="440" w:lineRule="exact"/>
        <w:ind w:firstLine="548" w:firstLineChars="196"/>
        <w:rPr>
          <w:rFonts w:asciiTheme="minorEastAsia" w:hAnsiTheme="minorEastAsia" w:eastAsiaTheme="minorEastAsia"/>
          <w:sz w:val="28"/>
          <w:szCs w:val="28"/>
        </w:rPr>
      </w:pPr>
      <w:r>
        <w:rPr>
          <w:rFonts w:hint="eastAsia" w:asciiTheme="minorEastAsia" w:hAnsiTheme="minorEastAsia" w:eastAsiaTheme="minorEastAsia"/>
          <w:sz w:val="28"/>
          <w:szCs w:val="28"/>
        </w:rPr>
        <w:t>2.采购流程：</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2.1 年度采购合同签订后，采购人根据库房存货数量以及现场使用状况</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不定时向成交供应商发出采购订单。</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2.2供应商接到采购订单后，按照采购订单要求进行备货，保质、保量、</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按期交付产品。</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3.结算方式：</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3.1采用</w:t>
      </w:r>
      <w:r>
        <w:rPr>
          <w:rFonts w:hint="eastAsia" w:asciiTheme="minorEastAsia" w:hAnsiTheme="minorEastAsia" w:eastAsiaTheme="minorEastAsia"/>
          <w:sz w:val="28"/>
          <w:szCs w:val="28"/>
          <w:lang w:val="en-US" w:eastAsia="zh-CN"/>
        </w:rPr>
        <w:t>季度</w:t>
      </w:r>
      <w:r>
        <w:rPr>
          <w:rFonts w:hint="eastAsia" w:asciiTheme="minorEastAsia" w:hAnsiTheme="minorEastAsia" w:eastAsiaTheme="minorEastAsia"/>
          <w:sz w:val="28"/>
          <w:szCs w:val="28"/>
        </w:rPr>
        <w:t>结方式。每</w:t>
      </w:r>
      <w:r>
        <w:rPr>
          <w:rFonts w:hint="eastAsia" w:asciiTheme="minorEastAsia" w:hAnsiTheme="minorEastAsia" w:eastAsiaTheme="minorEastAsia"/>
          <w:sz w:val="28"/>
          <w:szCs w:val="28"/>
          <w:lang w:val="en-US" w:eastAsia="zh-CN"/>
        </w:rPr>
        <w:t>季度最后壹月</w:t>
      </w:r>
      <w:r>
        <w:rPr>
          <w:rFonts w:hint="eastAsia" w:asciiTheme="minorEastAsia" w:hAnsiTheme="minorEastAsia" w:eastAsiaTheme="minorEastAsia"/>
          <w:sz w:val="28"/>
          <w:szCs w:val="28"/>
        </w:rPr>
        <w:t>25日为结算日，供应商在27日前将对账单发给采购人进行核对；无误后，供应商开具发票至采购人</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rPr>
        <w:t>采购人安排入账汇款。</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★3.2 如因供应商对账单提供信息或开具发票的信息错误，导致当</w:t>
      </w:r>
      <w:r>
        <w:rPr>
          <w:rFonts w:hint="eastAsia" w:asciiTheme="minorEastAsia" w:hAnsiTheme="minorEastAsia" w:eastAsiaTheme="minorEastAsia"/>
          <w:sz w:val="28"/>
          <w:szCs w:val="28"/>
          <w:lang w:val="en-US" w:eastAsia="zh-CN"/>
        </w:rPr>
        <w:t>季</w:t>
      </w:r>
      <w:r>
        <w:rPr>
          <w:rFonts w:hint="eastAsia" w:asciiTheme="minorEastAsia" w:hAnsiTheme="minorEastAsia" w:eastAsiaTheme="minorEastAsia"/>
          <w:sz w:val="28"/>
          <w:szCs w:val="28"/>
        </w:rPr>
        <w:t>结</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算未能及时入账的，供应商应承担扣罚本次采购金额5%的处罚。</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4．验收：</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4.1产品装卸前，采购人安排专人进行品质受入检抽查，若发现存在不</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符合采购要求或者质量要求的，供应商应负责调换，并且赔偿由此造成的一切损失。</w:t>
      </w:r>
    </w:p>
    <w:p>
      <w:pPr>
        <w:widowControl/>
        <w:snapToGrid w:val="0"/>
        <w:spacing w:line="440" w:lineRule="exact"/>
        <w:ind w:left="466" w:leftChars="222"/>
        <w:rPr>
          <w:rFonts w:asciiTheme="minorEastAsia" w:hAnsiTheme="minorEastAsia" w:eastAsiaTheme="minorEastAsia"/>
          <w:sz w:val="28"/>
          <w:szCs w:val="28"/>
        </w:rPr>
      </w:pPr>
      <w:r>
        <w:rPr>
          <w:rFonts w:hint="eastAsia" w:asciiTheme="minorEastAsia" w:hAnsiTheme="minorEastAsia" w:eastAsiaTheme="minorEastAsia"/>
          <w:sz w:val="28"/>
          <w:szCs w:val="28"/>
        </w:rPr>
        <w:t>4.2产品受入检合格，采购人安排专人负责进行数量清点，存在缺失情</w:t>
      </w:r>
    </w:p>
    <w:p>
      <w:pPr>
        <w:widowControl/>
        <w:snapToGrid w:val="0"/>
        <w:spacing w:line="4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况的，供应商应在规定时间内进行补齐，否则不给予办理入库。</w:t>
      </w:r>
    </w:p>
    <w:p>
      <w:pPr>
        <w:spacing w:line="4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5.售后服务：</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5.1入库产品在使用过程中如因供应商生产工艺或加工问题造成产品破</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损、发霉变质的，供应商应在接到通知后2小时内赶赴采购人现场进行确认，并在2小时内补足产品数量，否则由此造成的一切损失由供应商承担。</w:t>
      </w:r>
    </w:p>
    <w:p>
      <w:pPr>
        <w:spacing w:line="460" w:lineRule="exact"/>
        <w:ind w:left="466" w:leftChars="222" w:right="-73"/>
        <w:rPr>
          <w:rFonts w:asciiTheme="minorEastAsia" w:hAnsiTheme="minorEastAsia" w:eastAsiaTheme="minorEastAsia"/>
          <w:sz w:val="28"/>
          <w:szCs w:val="28"/>
        </w:rPr>
      </w:pPr>
      <w:r>
        <w:rPr>
          <w:rFonts w:hint="eastAsia" w:asciiTheme="minorEastAsia" w:hAnsiTheme="minorEastAsia" w:eastAsiaTheme="minorEastAsia"/>
          <w:sz w:val="28"/>
          <w:szCs w:val="28"/>
        </w:rPr>
        <w:t>5.2 由于供应商产品质量造成的客户投诉，由此造成的一切损失由供应</w:t>
      </w:r>
    </w:p>
    <w:p>
      <w:pPr>
        <w:spacing w:line="460" w:lineRule="exact"/>
        <w:ind w:right="-73"/>
        <w:rPr>
          <w:rFonts w:asciiTheme="minorEastAsia" w:hAnsiTheme="minorEastAsia" w:eastAsiaTheme="minorEastAsia"/>
          <w:sz w:val="28"/>
          <w:szCs w:val="28"/>
        </w:rPr>
      </w:pPr>
      <w:r>
        <w:rPr>
          <w:rFonts w:hint="eastAsia" w:asciiTheme="minorEastAsia" w:hAnsiTheme="minorEastAsia" w:eastAsiaTheme="minorEastAsia"/>
          <w:sz w:val="28"/>
          <w:szCs w:val="28"/>
        </w:rPr>
        <w:t>商承担。</w:t>
      </w:r>
    </w:p>
    <w:p>
      <w:pPr>
        <w:spacing w:line="540" w:lineRule="exact"/>
        <w:ind w:firstLine="560" w:firstLineChars="200"/>
        <w:rPr>
          <w:rFonts w:ascii="黑体" w:eastAsia="黑体" w:hAnsiTheme="minorEastAsia"/>
          <w:sz w:val="44"/>
          <w:szCs w:val="44"/>
        </w:rPr>
      </w:pPr>
      <w:r>
        <w:rPr>
          <w:rFonts w:hint="eastAsia" w:asciiTheme="minorEastAsia" w:hAnsiTheme="minorEastAsia" w:eastAsiaTheme="minorEastAsia"/>
          <w:sz w:val="28"/>
          <w:szCs w:val="28"/>
        </w:rPr>
        <w:t>二、技术要求</w:t>
      </w:r>
    </w:p>
    <w:p>
      <w:pPr>
        <w:spacing w:line="540" w:lineRule="exact"/>
        <w:ind w:firstLine="2800" w:firstLineChars="1000"/>
        <w:rPr>
          <w:rFonts w:hint="eastAsia" w:ascii="Times New Roman" w:hAnsi="Times New Roman" w:eastAsia="宋体" w:cs="Times New Roman"/>
          <w:kern w:val="0"/>
          <w:sz w:val="28"/>
          <w:szCs w:val="28"/>
        </w:rPr>
      </w:pPr>
      <w:r>
        <w:rPr>
          <w:rFonts w:hint="eastAsia" w:ascii="宋体" w:hAnsi="宋体" w:eastAsia="宋体"/>
          <w:sz w:val="28"/>
          <w:szCs w:val="28"/>
          <w:lang w:val="en-US" w:eastAsia="zh-CN"/>
        </w:rPr>
        <w:t>纸箱、纸板</w:t>
      </w:r>
      <w:r>
        <w:rPr>
          <w:rFonts w:hint="eastAsia" w:ascii="Times New Roman" w:hAnsi="Times New Roman" w:eastAsia="宋体" w:cs="Times New Roman"/>
          <w:kern w:val="0"/>
          <w:sz w:val="28"/>
          <w:szCs w:val="28"/>
        </w:rPr>
        <w:t>规格及参数表</w:t>
      </w:r>
    </w:p>
    <w:p>
      <w:pPr>
        <w:pStyle w:val="2"/>
        <w:rPr>
          <w:rFonts w:hint="eastAsia" w:ascii="Times New Roman" w:hAnsi="Times New Roman" w:eastAsia="宋体" w:cs="Times New Roman"/>
          <w:kern w:val="0"/>
          <w:sz w:val="28"/>
          <w:szCs w:val="28"/>
        </w:rPr>
      </w:pPr>
    </w:p>
    <w:tbl>
      <w:tblPr>
        <w:tblStyle w:val="16"/>
        <w:tblW w:w="8220" w:type="dxa"/>
        <w:jc w:val="center"/>
        <w:tblLayout w:type="fixed"/>
        <w:tblCellMar>
          <w:top w:w="0" w:type="dxa"/>
          <w:left w:w="0" w:type="dxa"/>
          <w:bottom w:w="0" w:type="dxa"/>
          <w:right w:w="0" w:type="dxa"/>
        </w:tblCellMar>
      </w:tblPr>
      <w:tblGrid>
        <w:gridCol w:w="1410"/>
        <w:gridCol w:w="1493"/>
        <w:gridCol w:w="4171"/>
        <w:gridCol w:w="1146"/>
      </w:tblGrid>
      <w:tr>
        <w:tblPrEx>
          <w:tblCellMar>
            <w:top w:w="0" w:type="dxa"/>
            <w:left w:w="0" w:type="dxa"/>
            <w:bottom w:w="0" w:type="dxa"/>
            <w:right w:w="0" w:type="dxa"/>
          </w:tblCellMar>
        </w:tblPrEx>
        <w:trPr>
          <w:trHeight w:val="57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产品名称</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规格(mm)</w:t>
            </w:r>
          </w:p>
        </w:tc>
        <w:tc>
          <w:tcPr>
            <w:tcW w:w="41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质量技术要求</w:t>
            </w:r>
          </w:p>
        </w:tc>
        <w:tc>
          <w:tcPr>
            <w:tcW w:w="11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ascii="宋体" w:hAnsi="宋体" w:eastAsia="宋体" w:cs="宋体"/>
                <w:color w:val="auto"/>
                <w:sz w:val="24"/>
              </w:rPr>
            </w:pPr>
            <w:r>
              <w:rPr>
                <w:rFonts w:hint="eastAsia" w:ascii="宋体" w:hAnsi="宋体" w:eastAsia="宋体" w:cs="宋体"/>
                <w:color w:val="auto"/>
                <w:kern w:val="0"/>
                <w:sz w:val="24"/>
                <w:lang w:bidi="ar"/>
              </w:rPr>
              <w:t>备注</w:t>
            </w:r>
          </w:p>
        </w:tc>
      </w:tr>
      <w:tr>
        <w:tblPrEx>
          <w:tblCellMar>
            <w:top w:w="0" w:type="dxa"/>
            <w:left w:w="0" w:type="dxa"/>
            <w:bottom w:w="0" w:type="dxa"/>
            <w:right w:w="0" w:type="dxa"/>
          </w:tblCellMar>
        </w:tblPrEx>
        <w:trPr>
          <w:trHeight w:val="583" w:hRule="atLeast"/>
          <w:jc w:val="center"/>
        </w:trPr>
        <w:tc>
          <w:tcPr>
            <w:tcW w:w="1410"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color w:val="auto"/>
                <w:kern w:val="0"/>
                <w:sz w:val="24"/>
                <w:lang w:bidi="ar"/>
              </w:rPr>
            </w:pPr>
            <w:r>
              <w:rPr>
                <w:rFonts w:hint="eastAsia" w:ascii="宋体" w:hAnsi="宋体" w:eastAsia="宋体" w:cs="宋体"/>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385×155×135</w:t>
            </w:r>
          </w:p>
        </w:tc>
        <w:tc>
          <w:tcPr>
            <w:tcW w:w="4171"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★3、防水性能：水滴在纸板表面，要求两分钟无渗入纸张表面现象；</w:t>
            </w:r>
          </w:p>
          <w:p>
            <w:pPr>
              <w:keepNext w:val="0"/>
              <w:keepLines w:val="0"/>
              <w:widowControl/>
              <w:numPr>
                <w:ilvl w:val="0"/>
                <w:numId w:val="2"/>
              </w:numPr>
              <w:suppressLineNumbers w:val="0"/>
              <w:spacing w:before="0" w:beforeAutospacing="0" w:after="0" w:afterAutospacing="0"/>
              <w:ind w:left="0" w:right="0"/>
              <w:jc w:val="left"/>
              <w:textAlignment w:val="bottom"/>
              <w:rPr>
                <w:rFonts w:hint="eastAsia"/>
              </w:rPr>
            </w:pPr>
            <w:r>
              <w:rPr>
                <w:rFonts w:hint="eastAsia"/>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lang w:val="en-US" w:eastAsia="zh-CN"/>
              </w:rPr>
              <w:t>5、</w:t>
            </w:r>
            <w:r>
              <w:rPr>
                <w:rFonts w:hint="eastAsia"/>
              </w:rPr>
              <w:t>原纸要求：采用玖龙纸业和理文纸业原纸</w:t>
            </w:r>
          </w:p>
          <w:p>
            <w:pPr>
              <w:keepNext w:val="0"/>
              <w:keepLines w:val="0"/>
              <w:widowControl/>
              <w:suppressLineNumbers w:val="0"/>
              <w:spacing w:before="0" w:beforeAutospacing="0" w:after="0" w:afterAutospacing="0"/>
              <w:ind w:left="0" w:right="0"/>
              <w:jc w:val="left"/>
              <w:textAlignment w:val="bottom"/>
              <w:rPr>
                <w:rFonts w:hint="eastAsia"/>
                <w:lang w:val="zh-CN"/>
              </w:rPr>
            </w:pPr>
            <w:r>
              <w:rPr>
                <w:rFonts w:hint="eastAsia"/>
                <w:lang w:val="zh-CN"/>
              </w:rPr>
              <w:t>蓝色色标:CMYK C100 M60 Y20 K0</w:t>
            </w:r>
          </w:p>
          <w:p>
            <w:pPr>
              <w:pStyle w:val="2"/>
              <w:keepNext w:val="0"/>
              <w:keepLines w:val="0"/>
              <w:numPr>
                <w:ilvl w:val="0"/>
                <w:numId w:val="0"/>
              </w:numPr>
              <w:suppressLineNumbers w:val="0"/>
              <w:spacing w:before="0" w:beforeAutospacing="0" w:afterAutospacing="0"/>
              <w:ind w:left="0" w:leftChars="0" w:right="0"/>
              <w:rPr>
                <w:rFonts w:hint="eastAsia" w:ascii="幼圆" w:eastAsia="幼圆" w:cs="幼圆"/>
                <w:color w:val="auto"/>
                <w:kern w:val="0"/>
                <w:sz w:val="24"/>
                <w:szCs w:val="24"/>
                <w:lang w:val="en-US" w:eastAsia="zh-CN"/>
              </w:rPr>
            </w:pPr>
            <w:r>
              <w:rPr>
                <w:rFonts w:hint="eastAsia"/>
                <w:lang w:val="en-US" w:eastAsia="zh-CN"/>
              </w:rPr>
              <w:t>6、</w:t>
            </w:r>
            <w:r>
              <w:rPr>
                <w:rFonts w:hint="eastAsia" w:ascii="Times New Roman" w:hAnsi="Times New Roman" w:eastAsia="宋体" w:cs="Times New Roman"/>
                <w:kern w:val="2"/>
                <w:sz w:val="21"/>
                <w:szCs w:val="24"/>
                <w:lang w:val="en-US" w:eastAsia="zh-CN" w:bidi="ar-SA"/>
              </w:rPr>
              <w:t>纸箱材料配置</w:t>
            </w:r>
            <w:r>
              <w:rPr>
                <w:rFonts w:hint="eastAsia"/>
                <w:lang w:val="en-US" w:eastAsia="zh-CN"/>
              </w:rPr>
              <w:t>：</w:t>
            </w:r>
            <w:r>
              <w:rPr>
                <w:rFonts w:hint="eastAsia" w:ascii="幼圆" w:eastAsia="幼圆" w:cs="幼圆"/>
                <w:color w:val="auto"/>
                <w:kern w:val="0"/>
                <w:sz w:val="24"/>
                <w:szCs w:val="24"/>
                <w:lang w:val="en-US" w:eastAsia="zh-CN"/>
              </w:rPr>
              <w:t>250A+160+120+160+200B</w:t>
            </w:r>
          </w:p>
          <w:p>
            <w:pPr>
              <w:pStyle w:val="2"/>
              <w:keepNext w:val="0"/>
              <w:keepLines w:val="0"/>
              <w:numPr>
                <w:ilvl w:val="0"/>
                <w:numId w:val="0"/>
              </w:numPr>
              <w:suppressLineNumbers w:val="0"/>
              <w:spacing w:before="0" w:beforeAutospacing="0" w:afterAutospacing="0"/>
              <w:ind w:left="0" w:leftChars="0" w:right="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7、纸板材料配置：130B+150+130B</w:t>
            </w:r>
          </w:p>
          <w:p>
            <w:pPr>
              <w:pStyle w:val="2"/>
              <w:keepNext w:val="0"/>
              <w:keepLines w:val="0"/>
              <w:suppressLineNumbers w:val="0"/>
              <w:spacing w:before="0" w:beforeAutospacing="0" w:afterAutospacing="0"/>
              <w:ind w:left="0" w:right="0"/>
              <w:rPr>
                <w:rFonts w:hint="eastAsia" w:ascii="幼圆" w:eastAsia="幼圆" w:cs="幼圆"/>
                <w:color w:val="auto"/>
                <w:kern w:val="0"/>
                <w:sz w:val="24"/>
                <w:szCs w:val="24"/>
                <w:lang w:val="zh-CN"/>
              </w:rPr>
            </w:pPr>
          </w:p>
        </w:tc>
        <w:tc>
          <w:tcPr>
            <w:tcW w:w="1146"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ascii="宋体" w:hAnsi="宋体" w:eastAsia="宋体" w:cs="宋体"/>
                <w:color w:val="auto"/>
                <w:sz w:val="24"/>
              </w:rPr>
            </w:pPr>
            <w:r>
              <w:rPr>
                <w:rFonts w:hint="eastAsia"/>
                <w:color w:val="auto"/>
              </w:rPr>
              <w:t>每样产品需提供标的样品</w:t>
            </w:r>
          </w:p>
        </w:tc>
      </w:tr>
      <w:tr>
        <w:tblPrEx>
          <w:tblCellMar>
            <w:top w:w="0" w:type="dxa"/>
            <w:left w:w="0" w:type="dxa"/>
            <w:bottom w:w="0" w:type="dxa"/>
            <w:right w:w="0" w:type="dxa"/>
          </w:tblCellMar>
        </w:tblPrEx>
        <w:trPr>
          <w:trHeight w:val="455" w:hRule="atLeast"/>
          <w:jc w:val="center"/>
        </w:trPr>
        <w:tc>
          <w:tcPr>
            <w:tcW w:w="1410"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p>
        </w:tc>
        <w:tc>
          <w:tcPr>
            <w:tcW w:w="1493"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kern w:val="0"/>
                <w:sz w:val="20"/>
                <w:lang w:bidi="ar"/>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40"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360×120×3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kern w:val="0"/>
                <w:sz w:val="20"/>
                <w:lang w:bidi="ar"/>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360×160×3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120×140×3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160×140×3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rPr>
              <w:t>纸板</w:t>
            </w:r>
          </w:p>
        </w:tc>
        <w:tc>
          <w:tcPr>
            <w:tcW w:w="1493"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zh-CN"/>
              </w:rPr>
              <w:t>360×140×3</w:t>
            </w:r>
          </w:p>
        </w:tc>
        <w:tc>
          <w:tcPr>
            <w:tcW w:w="4171"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r>
        <w:tblPrEx>
          <w:tblCellMar>
            <w:top w:w="0" w:type="dxa"/>
            <w:left w:w="0" w:type="dxa"/>
            <w:bottom w:w="0" w:type="dxa"/>
            <w:right w:w="0" w:type="dxa"/>
          </w:tblCellMar>
        </w:tblPrEx>
        <w:trPr>
          <w:trHeight w:val="521" w:hRule="atLeast"/>
          <w:jc w:val="center"/>
        </w:trPr>
        <w:tc>
          <w:tcPr>
            <w:tcW w:w="14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color w:val="auto"/>
                <w:sz w:val="24"/>
              </w:rPr>
            </w:pPr>
            <w:r>
              <w:rPr>
                <w:rFonts w:hint="eastAsia" w:ascii="宋体" w:hAnsi="宋体" w:eastAsia="宋体" w:cs="宋体"/>
                <w:color w:val="auto"/>
                <w:sz w:val="24"/>
                <w:lang w:val="en-US" w:eastAsia="zh-CN"/>
              </w:rPr>
              <w:t>等边纸护角板</w:t>
            </w:r>
          </w:p>
        </w:tc>
        <w:tc>
          <w:tcPr>
            <w:tcW w:w="1493" w:type="dxa"/>
            <w:tcBorders>
              <w:top w:val="single" w:color="000000" w:sz="4" w:space="0"/>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ascii="宋体" w:hAnsi="宋体" w:eastAsia="宋体" w:cs="宋体"/>
                <w:color w:val="auto"/>
                <w:kern w:val="0"/>
                <w:sz w:val="18"/>
                <w:szCs w:val="18"/>
                <w:lang w:val="zh-CN"/>
              </w:rPr>
            </w:pPr>
            <w:r>
              <w:rPr>
                <w:rFonts w:hint="eastAsia" w:ascii="宋体" w:hAnsi="宋体" w:eastAsia="宋体" w:cs="宋体"/>
                <w:color w:val="auto"/>
                <w:kern w:val="0"/>
                <w:sz w:val="18"/>
                <w:szCs w:val="18"/>
                <w:lang w:val="en-US" w:eastAsia="zh-CN"/>
              </w:rPr>
              <w:t>750×60×60×5</w:t>
            </w:r>
          </w:p>
        </w:tc>
        <w:tc>
          <w:tcPr>
            <w:tcW w:w="4171"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ascii="宋体" w:hAnsi="宋体" w:eastAsia="宋体" w:cs="宋体"/>
                <w:color w:val="FF0000"/>
                <w:sz w:val="20"/>
              </w:rPr>
            </w:pPr>
          </w:p>
        </w:tc>
        <w:tc>
          <w:tcPr>
            <w:tcW w:w="1146"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ascii="宋体" w:hAnsi="宋体" w:eastAsia="宋体" w:cs="宋体"/>
                <w:color w:val="FF0000"/>
                <w:sz w:val="24"/>
              </w:rPr>
            </w:pPr>
          </w:p>
        </w:tc>
      </w:tr>
    </w:tbl>
    <w:p>
      <w:pPr>
        <w:spacing w:line="540" w:lineRule="exact"/>
        <w:ind w:firstLine="2520" w:firstLineChars="900"/>
        <w:rPr>
          <w:rFonts w:hint="eastAsia"/>
          <w:kern w:val="0"/>
          <w:sz w:val="28"/>
          <w:szCs w:val="28"/>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p>
    <w:p>
      <w:pPr>
        <w:pStyle w:val="2"/>
        <w:rPr>
          <w:rFonts w:hint="eastAsia" w:ascii="黑体" w:eastAsia="黑体" w:hAnsiTheme="minorEastAsia"/>
          <w:sz w:val="44"/>
          <w:szCs w:val="44"/>
        </w:rPr>
      </w:pPr>
      <w:r>
        <w:drawing>
          <wp:anchor distT="0" distB="0" distL="114300" distR="114300" simplePos="0" relativeHeight="251659264" behindDoc="0" locked="0" layoutInCell="1" allowOverlap="1">
            <wp:simplePos x="0" y="0"/>
            <wp:positionH relativeFrom="margin">
              <wp:posOffset>-817880</wp:posOffset>
            </wp:positionH>
            <wp:positionV relativeFrom="margin">
              <wp:posOffset>1814830</wp:posOffset>
            </wp:positionV>
            <wp:extent cx="7439660" cy="3260090"/>
            <wp:effectExtent l="0" t="0" r="8890" b="1651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7439660" cy="3260090"/>
                    </a:xfrm>
                    <a:prstGeom prst="rect">
                      <a:avLst/>
                    </a:prstGeom>
                  </pic:spPr>
                </pic:pic>
              </a:graphicData>
            </a:graphic>
          </wp:anchor>
        </w:drawing>
      </w:r>
    </w:p>
    <w:p>
      <w:pPr>
        <w:pStyle w:val="2"/>
        <w:rPr>
          <w:rFonts w:hint="eastAsia" w:ascii="黑体" w:eastAsia="黑体" w:hAnsiTheme="minorEastAsia"/>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jc w:val="both"/>
        <w:rPr>
          <w:rFonts w:hint="eastAsia"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6"/>
        <w:tblW w:w="9072" w:type="dxa"/>
        <w:tblInd w:w="213"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以上价格有效期为1年，有效期内</w:t>
            </w:r>
            <w:r>
              <w:rPr>
                <w:rFonts w:hint="eastAsia" w:ascii="仿宋_GB2312" w:hAnsi="宋体" w:eastAsia="仿宋_GB2312" w:cs="宋体"/>
                <w:bCs/>
                <w:color w:val="000000"/>
                <w:kern w:val="0"/>
                <w:sz w:val="24"/>
                <w:szCs w:val="24"/>
                <w:lang w:val="en-US" w:eastAsia="zh-CN"/>
              </w:rPr>
              <w:t>如因</w:t>
            </w:r>
            <w:r>
              <w:rPr>
                <w:rFonts w:hint="eastAsia" w:ascii="仿宋_GB2312" w:hAnsi="宋体" w:eastAsia="仿宋_GB2312" w:cs="宋体"/>
                <w:bCs/>
                <w:color w:val="000000"/>
                <w:kern w:val="0"/>
                <w:sz w:val="24"/>
                <w:szCs w:val="24"/>
              </w:rPr>
              <w:t>原材料等涨幅达10%以上，</w:t>
            </w:r>
            <w:r>
              <w:rPr>
                <w:rFonts w:hint="eastAsia" w:ascii="仿宋_GB2312" w:hAnsi="宋体" w:eastAsia="仿宋_GB2312" w:cs="宋体"/>
                <w:bCs/>
                <w:color w:val="000000"/>
                <w:kern w:val="0"/>
                <w:sz w:val="24"/>
                <w:szCs w:val="24"/>
                <w:lang w:val="en-US" w:eastAsia="zh-CN"/>
              </w:rPr>
              <w:t>供</w:t>
            </w:r>
            <w:r>
              <w:rPr>
                <w:rFonts w:hint="eastAsia" w:ascii="仿宋_GB2312" w:hAnsi="宋体" w:eastAsia="仿宋_GB2312" w:cs="宋体"/>
                <w:bCs/>
                <w:color w:val="000000"/>
                <w:kern w:val="0"/>
                <w:sz w:val="24"/>
                <w:szCs w:val="24"/>
              </w:rPr>
              <w:t>方有权与</w:t>
            </w:r>
            <w:r>
              <w:rPr>
                <w:rFonts w:hint="eastAsia" w:ascii="仿宋_GB2312" w:hAnsi="宋体" w:eastAsia="仿宋_GB2312" w:cs="宋体"/>
                <w:bCs/>
                <w:color w:val="000000"/>
                <w:kern w:val="0"/>
                <w:sz w:val="24"/>
                <w:szCs w:val="24"/>
                <w:lang w:val="en-US" w:eastAsia="zh-CN"/>
              </w:rPr>
              <w:t>需</w:t>
            </w:r>
            <w:r>
              <w:rPr>
                <w:rFonts w:hint="eastAsia" w:ascii="仿宋_GB2312" w:hAnsi="宋体" w:eastAsia="仿宋_GB2312" w:cs="宋体"/>
                <w:bCs/>
                <w:color w:val="000000"/>
                <w:kern w:val="0"/>
                <w:sz w:val="24"/>
                <w:szCs w:val="24"/>
              </w:rPr>
              <w:t>方商议，</w:t>
            </w:r>
            <w:r>
              <w:rPr>
                <w:rFonts w:hint="eastAsia" w:ascii="仿宋_GB2312" w:hAnsi="宋体" w:eastAsia="仿宋_GB2312" w:cs="宋体"/>
                <w:bCs/>
                <w:color w:val="000000"/>
                <w:kern w:val="0"/>
                <w:sz w:val="24"/>
                <w:szCs w:val="24"/>
                <w:lang w:val="en-US" w:eastAsia="zh-CN"/>
              </w:rPr>
              <w:t>经需方同意后方可</w:t>
            </w:r>
            <w:r>
              <w:rPr>
                <w:rFonts w:hint="eastAsia" w:ascii="仿宋_GB2312" w:hAnsi="宋体" w:eastAsia="仿宋_GB2312" w:cs="宋体"/>
                <w:bCs/>
                <w:color w:val="000000"/>
                <w:kern w:val="0"/>
                <w:sz w:val="24"/>
                <w:szCs w:val="24"/>
              </w:rPr>
              <w:t>调整价格</w:t>
            </w:r>
            <w:r>
              <w:rPr>
                <w:rFonts w:hint="eastAsia" w:ascii="仿宋_GB2312" w:hAnsi="宋体" w:eastAsia="仿宋_GB2312" w:cs="宋体"/>
                <w:bCs/>
                <w:color w:val="000000"/>
                <w:kern w:val="0"/>
                <w:sz w:val="24"/>
                <w:szCs w:val="24"/>
                <w:lang w:val="en-US" w:eastAsia="zh-CN"/>
              </w:rPr>
              <w:t>并签订补充协议。</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二、质量要求、技术标准：（符合GB/T6543-2008</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8"/>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货到验收合格后供方每季度开具13%全额增值税专用发票，需方在5个工作日内付清货款。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w:t>
            </w:r>
            <w:r>
              <w:rPr>
                <w:rFonts w:hint="eastAsia" w:ascii="仿宋_GB2312" w:hAnsi="宋体" w:eastAsia="仿宋_GB2312" w:cs="宋体"/>
                <w:bCs/>
                <w:color w:val="000000"/>
                <w:kern w:val="0"/>
                <w:sz w:val="24"/>
                <w:szCs w:val="24"/>
                <w:lang w:val="en-US" w:eastAsia="zh-CN"/>
              </w:rPr>
              <w:t>和扫描件</w:t>
            </w:r>
            <w:bookmarkStart w:id="2" w:name="_GoBack"/>
            <w:bookmarkEnd w:id="2"/>
            <w:r>
              <w:rPr>
                <w:rFonts w:hint="eastAsia" w:ascii="仿宋_GB2312" w:hAnsi="宋体" w:eastAsia="仿宋_GB2312" w:cs="宋体"/>
                <w:bCs/>
                <w:color w:val="000000"/>
                <w:kern w:val="0"/>
                <w:sz w:val="24"/>
                <w:szCs w:val="24"/>
              </w:rPr>
              <w:t>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项目名称：202</w:t>
      </w:r>
      <w:r>
        <w:rPr>
          <w:rFonts w:hint="eastAsia" w:asciiTheme="minorEastAsia" w:hAnsiTheme="minorEastAsia" w:eastAsiaTheme="minorEastAsia"/>
          <w:sz w:val="28"/>
          <w:szCs w:val="28"/>
          <w:lang w:val="en-US" w:eastAsia="zh-CN"/>
        </w:rPr>
        <w:t>4</w:t>
      </w:r>
      <w:r>
        <w:rPr>
          <w:rFonts w:hint="eastAsia" w:asciiTheme="minorEastAsia" w:hAnsiTheme="minorEastAsia" w:eastAsiaTheme="minorEastAsia"/>
          <w:sz w:val="28"/>
          <w:szCs w:val="28"/>
        </w:rPr>
        <w:t>年度包装纸箱</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lang w:val="en-US" w:eastAsia="zh-CN"/>
        </w:rPr>
        <w:t>纸板、纸护角</w:t>
      </w:r>
      <w:r>
        <w:rPr>
          <w:rFonts w:hint="eastAsia" w:asciiTheme="minorEastAsia" w:hAnsiTheme="minorEastAsia" w:eastAsiaTheme="minorEastAsia"/>
          <w:sz w:val="28"/>
          <w:szCs w:val="28"/>
        </w:rPr>
        <w:t>采购项目</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8"/>
        <w:spacing w:line="540" w:lineRule="exact"/>
        <w:rPr>
          <w:rFonts w:asciiTheme="minorEastAsia" w:hAnsiTheme="minorEastAsia" w:eastAsiaTheme="minorEastAsia"/>
          <w:sz w:val="28"/>
          <w:szCs w:val="28"/>
        </w:rPr>
      </w:pPr>
    </w:p>
    <w:p>
      <w:pPr>
        <w:pStyle w:val="8"/>
        <w:spacing w:line="540" w:lineRule="exact"/>
        <w:jc w:val="center"/>
        <w:rPr>
          <w:rFonts w:asciiTheme="minorEastAsia" w:hAnsiTheme="minorEastAsia" w:eastAsiaTheme="minorEastAsia"/>
          <w:sz w:val="28"/>
          <w:szCs w:val="28"/>
        </w:rPr>
      </w:pPr>
    </w:p>
    <w:p>
      <w:pPr>
        <w:pStyle w:val="8"/>
        <w:spacing w:line="540" w:lineRule="exact"/>
        <w:jc w:val="center"/>
        <w:rPr>
          <w:rFonts w:hint="eastAsia" w:asciiTheme="minorEastAsia" w:hAnsiTheme="minorEastAsia" w:eastAsiaTheme="minorEastAsia"/>
          <w:sz w:val="28"/>
          <w:szCs w:val="28"/>
          <w:lang w:val="en-US" w:eastAsia="zh-CN"/>
        </w:rPr>
      </w:pPr>
    </w:p>
    <w:p>
      <w:pPr>
        <w:pStyle w:val="8"/>
        <w:spacing w:line="540" w:lineRule="exact"/>
        <w:jc w:val="center"/>
        <w:rPr>
          <w:rFonts w:hint="eastAsia" w:asciiTheme="minorEastAsia" w:hAnsiTheme="minorEastAsia" w:eastAsiaTheme="minorEastAsia"/>
          <w:sz w:val="28"/>
          <w:szCs w:val="28"/>
          <w:lang w:val="en-US" w:eastAsia="zh-CN"/>
        </w:rPr>
      </w:pPr>
    </w:p>
    <w:p>
      <w:pPr>
        <w:pStyle w:val="8"/>
        <w:spacing w:line="540" w:lineRule="exact"/>
        <w:jc w:val="center"/>
        <w:rPr>
          <w:rFonts w:hint="eastAsia" w:asciiTheme="minorEastAsia" w:hAnsiTheme="minorEastAsia" w:eastAsiaTheme="minorEastAsia"/>
          <w:sz w:val="28"/>
          <w:szCs w:val="28"/>
          <w:lang w:val="en-US" w:eastAsia="zh-CN"/>
        </w:rPr>
      </w:pPr>
    </w:p>
    <w:p>
      <w:pPr>
        <w:pStyle w:val="8"/>
        <w:spacing w:line="540" w:lineRule="exact"/>
        <w:jc w:val="both"/>
        <w:rPr>
          <w:rFonts w:hint="eastAsia" w:asciiTheme="minorEastAsia" w:hAnsiTheme="minorEastAsia" w:eastAsiaTheme="minorEastAsia"/>
          <w:sz w:val="28"/>
          <w:szCs w:val="28"/>
          <w:lang w:val="en-US" w:eastAsia="zh-CN"/>
        </w:rPr>
      </w:pPr>
    </w:p>
    <w:p>
      <w:pPr>
        <w:pStyle w:val="8"/>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2024</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2"/>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pStyle w:val="2"/>
        <w:rPr>
          <w:rFonts w:hint="eastAsia" w:ascii="宋体" w:hAnsi="宋体"/>
          <w:bCs/>
          <w:sz w:val="28"/>
          <w:szCs w:val="28"/>
        </w:rPr>
      </w:pPr>
    </w:p>
    <w:p>
      <w:pPr>
        <w:pStyle w:val="2"/>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hint="eastAsia" w:ascii="黑体" w:hAnsi="黑体" w:eastAsia="黑体"/>
          <w:sz w:val="44"/>
          <w:szCs w:val="44"/>
        </w:rPr>
      </w:pPr>
      <w:r>
        <w:rPr>
          <w:rFonts w:hint="eastAsia" w:ascii="黑体" w:hAnsi="黑体" w:eastAsia="黑体"/>
          <w:sz w:val="44"/>
          <w:szCs w:val="44"/>
        </w:rPr>
        <w:t>报 价 表</w:t>
      </w:r>
    </w:p>
    <w:tbl>
      <w:tblPr>
        <w:tblStyle w:val="16"/>
        <w:tblW w:w="9986" w:type="dxa"/>
        <w:jc w:val="center"/>
        <w:tblLayout w:type="fixed"/>
        <w:tblCellMar>
          <w:top w:w="0" w:type="dxa"/>
          <w:left w:w="0" w:type="dxa"/>
          <w:bottom w:w="0" w:type="dxa"/>
          <w:right w:w="0" w:type="dxa"/>
        </w:tblCellMar>
      </w:tblPr>
      <w:tblGrid>
        <w:gridCol w:w="1457"/>
        <w:gridCol w:w="1694"/>
        <w:gridCol w:w="3356"/>
        <w:gridCol w:w="702"/>
        <w:gridCol w:w="906"/>
        <w:gridCol w:w="939"/>
        <w:gridCol w:w="932"/>
      </w:tblGrid>
      <w:tr>
        <w:tblPrEx>
          <w:tblCellMar>
            <w:top w:w="0" w:type="dxa"/>
            <w:left w:w="0" w:type="dxa"/>
            <w:bottom w:w="0" w:type="dxa"/>
            <w:right w:w="0" w:type="dxa"/>
          </w:tblCellMar>
        </w:tblPrEx>
        <w:trPr>
          <w:trHeight w:val="630"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产品名称</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规格(mm)</w:t>
            </w:r>
          </w:p>
        </w:tc>
        <w:tc>
          <w:tcPr>
            <w:tcW w:w="335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center"/>
              <w:textAlignment w:val="bottom"/>
              <w:rPr>
                <w:rFonts w:cs="宋体" w:asciiTheme="minorEastAsia" w:hAnsiTheme="minorEastAsia" w:eastAsiaTheme="minorEastAsia"/>
                <w:color w:val="auto"/>
                <w:sz w:val="24"/>
              </w:rPr>
            </w:pPr>
            <w:r>
              <w:rPr>
                <w:rFonts w:hint="eastAsia" w:cs="宋体" w:asciiTheme="minorEastAsia" w:hAnsiTheme="minorEastAsia" w:eastAsiaTheme="minorEastAsia"/>
                <w:color w:val="auto"/>
                <w:kern w:val="0"/>
                <w:sz w:val="24"/>
                <w:lang w:bidi="ar"/>
              </w:rPr>
              <w:t>质量技术要求</w:t>
            </w:r>
          </w:p>
        </w:tc>
        <w:tc>
          <w:tcPr>
            <w:tcW w:w="702"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both"/>
              <w:textAlignment w:val="bottom"/>
              <w:rPr>
                <w:rFonts w:hint="eastAsia" w:cs="宋体" w:asciiTheme="minorEastAsia" w:hAnsiTheme="minorEastAsia" w:eastAsiaTheme="minorEastAsia"/>
                <w:color w:val="auto"/>
                <w:sz w:val="24"/>
                <w:lang w:val="en-US" w:eastAsia="zh-CN"/>
              </w:rPr>
            </w:pPr>
            <w:r>
              <w:rPr>
                <w:rFonts w:hint="eastAsia" w:cs="宋体" w:asciiTheme="minorEastAsia" w:hAnsiTheme="minorEastAsia" w:eastAsiaTheme="minorEastAsia"/>
                <w:color w:val="auto"/>
                <w:sz w:val="24"/>
                <w:lang w:val="en-US" w:eastAsia="zh-CN"/>
              </w:rPr>
              <w:t>单位</w:t>
            </w:r>
          </w:p>
        </w:tc>
        <w:tc>
          <w:tcPr>
            <w:tcW w:w="906"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eastAsia="zh-CN" w:bidi="ar"/>
              </w:rPr>
            </w:pPr>
            <w:r>
              <w:rPr>
                <w:rFonts w:hint="eastAsia" w:cs="宋体" w:asciiTheme="minorEastAsia" w:hAnsiTheme="minorEastAsia" w:eastAsiaTheme="minorEastAsia"/>
                <w:color w:val="auto"/>
                <w:kern w:val="0"/>
                <w:sz w:val="24"/>
                <w:lang w:bidi="ar"/>
              </w:rPr>
              <w:t>含税单价</w:t>
            </w:r>
            <w:r>
              <w:rPr>
                <w:rFonts w:hint="eastAsia" w:cs="宋体" w:asciiTheme="minorEastAsia" w:hAnsiTheme="minorEastAsia" w:eastAsiaTheme="minorEastAsia"/>
                <w:color w:val="auto"/>
                <w:kern w:val="0"/>
                <w:sz w:val="24"/>
                <w:lang w:eastAsia="zh-CN" w:bidi="ar"/>
              </w:rPr>
              <w:t>（</w:t>
            </w:r>
            <w:r>
              <w:rPr>
                <w:rFonts w:hint="eastAsia" w:cs="宋体" w:asciiTheme="minorEastAsia" w:hAnsiTheme="minorEastAsia" w:eastAsiaTheme="minorEastAsia"/>
                <w:color w:val="auto"/>
                <w:kern w:val="0"/>
                <w:sz w:val="24"/>
                <w:lang w:val="en-US" w:eastAsia="zh-CN" w:bidi="ar"/>
              </w:rPr>
              <w:t>元</w:t>
            </w:r>
            <w:r>
              <w:rPr>
                <w:rFonts w:hint="eastAsia" w:cs="宋体" w:asciiTheme="minorEastAsia" w:hAnsiTheme="minorEastAsia" w:eastAsiaTheme="minorEastAsia"/>
                <w:color w:val="auto"/>
                <w:kern w:val="0"/>
                <w:sz w:val="24"/>
                <w:lang w:eastAsia="zh-CN" w:bidi="ar"/>
              </w:rPr>
              <w:t>）</w:t>
            </w:r>
          </w:p>
        </w:tc>
        <w:tc>
          <w:tcPr>
            <w:tcW w:w="939" w:type="dxa"/>
            <w:tcBorders>
              <w:top w:val="single" w:color="000000" w:sz="4" w:space="0"/>
              <w:left w:val="single" w:color="auto"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交付期（天）</w:t>
            </w:r>
          </w:p>
        </w:tc>
        <w:tc>
          <w:tcPr>
            <w:tcW w:w="932"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leftChars="0" w:right="0" w:rightChars="0"/>
              <w:jc w:val="center"/>
              <w:textAlignment w:val="bottom"/>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备注</w:t>
            </w:r>
          </w:p>
        </w:tc>
      </w:tr>
      <w:tr>
        <w:tblPrEx>
          <w:tblCellMar>
            <w:top w:w="0" w:type="dxa"/>
            <w:left w:w="0" w:type="dxa"/>
            <w:bottom w:w="0" w:type="dxa"/>
            <w:right w:w="0" w:type="dxa"/>
          </w:tblCellMar>
        </w:tblPrEx>
        <w:trPr>
          <w:trHeight w:val="523"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kern w:val="0"/>
                <w:sz w:val="24"/>
                <w:lang w:bidi="ar"/>
              </w:rPr>
            </w:pPr>
          </w:p>
          <w:p>
            <w:pPr>
              <w:keepNext w:val="0"/>
              <w:keepLines w:val="0"/>
              <w:widowControl/>
              <w:suppressLineNumbers w:val="0"/>
              <w:spacing w:before="0" w:beforeAutospacing="0" w:after="0" w:afterAutospacing="0"/>
              <w:ind w:left="0" w:right="0"/>
              <w:jc w:val="both"/>
              <w:textAlignment w:val="center"/>
              <w:rPr>
                <w:rFonts w:hint="eastAsia" w:cs="宋体" w:asciiTheme="minorEastAsia" w:hAnsiTheme="minorEastAsia" w:eastAsiaTheme="minorEastAsia"/>
                <w:color w:val="auto"/>
                <w:kern w:val="0"/>
                <w:sz w:val="24"/>
                <w:lang w:bidi="ar"/>
              </w:rPr>
            </w:pPr>
            <w:r>
              <w:rPr>
                <w:rFonts w:hint="eastAsia" w:cs="宋体" w:asciiTheme="minorEastAsia" w:hAnsiTheme="minorEastAsia" w:eastAsiaTheme="minorEastAsia"/>
                <w:color w:val="auto"/>
                <w:kern w:val="0"/>
                <w:sz w:val="24"/>
                <w:lang w:bidi="ar"/>
              </w:rPr>
              <w:t>五合一纸箱</w:t>
            </w:r>
          </w:p>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385×155×135</w:t>
            </w:r>
          </w:p>
        </w:tc>
        <w:tc>
          <w:tcPr>
            <w:tcW w:w="3356" w:type="dxa"/>
            <w:vMerge w:val="restart"/>
            <w:tcBorders>
              <w:top w:val="nil"/>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1、材料要求：采用双瓦楞纸板（B/C）；</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★2、外观要求：图案字样按要求印刷，字迹清晰整洁标示清楚；</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★3、防水性能：水滴在纸板表面，要求两分钟无渗入纸张表面现象；</w:t>
            </w:r>
          </w:p>
          <w:p>
            <w:pPr>
              <w:keepNext w:val="0"/>
              <w:keepLines w:val="0"/>
              <w:widowControl/>
              <w:suppressLineNumbers w:val="0"/>
              <w:spacing w:before="0" w:beforeAutospacing="0" w:after="0" w:afterAutospacing="0"/>
              <w:ind w:left="0" w:right="0"/>
              <w:jc w:val="left"/>
              <w:textAlignment w:val="bottom"/>
              <w:rPr>
                <w:rFonts w:hint="eastAsia"/>
              </w:rPr>
            </w:pPr>
            <w:r>
              <w:rPr>
                <w:rFonts w:hint="eastAsia"/>
              </w:rPr>
              <w:t>抗压、耐破、粘合强度要求：符合GB/T6543-2008要求；</w:t>
            </w:r>
          </w:p>
          <w:p>
            <w:pPr>
              <w:keepNext w:val="0"/>
              <w:keepLines w:val="0"/>
              <w:widowControl/>
              <w:suppressLineNumbers w:val="0"/>
              <w:spacing w:before="0" w:beforeAutospacing="0" w:after="0" w:afterAutospacing="0"/>
              <w:ind w:left="0" w:right="0"/>
              <w:jc w:val="left"/>
              <w:textAlignment w:val="bottom"/>
              <w:rPr>
                <w:rFonts w:hint="eastAsia"/>
                <w:lang w:eastAsia="zh-CN"/>
              </w:rPr>
            </w:pPr>
            <w:r>
              <w:rPr>
                <w:rFonts w:hint="eastAsia"/>
                <w:lang w:val="en-US" w:eastAsia="zh-CN"/>
              </w:rPr>
              <w:t>5、</w:t>
            </w:r>
            <w:r>
              <w:rPr>
                <w:rFonts w:hint="eastAsia"/>
              </w:rPr>
              <w:t>原纸要求：采用玖龙纸业和理文纸业原纸</w:t>
            </w:r>
            <w:r>
              <w:rPr>
                <w:rFonts w:hint="eastAsia"/>
                <w:lang w:eastAsia="zh-CN"/>
              </w:rPr>
              <w:t>。</w:t>
            </w:r>
          </w:p>
          <w:p>
            <w:pPr>
              <w:keepNext w:val="0"/>
              <w:keepLines w:val="0"/>
              <w:widowControl/>
              <w:suppressLineNumbers w:val="0"/>
              <w:spacing w:before="0" w:beforeAutospacing="0" w:after="0" w:afterAutospacing="0"/>
              <w:ind w:left="0" w:right="0"/>
              <w:jc w:val="left"/>
              <w:textAlignment w:val="bottom"/>
              <w:rPr>
                <w:rFonts w:hint="eastAsia"/>
                <w:lang w:val="zh-CN"/>
              </w:rPr>
            </w:pPr>
            <w:r>
              <w:rPr>
                <w:rFonts w:hint="eastAsia"/>
                <w:lang w:val="zh-CN"/>
              </w:rPr>
              <w:t>蓝色色标:CMYK C100 M60 Y20 K0</w:t>
            </w:r>
          </w:p>
          <w:p>
            <w:pPr>
              <w:keepNext w:val="0"/>
              <w:keepLines w:val="0"/>
              <w:widowControl/>
              <w:suppressLineNumbers w:val="0"/>
              <w:spacing w:before="0" w:beforeAutospacing="0" w:after="0" w:afterAutospacing="0"/>
              <w:ind w:left="0" w:right="0"/>
              <w:jc w:val="left"/>
              <w:textAlignment w:val="bottom"/>
              <w:rPr>
                <w:rFonts w:hint="eastAsia"/>
                <w:lang w:val="en-US" w:eastAsia="zh-CN"/>
              </w:rPr>
            </w:pPr>
            <w:r>
              <w:rPr>
                <w:rFonts w:hint="eastAsia"/>
                <w:lang w:val="en-US" w:eastAsia="zh-CN"/>
              </w:rPr>
              <w:t>6、纸箱材料配置：250A+160+120+160+200B</w:t>
            </w:r>
          </w:p>
          <w:p>
            <w:pPr>
              <w:keepNext w:val="0"/>
              <w:keepLines w:val="0"/>
              <w:widowControl/>
              <w:suppressLineNumbers w:val="0"/>
              <w:spacing w:before="0" w:beforeAutospacing="0" w:after="0" w:afterAutospacing="0"/>
              <w:ind w:left="0" w:right="0"/>
              <w:jc w:val="left"/>
              <w:textAlignment w:val="bottom"/>
              <w:rPr>
                <w:rFonts w:hint="default"/>
                <w:lang w:val="en-US" w:eastAsia="zh-CN"/>
              </w:rPr>
            </w:pPr>
            <w:r>
              <w:rPr>
                <w:rFonts w:hint="eastAsia"/>
                <w:lang w:val="en-US" w:eastAsia="zh-CN"/>
              </w:rPr>
              <w:t>7、纸板材料配置：130B+150+130B</w:t>
            </w:r>
          </w:p>
          <w:p>
            <w:pPr>
              <w:keepNext w:val="0"/>
              <w:keepLines w:val="0"/>
              <w:widowControl/>
              <w:suppressLineNumbers w:val="0"/>
              <w:spacing w:before="0" w:beforeAutospacing="0" w:after="0" w:afterAutospacing="0"/>
              <w:ind w:left="0" w:right="0"/>
              <w:jc w:val="left"/>
              <w:textAlignment w:val="bottom"/>
              <w:rPr>
                <w:rFonts w:hint="eastAsia"/>
                <w:lang w:val="zh-CN"/>
              </w:rPr>
            </w:pPr>
          </w:p>
          <w:p>
            <w:pPr>
              <w:keepNext w:val="0"/>
              <w:keepLines w:val="0"/>
              <w:widowControl/>
              <w:suppressLineNumbers w:val="0"/>
              <w:spacing w:before="0" w:beforeAutospacing="0" w:after="0" w:afterAutospacing="0"/>
              <w:ind w:left="0" w:right="0"/>
              <w:jc w:val="left"/>
              <w:textAlignment w:val="bottom"/>
              <w:rPr>
                <w:rFonts w:hint="eastAsia"/>
                <w:lang w:val="zh-CN"/>
              </w:rPr>
            </w:pPr>
          </w:p>
        </w:tc>
        <w:tc>
          <w:tcPr>
            <w:tcW w:w="702"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bottom"/>
              <w:rPr>
                <w:rFonts w:hint="default"/>
                <w:lang w:val="en-US" w:eastAsia="zh-CN"/>
              </w:rPr>
            </w:pPr>
            <w:r>
              <w:rPr>
                <w:rFonts w:hint="eastAsia"/>
                <w:lang w:val="en-US" w:eastAsia="zh-CN"/>
              </w:rPr>
              <w:t>件</w:t>
            </w:r>
          </w:p>
        </w:tc>
        <w:tc>
          <w:tcPr>
            <w:tcW w:w="906"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9" w:type="dxa"/>
            <w:vMerge w:val="restart"/>
            <w:tcBorders>
              <w:top w:val="single" w:color="000000" w:sz="4" w:space="0"/>
              <w:left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p>
        </w:tc>
        <w:tc>
          <w:tcPr>
            <w:tcW w:w="932" w:type="dxa"/>
            <w:vMerge w:val="restart"/>
            <w:tcBorders>
              <w:top w:val="single" w:color="000000" w:sz="4" w:space="0"/>
              <w:left w:val="single" w:color="auto"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cs="宋体" w:asciiTheme="minorEastAsia" w:hAnsiTheme="minorEastAsia" w:eastAsiaTheme="minorEastAsia"/>
                <w:color w:val="auto"/>
                <w:sz w:val="24"/>
              </w:rPr>
            </w:pPr>
            <w:r>
              <w:rPr>
                <w:rFonts w:hint="eastAsia"/>
                <w:color w:val="auto"/>
              </w:rPr>
              <w:t>需提供竞标样品</w:t>
            </w: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385×150×170</w:t>
            </w:r>
          </w:p>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05"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continue"/>
            <w:tcBorders>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p>
        </w:tc>
        <w:tc>
          <w:tcPr>
            <w:tcW w:w="1694" w:type="dxa"/>
            <w:vMerge w:val="continue"/>
            <w:tcBorders>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09" w:hRule="atLeast"/>
          <w:jc w:val="center"/>
        </w:trPr>
        <w:tc>
          <w:tcPr>
            <w:tcW w:w="1457" w:type="dxa"/>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360×120×3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kern w:val="0"/>
                <w:sz w:val="20"/>
                <w:lang w:bidi="ar"/>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360×160×3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120×140×3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521" w:hRule="atLeast"/>
          <w:jc w:val="center"/>
        </w:trPr>
        <w:tc>
          <w:tcPr>
            <w:tcW w:w="145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tcBorders>
              <w:top w:val="single" w:color="000000" w:sz="4" w:space="0"/>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160×140×3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rPr>
              <w:t>纸板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zh-CN"/>
              </w:rPr>
              <w:t>360×140×3</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30"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p>
        </w:tc>
        <w:tc>
          <w:tcPr>
            <w:tcW w:w="1694" w:type="dxa"/>
            <w:vMerge w:val="continue"/>
            <w:tcBorders>
              <w:left w:val="single" w:color="000000" w:sz="4" w:space="0"/>
              <w:bottom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312" w:hRule="atLeast"/>
          <w:jc w:val="center"/>
        </w:trPr>
        <w:tc>
          <w:tcPr>
            <w:tcW w:w="1457"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rPr>
            </w:pPr>
            <w:r>
              <w:rPr>
                <w:rFonts w:hint="eastAsia" w:cs="宋体" w:asciiTheme="minorEastAsia" w:hAnsiTheme="minorEastAsia" w:eastAsiaTheme="minorEastAsia"/>
                <w:color w:val="auto"/>
                <w:sz w:val="24"/>
                <w:lang w:val="en-US" w:eastAsia="zh-CN"/>
              </w:rPr>
              <w:t>等边纸护角板</w:t>
            </w:r>
          </w:p>
        </w:tc>
        <w:tc>
          <w:tcPr>
            <w:tcW w:w="1694" w:type="dxa"/>
            <w:vMerge w:val="restart"/>
            <w:tcBorders>
              <w:top w:val="single" w:color="000000" w:sz="4" w:space="0"/>
              <w:left w:val="single" w:color="000000"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zh-CN"/>
              </w:rPr>
            </w:pPr>
            <w:r>
              <w:rPr>
                <w:rFonts w:hint="eastAsia" w:cs="宋体" w:asciiTheme="minorEastAsia" w:hAnsiTheme="minorEastAsia" w:eastAsiaTheme="minorEastAsia"/>
                <w:color w:val="auto"/>
                <w:kern w:val="0"/>
                <w:sz w:val="18"/>
                <w:szCs w:val="18"/>
                <w:lang w:val="en-US" w:eastAsia="zh-CN"/>
              </w:rPr>
              <w:t>750×60×60×5</w:t>
            </w:r>
          </w:p>
        </w:tc>
        <w:tc>
          <w:tcPr>
            <w:tcW w:w="3356" w:type="dxa"/>
            <w:vMerge w:val="continue"/>
            <w:tcBorders>
              <w:left w:val="single" w:color="000000"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r>
        <w:tblPrEx>
          <w:tblCellMar>
            <w:top w:w="0" w:type="dxa"/>
            <w:left w:w="0" w:type="dxa"/>
            <w:bottom w:w="0" w:type="dxa"/>
            <w:right w:w="0" w:type="dxa"/>
          </w:tblCellMar>
        </w:tblPrEx>
        <w:trPr>
          <w:trHeight w:val="471" w:hRule="atLeast"/>
          <w:jc w:val="center"/>
        </w:trPr>
        <w:tc>
          <w:tcPr>
            <w:tcW w:w="1457"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cs="宋体" w:asciiTheme="minorEastAsia" w:hAnsiTheme="minorEastAsia" w:eastAsiaTheme="minorEastAsia"/>
                <w:color w:val="auto"/>
                <w:sz w:val="24"/>
                <w:lang w:val="en-US" w:eastAsia="zh-CN"/>
              </w:rPr>
            </w:pPr>
          </w:p>
        </w:tc>
        <w:tc>
          <w:tcPr>
            <w:tcW w:w="1694" w:type="dxa"/>
            <w:vMerge w:val="continue"/>
            <w:tcBorders>
              <w:left w:val="single" w:color="000000" w:sz="4" w:space="0"/>
              <w:bottom w:val="single" w:color="auto" w:sz="4" w:space="0"/>
              <w:right w:val="nil"/>
            </w:tcBorders>
            <w:noWrap/>
            <w:tcMar>
              <w:top w:w="15" w:type="dxa"/>
              <w:left w:w="15" w:type="dxa"/>
              <w:right w:w="15" w:type="dxa"/>
            </w:tcMar>
            <w:vAlign w:val="center"/>
          </w:tcPr>
          <w:p>
            <w:pPr>
              <w:keepNext w:val="0"/>
              <w:keepLines w:val="0"/>
              <w:widowControl/>
              <w:suppressLineNumbers w:val="0"/>
              <w:spacing w:before="0" w:beforeAutospacing="0" w:after="0" w:afterAutospacing="0"/>
              <w:ind w:left="0" w:right="0"/>
              <w:textAlignment w:val="center"/>
              <w:rPr>
                <w:rFonts w:hint="eastAsia" w:cs="宋体" w:asciiTheme="minorEastAsia" w:hAnsiTheme="minorEastAsia" w:eastAsiaTheme="minorEastAsia"/>
                <w:color w:val="auto"/>
                <w:kern w:val="0"/>
                <w:sz w:val="18"/>
                <w:szCs w:val="18"/>
                <w:lang w:val="en-US" w:eastAsia="zh-CN"/>
              </w:rPr>
            </w:pPr>
          </w:p>
        </w:tc>
        <w:tc>
          <w:tcPr>
            <w:tcW w:w="3356" w:type="dxa"/>
            <w:vMerge w:val="continue"/>
            <w:tcBorders>
              <w:left w:val="single" w:color="000000" w:sz="4" w:space="0"/>
              <w:bottom w:val="single" w:color="auto" w:sz="4" w:space="0"/>
              <w:right w:val="single" w:color="000000" w:sz="4" w:space="0"/>
            </w:tcBorders>
            <w:noWrap/>
            <w:tcMar>
              <w:top w:w="15" w:type="dxa"/>
              <w:left w:w="15" w:type="dxa"/>
              <w:right w:w="15" w:type="dxa"/>
            </w:tcMar>
            <w:vAlign w:val="bottom"/>
          </w:tcPr>
          <w:p>
            <w:pPr>
              <w:keepNext w:val="0"/>
              <w:keepLines w:val="0"/>
              <w:widowControl/>
              <w:suppressLineNumbers w:val="0"/>
              <w:spacing w:before="0" w:beforeAutospacing="0" w:after="0" w:afterAutospacing="0"/>
              <w:ind w:left="0" w:right="0"/>
              <w:jc w:val="left"/>
              <w:textAlignment w:val="bottom"/>
              <w:rPr>
                <w:rFonts w:cs="宋体" w:asciiTheme="minorEastAsia" w:hAnsiTheme="minorEastAsia" w:eastAsiaTheme="minorEastAsia"/>
                <w:color w:val="auto"/>
                <w:sz w:val="20"/>
              </w:rPr>
            </w:pPr>
          </w:p>
        </w:tc>
        <w:tc>
          <w:tcPr>
            <w:tcW w:w="702"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06"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9"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c>
          <w:tcPr>
            <w:tcW w:w="932" w:type="dxa"/>
            <w:vMerge w:val="continue"/>
            <w:tcBorders>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suppressLineNumbers w:val="0"/>
              <w:spacing w:before="0" w:beforeAutospacing="0" w:after="0" w:afterAutospacing="0"/>
              <w:ind w:left="0" w:right="0"/>
              <w:jc w:val="center"/>
              <w:rPr>
                <w:rFonts w:cs="宋体" w:asciiTheme="minorEastAsia" w:hAnsiTheme="minorEastAsia" w:eastAsiaTheme="minorEastAsia"/>
                <w:color w:val="auto"/>
                <w:sz w:val="24"/>
              </w:rPr>
            </w:pPr>
          </w:p>
        </w:tc>
      </w:tr>
    </w:tbl>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widowControl/>
        <w:snapToGrid w:val="0"/>
        <w:spacing w:before="19" w:line="540" w:lineRule="exact"/>
        <w:rPr>
          <w:rFonts w:ascii="仿宋" w:hAnsi="仿宋" w:eastAsia="仿宋"/>
          <w:sz w:val="28"/>
          <w:szCs w:val="28"/>
        </w:rPr>
      </w:pPr>
    </w:p>
    <w:p>
      <w:pPr>
        <w:widowControl/>
        <w:snapToGrid w:val="0"/>
        <w:spacing w:before="19" w:line="540" w:lineRule="exact"/>
        <w:rPr>
          <w:rFonts w:ascii="仿宋" w:hAnsi="仿宋" w:eastAsia="仿宋"/>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rPr>
          <w:rFonts w:hint="eastAsia"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jc w:val="center"/>
        <w:rPr>
          <w:rFonts w:hint="eastAsia" w:eastAsia="黑体"/>
          <w:sz w:val="30"/>
          <w:szCs w:val="30"/>
        </w:rPr>
      </w:pPr>
    </w:p>
    <w:p>
      <w:pPr>
        <w:spacing w:line="54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附件五：</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企业营业执照复印件、法人身份证复印件、授权代表人身份证复印件、过往业绩（合同或者中标通知函）以及与本项目相关的其他资质证明材料。</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w:t>
    </w:r>
    <w:r>
      <w:rPr>
        <w:lang w:val="zh-CN"/>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abstractNum w:abstractNumId="1">
    <w:nsid w:val="6E9552E5"/>
    <w:multiLevelType w:val="singleLevel"/>
    <w:tmpl w:val="6E9552E5"/>
    <w:lvl w:ilvl="0" w:tentative="0">
      <w:start w:val="4"/>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2F10ECA"/>
    <w:rsid w:val="05250232"/>
    <w:rsid w:val="05E132E2"/>
    <w:rsid w:val="063C5A14"/>
    <w:rsid w:val="07987184"/>
    <w:rsid w:val="07CA2E31"/>
    <w:rsid w:val="07E21FBD"/>
    <w:rsid w:val="08FE521C"/>
    <w:rsid w:val="091E4B91"/>
    <w:rsid w:val="09563EF1"/>
    <w:rsid w:val="096F29A7"/>
    <w:rsid w:val="0A001C9D"/>
    <w:rsid w:val="0A1D1865"/>
    <w:rsid w:val="0C634BD8"/>
    <w:rsid w:val="0CC55A09"/>
    <w:rsid w:val="0D8E3F54"/>
    <w:rsid w:val="0E377879"/>
    <w:rsid w:val="0F3E42FB"/>
    <w:rsid w:val="0FE42378"/>
    <w:rsid w:val="0FEB2143"/>
    <w:rsid w:val="110123EC"/>
    <w:rsid w:val="11323F04"/>
    <w:rsid w:val="115C1106"/>
    <w:rsid w:val="124D485B"/>
    <w:rsid w:val="12D30873"/>
    <w:rsid w:val="13D62E35"/>
    <w:rsid w:val="13F137BB"/>
    <w:rsid w:val="14065285"/>
    <w:rsid w:val="148C6513"/>
    <w:rsid w:val="150177FB"/>
    <w:rsid w:val="152B4878"/>
    <w:rsid w:val="1539366D"/>
    <w:rsid w:val="158242C4"/>
    <w:rsid w:val="15923183"/>
    <w:rsid w:val="170209AC"/>
    <w:rsid w:val="182E0907"/>
    <w:rsid w:val="185D717A"/>
    <w:rsid w:val="1884363C"/>
    <w:rsid w:val="189C1D14"/>
    <w:rsid w:val="18AC098C"/>
    <w:rsid w:val="19AE0A66"/>
    <w:rsid w:val="1A580283"/>
    <w:rsid w:val="1ACB068F"/>
    <w:rsid w:val="1B5E2AC5"/>
    <w:rsid w:val="1BA66BB0"/>
    <w:rsid w:val="1BC21D75"/>
    <w:rsid w:val="1BDE6581"/>
    <w:rsid w:val="1C9F4F32"/>
    <w:rsid w:val="1D7A3DCD"/>
    <w:rsid w:val="1DC079EB"/>
    <w:rsid w:val="1E167479"/>
    <w:rsid w:val="1EB10461"/>
    <w:rsid w:val="1F026D7D"/>
    <w:rsid w:val="1F79249D"/>
    <w:rsid w:val="1F7E6B12"/>
    <w:rsid w:val="20555135"/>
    <w:rsid w:val="20982747"/>
    <w:rsid w:val="20EC032D"/>
    <w:rsid w:val="212958D0"/>
    <w:rsid w:val="21402A14"/>
    <w:rsid w:val="22BC513A"/>
    <w:rsid w:val="22CD3B1D"/>
    <w:rsid w:val="23FF15A7"/>
    <w:rsid w:val="24227AC4"/>
    <w:rsid w:val="24727DCD"/>
    <w:rsid w:val="251229B4"/>
    <w:rsid w:val="2552591F"/>
    <w:rsid w:val="2661284D"/>
    <w:rsid w:val="26EF6AF0"/>
    <w:rsid w:val="27B91ECD"/>
    <w:rsid w:val="2904734B"/>
    <w:rsid w:val="29564161"/>
    <w:rsid w:val="29F32ED7"/>
    <w:rsid w:val="2A156F80"/>
    <w:rsid w:val="2B870E95"/>
    <w:rsid w:val="2C1A2780"/>
    <w:rsid w:val="2C5A5DB8"/>
    <w:rsid w:val="2C6923FD"/>
    <w:rsid w:val="2C774837"/>
    <w:rsid w:val="2D072546"/>
    <w:rsid w:val="2D2F7E73"/>
    <w:rsid w:val="2E2873A8"/>
    <w:rsid w:val="2E5A25BB"/>
    <w:rsid w:val="2E7D4C62"/>
    <w:rsid w:val="31723C4D"/>
    <w:rsid w:val="31C1166C"/>
    <w:rsid w:val="32946B1A"/>
    <w:rsid w:val="32C1403B"/>
    <w:rsid w:val="33E211B1"/>
    <w:rsid w:val="348C1BA6"/>
    <w:rsid w:val="358332CD"/>
    <w:rsid w:val="359456BA"/>
    <w:rsid w:val="37300E43"/>
    <w:rsid w:val="3769786B"/>
    <w:rsid w:val="37D64B9C"/>
    <w:rsid w:val="38045EDE"/>
    <w:rsid w:val="381E37F9"/>
    <w:rsid w:val="38D3045D"/>
    <w:rsid w:val="3C763EB8"/>
    <w:rsid w:val="3C830F6D"/>
    <w:rsid w:val="3F4F38AB"/>
    <w:rsid w:val="40514C3A"/>
    <w:rsid w:val="40A37703"/>
    <w:rsid w:val="415A73C9"/>
    <w:rsid w:val="41743CC1"/>
    <w:rsid w:val="42334883"/>
    <w:rsid w:val="43B6398B"/>
    <w:rsid w:val="43D57AC6"/>
    <w:rsid w:val="43EA2D29"/>
    <w:rsid w:val="44115403"/>
    <w:rsid w:val="450B6906"/>
    <w:rsid w:val="466761C1"/>
    <w:rsid w:val="47C16692"/>
    <w:rsid w:val="47F45782"/>
    <w:rsid w:val="48842CFB"/>
    <w:rsid w:val="488B5B56"/>
    <w:rsid w:val="4904684F"/>
    <w:rsid w:val="49D33CD8"/>
    <w:rsid w:val="4C03387D"/>
    <w:rsid w:val="4C325550"/>
    <w:rsid w:val="4C5B2AFF"/>
    <w:rsid w:val="4E026798"/>
    <w:rsid w:val="4E0D02DA"/>
    <w:rsid w:val="4E676A14"/>
    <w:rsid w:val="4EA975DE"/>
    <w:rsid w:val="4F246130"/>
    <w:rsid w:val="4F837218"/>
    <w:rsid w:val="4FF17C99"/>
    <w:rsid w:val="50CA7C23"/>
    <w:rsid w:val="52010237"/>
    <w:rsid w:val="521A3644"/>
    <w:rsid w:val="52795ABF"/>
    <w:rsid w:val="52D36688"/>
    <w:rsid w:val="53BB5D38"/>
    <w:rsid w:val="55AA50C4"/>
    <w:rsid w:val="55E85D30"/>
    <w:rsid w:val="563D5D39"/>
    <w:rsid w:val="57190CC9"/>
    <w:rsid w:val="571F46BA"/>
    <w:rsid w:val="582F4FA6"/>
    <w:rsid w:val="58BA5710"/>
    <w:rsid w:val="58EE7C08"/>
    <w:rsid w:val="59525DE4"/>
    <w:rsid w:val="5BA84B60"/>
    <w:rsid w:val="5C1B42CB"/>
    <w:rsid w:val="5C69772C"/>
    <w:rsid w:val="5D892572"/>
    <w:rsid w:val="5E8E0B7D"/>
    <w:rsid w:val="5FFB256E"/>
    <w:rsid w:val="608523A4"/>
    <w:rsid w:val="61AA5F76"/>
    <w:rsid w:val="629E3F6A"/>
    <w:rsid w:val="62D129BE"/>
    <w:rsid w:val="62F0573E"/>
    <w:rsid w:val="63623A3E"/>
    <w:rsid w:val="637D216D"/>
    <w:rsid w:val="64063F8B"/>
    <w:rsid w:val="644F535A"/>
    <w:rsid w:val="649966D5"/>
    <w:rsid w:val="65375DB8"/>
    <w:rsid w:val="65947435"/>
    <w:rsid w:val="65B7650F"/>
    <w:rsid w:val="665F0957"/>
    <w:rsid w:val="6740092D"/>
    <w:rsid w:val="69276C94"/>
    <w:rsid w:val="6AA03291"/>
    <w:rsid w:val="6AAF0DDC"/>
    <w:rsid w:val="6AF17C50"/>
    <w:rsid w:val="6C9C1952"/>
    <w:rsid w:val="6CAC0E82"/>
    <w:rsid w:val="6CF33C64"/>
    <w:rsid w:val="704C646E"/>
    <w:rsid w:val="705F270B"/>
    <w:rsid w:val="70B60DD1"/>
    <w:rsid w:val="712C7658"/>
    <w:rsid w:val="71463740"/>
    <w:rsid w:val="718627B6"/>
    <w:rsid w:val="71E97E38"/>
    <w:rsid w:val="72392BD7"/>
    <w:rsid w:val="732E4FC5"/>
    <w:rsid w:val="74701B57"/>
    <w:rsid w:val="750139B7"/>
    <w:rsid w:val="75D532E5"/>
    <w:rsid w:val="769237AF"/>
    <w:rsid w:val="76E0183B"/>
    <w:rsid w:val="77ED68D1"/>
    <w:rsid w:val="782A67A1"/>
    <w:rsid w:val="79805769"/>
    <w:rsid w:val="7BB27774"/>
    <w:rsid w:val="7BE81EEB"/>
    <w:rsid w:val="7C8B2820"/>
    <w:rsid w:val="7DE62533"/>
    <w:rsid w:val="7DFA17E2"/>
    <w:rsid w:val="7E0C1F74"/>
    <w:rsid w:val="7E5B78A0"/>
    <w:rsid w:val="7EDB6BBE"/>
    <w:rsid w:val="7F1A6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9"/>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4"/>
    <w:qFormat/>
    <w:uiPriority w:val="99"/>
    <w:pPr>
      <w:keepNext/>
      <w:keepLines/>
      <w:spacing w:before="260" w:after="260" w:line="413" w:lineRule="auto"/>
      <w:outlineLvl w:val="1"/>
    </w:pPr>
    <w:rPr>
      <w:rFonts w:ascii="Arial" w:hAnsi="Arial" w:eastAsia="黑体"/>
      <w:b/>
      <w:kern w:val="0"/>
      <w:sz w:val="20"/>
      <w:szCs w:val="20"/>
    </w:rPr>
  </w:style>
  <w:style w:type="paragraph" w:styleId="5">
    <w:name w:val="heading 3"/>
    <w:basedOn w:val="1"/>
    <w:next w:val="1"/>
    <w:link w:val="42"/>
    <w:semiHidden/>
    <w:unhideWhenUsed/>
    <w:qFormat/>
    <w:locked/>
    <w:uiPriority w:val="0"/>
    <w:pPr>
      <w:keepNext/>
      <w:keepLines/>
      <w:spacing w:before="260" w:beforeLines="0" w:beforeAutospacing="0" w:after="260" w:afterLines="0" w:afterAutospacing="0" w:line="413" w:lineRule="auto"/>
      <w:outlineLvl w:val="2"/>
    </w:pPr>
    <w:rPr>
      <w:b/>
      <w:sz w:val="32"/>
    </w:rPr>
  </w:style>
  <w:style w:type="character" w:default="1" w:styleId="18">
    <w:name w:val="Default Paragraph Font"/>
    <w:semiHidden/>
    <w:unhideWhenUsed/>
    <w:qFormat/>
    <w:uiPriority w:val="1"/>
  </w:style>
  <w:style w:type="table" w:default="1" w:styleId="16">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link w:val="35"/>
    <w:qFormat/>
    <w:uiPriority w:val="99"/>
    <w:pPr>
      <w:spacing w:after="120"/>
    </w:pPr>
    <w:rPr>
      <w:kern w:val="0"/>
      <w:sz w:val="24"/>
    </w:rPr>
  </w:style>
  <w:style w:type="paragraph" w:styleId="6">
    <w:name w:val="annotation text"/>
    <w:basedOn w:val="1"/>
    <w:link w:val="32"/>
    <w:semiHidden/>
    <w:qFormat/>
    <w:uiPriority w:val="99"/>
    <w:pPr>
      <w:jc w:val="left"/>
    </w:pPr>
    <w:rPr>
      <w:kern w:val="0"/>
      <w:sz w:val="24"/>
    </w:rPr>
  </w:style>
  <w:style w:type="paragraph" w:styleId="7">
    <w:name w:val="Body Text Indent"/>
    <w:basedOn w:val="1"/>
    <w:link w:val="26"/>
    <w:qFormat/>
    <w:uiPriority w:val="99"/>
    <w:pPr>
      <w:spacing w:after="120"/>
      <w:ind w:left="420" w:leftChars="200"/>
    </w:pPr>
    <w:rPr>
      <w:kern w:val="0"/>
      <w:sz w:val="24"/>
    </w:rPr>
  </w:style>
  <w:style w:type="paragraph" w:styleId="8">
    <w:name w:val="Plain Text"/>
    <w:basedOn w:val="1"/>
    <w:link w:val="25"/>
    <w:qFormat/>
    <w:uiPriority w:val="99"/>
    <w:rPr>
      <w:rFonts w:ascii="宋体" w:hAnsi="Courier New"/>
      <w:kern w:val="0"/>
      <w:szCs w:val="21"/>
    </w:rPr>
  </w:style>
  <w:style w:type="paragraph" w:styleId="9">
    <w:name w:val="Date"/>
    <w:basedOn w:val="1"/>
    <w:next w:val="1"/>
    <w:link w:val="27"/>
    <w:qFormat/>
    <w:uiPriority w:val="99"/>
    <w:pPr>
      <w:ind w:left="100" w:leftChars="2500"/>
    </w:pPr>
    <w:rPr>
      <w:kern w:val="0"/>
      <w:sz w:val="24"/>
    </w:rPr>
  </w:style>
  <w:style w:type="paragraph" w:styleId="10">
    <w:name w:val="Body Text Indent 2"/>
    <w:basedOn w:val="1"/>
    <w:link w:val="29"/>
    <w:qFormat/>
    <w:uiPriority w:val="99"/>
    <w:pPr>
      <w:spacing w:after="120" w:line="480" w:lineRule="auto"/>
      <w:ind w:left="420" w:leftChars="200"/>
    </w:pPr>
    <w:rPr>
      <w:kern w:val="0"/>
      <w:sz w:val="24"/>
    </w:rPr>
  </w:style>
  <w:style w:type="paragraph" w:styleId="11">
    <w:name w:val="Balloon Text"/>
    <w:basedOn w:val="1"/>
    <w:link w:val="34"/>
    <w:semiHidden/>
    <w:qFormat/>
    <w:uiPriority w:val="99"/>
    <w:rPr>
      <w:kern w:val="0"/>
      <w:sz w:val="18"/>
      <w:szCs w:val="18"/>
    </w:rPr>
  </w:style>
  <w:style w:type="paragraph" w:styleId="12">
    <w:name w:val="footer"/>
    <w:basedOn w:val="1"/>
    <w:link w:val="31"/>
    <w:qFormat/>
    <w:uiPriority w:val="99"/>
    <w:pPr>
      <w:tabs>
        <w:tab w:val="center" w:pos="4153"/>
        <w:tab w:val="right" w:pos="8306"/>
      </w:tabs>
      <w:snapToGrid w:val="0"/>
      <w:jc w:val="left"/>
    </w:pPr>
    <w:rPr>
      <w:kern w:val="0"/>
      <w:sz w:val="18"/>
      <w:szCs w:val="18"/>
    </w:rPr>
  </w:style>
  <w:style w:type="paragraph" w:styleId="13">
    <w:name w:val="header"/>
    <w:basedOn w:val="1"/>
    <w:link w:val="30"/>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6"/>
    <w:next w:val="6"/>
    <w:link w:val="33"/>
    <w:semiHidden/>
    <w:qFormat/>
    <w:uiPriority w:val="99"/>
    <w:rPr>
      <w:b/>
      <w:bCs/>
    </w:rPr>
  </w:style>
  <w:style w:type="table" w:styleId="17">
    <w:name w:val="Table Grid"/>
    <w:basedOn w:val="16"/>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qFormat/>
    <w:locked/>
    <w:uiPriority w:val="0"/>
    <w:rPr>
      <w:b/>
    </w:rPr>
  </w:style>
  <w:style w:type="character" w:styleId="20">
    <w:name w:val="page number"/>
    <w:basedOn w:val="18"/>
    <w:qFormat/>
    <w:uiPriority w:val="0"/>
  </w:style>
  <w:style w:type="character" w:styleId="21">
    <w:name w:val="Emphasis"/>
    <w:basedOn w:val="18"/>
    <w:qFormat/>
    <w:locked/>
    <w:uiPriority w:val="20"/>
    <w:rPr>
      <w:i/>
      <w:iCs/>
    </w:rPr>
  </w:style>
  <w:style w:type="character" w:styleId="22">
    <w:name w:val="Hyperlink"/>
    <w:basedOn w:val="18"/>
    <w:qFormat/>
    <w:uiPriority w:val="0"/>
    <w:rPr>
      <w:color w:val="1F3A87"/>
      <w:u w:val="none"/>
    </w:rPr>
  </w:style>
  <w:style w:type="character" w:styleId="23">
    <w:name w:val="annotation reference"/>
    <w:basedOn w:val="18"/>
    <w:semiHidden/>
    <w:qFormat/>
    <w:uiPriority w:val="99"/>
    <w:rPr>
      <w:rFonts w:cs="Times New Roman"/>
      <w:sz w:val="21"/>
    </w:rPr>
  </w:style>
  <w:style w:type="character" w:customStyle="1" w:styleId="24">
    <w:name w:val="标题 2 Char"/>
    <w:basedOn w:val="18"/>
    <w:link w:val="4"/>
    <w:qFormat/>
    <w:locked/>
    <w:uiPriority w:val="99"/>
    <w:rPr>
      <w:rFonts w:ascii="Arial" w:hAnsi="Arial" w:eastAsia="黑体" w:cs="Times New Roman"/>
      <w:b/>
      <w:sz w:val="20"/>
    </w:rPr>
  </w:style>
  <w:style w:type="character" w:customStyle="1" w:styleId="25">
    <w:name w:val="纯文本 Char"/>
    <w:basedOn w:val="18"/>
    <w:link w:val="8"/>
    <w:qFormat/>
    <w:locked/>
    <w:uiPriority w:val="99"/>
    <w:rPr>
      <w:rFonts w:ascii="宋体" w:hAnsi="Courier New" w:eastAsia="宋体" w:cs="Times New Roman"/>
      <w:sz w:val="21"/>
    </w:rPr>
  </w:style>
  <w:style w:type="character" w:customStyle="1" w:styleId="26">
    <w:name w:val="正文文本缩进 Char"/>
    <w:basedOn w:val="18"/>
    <w:link w:val="7"/>
    <w:qFormat/>
    <w:locked/>
    <w:uiPriority w:val="99"/>
    <w:rPr>
      <w:rFonts w:ascii="Times New Roman" w:hAnsi="Times New Roman" w:eastAsia="宋体" w:cs="Times New Roman"/>
      <w:sz w:val="24"/>
    </w:rPr>
  </w:style>
  <w:style w:type="character" w:customStyle="1" w:styleId="27">
    <w:name w:val="日期 Char"/>
    <w:basedOn w:val="18"/>
    <w:link w:val="9"/>
    <w:qFormat/>
    <w:locked/>
    <w:uiPriority w:val="99"/>
    <w:rPr>
      <w:rFonts w:ascii="Times New Roman" w:hAnsi="Times New Roman" w:eastAsia="宋体" w:cs="Times New Roman"/>
      <w:sz w:val="24"/>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正文文本缩进 2 Char"/>
    <w:basedOn w:val="18"/>
    <w:link w:val="10"/>
    <w:qFormat/>
    <w:locked/>
    <w:uiPriority w:val="99"/>
    <w:rPr>
      <w:rFonts w:ascii="Times New Roman" w:hAnsi="Times New Roman" w:eastAsia="宋体" w:cs="Times New Roman"/>
      <w:sz w:val="24"/>
    </w:rPr>
  </w:style>
  <w:style w:type="character" w:customStyle="1" w:styleId="30">
    <w:name w:val="页眉 Char"/>
    <w:basedOn w:val="18"/>
    <w:link w:val="13"/>
    <w:semiHidden/>
    <w:qFormat/>
    <w:locked/>
    <w:uiPriority w:val="99"/>
    <w:rPr>
      <w:rFonts w:ascii="Times New Roman" w:hAnsi="Times New Roman" w:eastAsia="宋体" w:cs="Times New Roman"/>
      <w:sz w:val="18"/>
    </w:rPr>
  </w:style>
  <w:style w:type="character" w:customStyle="1" w:styleId="31">
    <w:name w:val="页脚 Char"/>
    <w:basedOn w:val="18"/>
    <w:link w:val="12"/>
    <w:qFormat/>
    <w:locked/>
    <w:uiPriority w:val="99"/>
    <w:rPr>
      <w:rFonts w:ascii="Times New Roman" w:hAnsi="Times New Roman" w:eastAsia="宋体" w:cs="Times New Roman"/>
      <w:sz w:val="18"/>
    </w:rPr>
  </w:style>
  <w:style w:type="character" w:customStyle="1" w:styleId="32">
    <w:name w:val="批注文字 Char"/>
    <w:basedOn w:val="18"/>
    <w:link w:val="6"/>
    <w:semiHidden/>
    <w:qFormat/>
    <w:locked/>
    <w:uiPriority w:val="99"/>
    <w:rPr>
      <w:rFonts w:ascii="Times New Roman" w:hAnsi="Times New Roman" w:cs="Times New Roman"/>
      <w:sz w:val="24"/>
    </w:rPr>
  </w:style>
  <w:style w:type="character" w:customStyle="1" w:styleId="33">
    <w:name w:val="批注主题 Char"/>
    <w:basedOn w:val="32"/>
    <w:link w:val="15"/>
    <w:semiHidden/>
    <w:qFormat/>
    <w:locked/>
    <w:uiPriority w:val="99"/>
    <w:rPr>
      <w:rFonts w:ascii="Times New Roman" w:hAnsi="Times New Roman" w:cs="Times New Roman"/>
      <w:b/>
      <w:sz w:val="24"/>
    </w:rPr>
  </w:style>
  <w:style w:type="character" w:customStyle="1" w:styleId="34">
    <w:name w:val="批注框文本 Char"/>
    <w:basedOn w:val="18"/>
    <w:link w:val="11"/>
    <w:semiHidden/>
    <w:qFormat/>
    <w:locked/>
    <w:uiPriority w:val="99"/>
    <w:rPr>
      <w:rFonts w:ascii="Times New Roman" w:hAnsi="Times New Roman" w:cs="Times New Roman"/>
      <w:sz w:val="18"/>
    </w:rPr>
  </w:style>
  <w:style w:type="character" w:customStyle="1" w:styleId="35">
    <w:name w:val="正文文本 Char"/>
    <w:basedOn w:val="18"/>
    <w:link w:val="2"/>
    <w:semiHidden/>
    <w:qFormat/>
    <w:locked/>
    <w:uiPriority w:val="99"/>
    <w:rPr>
      <w:rFonts w:ascii="Times New Roman" w:hAnsi="Times New Roman" w:cs="Times New Roman"/>
      <w:sz w:val="24"/>
    </w:rPr>
  </w:style>
  <w:style w:type="paragraph" w:customStyle="1" w:styleId="36">
    <w:name w:val="Table Paragraph"/>
    <w:basedOn w:val="1"/>
    <w:qFormat/>
    <w:uiPriority w:val="99"/>
    <w:pPr>
      <w:jc w:val="left"/>
    </w:pPr>
    <w:rPr>
      <w:rFonts w:ascii="等线" w:hAnsi="等线" w:eastAsia="等线"/>
      <w:kern w:val="0"/>
      <w:sz w:val="22"/>
      <w:szCs w:val="22"/>
      <w:lang w:eastAsia="en-US"/>
    </w:rPr>
  </w:style>
  <w:style w:type="paragraph" w:customStyle="1" w:styleId="37">
    <w:name w:val="样式 首行缩进:  2 字符"/>
    <w:basedOn w:val="1"/>
    <w:qFormat/>
    <w:uiPriority w:val="99"/>
    <w:pPr>
      <w:spacing w:line="400" w:lineRule="exact"/>
      <w:ind w:firstLine="200" w:firstLineChars="200"/>
    </w:pPr>
    <w:rPr>
      <w:rFonts w:ascii="Calibri" w:hAnsi="Calibri" w:cs="宋体"/>
      <w:sz w:val="24"/>
    </w:rPr>
  </w:style>
  <w:style w:type="paragraph" w:styleId="38">
    <w:name w:val="List Paragraph"/>
    <w:basedOn w:val="1"/>
    <w:link w:val="40"/>
    <w:qFormat/>
    <w:uiPriority w:val="99"/>
    <w:pPr>
      <w:ind w:firstLine="420" w:firstLineChars="200"/>
    </w:pPr>
    <w:rPr>
      <w:rFonts w:ascii="Calibri" w:hAnsi="Calibri"/>
      <w:szCs w:val="22"/>
    </w:rPr>
  </w:style>
  <w:style w:type="character" w:customStyle="1" w:styleId="39">
    <w:name w:val="标题 1 Char"/>
    <w:basedOn w:val="18"/>
    <w:link w:val="3"/>
    <w:qFormat/>
    <w:uiPriority w:val="0"/>
    <w:rPr>
      <w:rFonts w:ascii="Times New Roman" w:hAnsi="Times New Roman"/>
      <w:b/>
      <w:bCs/>
      <w:kern w:val="44"/>
      <w:sz w:val="44"/>
      <w:szCs w:val="44"/>
    </w:rPr>
  </w:style>
  <w:style w:type="character" w:customStyle="1" w:styleId="40">
    <w:name w:val="列出段落 Char"/>
    <w:link w:val="38"/>
    <w:qFormat/>
    <w:uiPriority w:val="99"/>
    <w:rPr>
      <w:kern w:val="2"/>
      <w:sz w:val="21"/>
      <w:szCs w:val="22"/>
    </w:rPr>
  </w:style>
  <w:style w:type="character" w:customStyle="1" w:styleId="41">
    <w:name w:val="apple-converted-space"/>
    <w:basedOn w:val="18"/>
    <w:qFormat/>
    <w:uiPriority w:val="0"/>
  </w:style>
  <w:style w:type="character" w:customStyle="1" w:styleId="42">
    <w:name w:val="标题 3 Char"/>
    <w:link w:val="5"/>
    <w:qFormat/>
    <w:uiPriority w:val="0"/>
    <w:rPr>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19</Pages>
  <Words>6188</Words>
  <Characters>6681</Characters>
  <Lines>64</Lines>
  <Paragraphs>18</Paragraphs>
  <TotalTime>0</TotalTime>
  <ScaleCrop>false</ScaleCrop>
  <LinksUpToDate>false</LinksUpToDate>
  <CharactersWithSpaces>7302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WPS_1679383822</cp:lastModifiedBy>
  <cp:lastPrinted>2023-02-01T05:27:00Z</cp:lastPrinted>
  <dcterms:modified xsi:type="dcterms:W3CDTF">2024-02-05T05:31:05Z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069EFB4F6A8845B6BBE033D848F5A6F8</vt:lpwstr>
  </property>
</Properties>
</file>