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Theme="majorEastAsia" w:hAnsiTheme="majorEastAsia" w:eastAsiaTheme="majorEastAsia"/>
          <w:b/>
          <w:bCs/>
          <w:color w:val="000000" w:themeColor="text1"/>
          <w:spacing w:val="38"/>
          <w:sz w:val="24"/>
          <w:lang w:val="en-US" w:eastAsia="zh-CN"/>
        </w:rPr>
      </w:pPr>
      <w:r>
        <w:rPr>
          <w:rFonts w:asciiTheme="majorEastAsia" w:hAnsiTheme="majorEastAsia" w:eastAsiaTheme="majorEastAsia"/>
          <w:b/>
          <w:bCs/>
          <w:color w:val="000000" w:themeColor="text1"/>
          <w:spacing w:val="38"/>
          <w:sz w:val="72"/>
          <w:szCs w:val="72"/>
        </w:rPr>
        <w:t xml:space="preserve">         </w:t>
      </w:r>
      <w:r>
        <w:rPr>
          <w:rFonts w:hint="eastAsia" w:asciiTheme="majorEastAsia" w:hAnsiTheme="majorEastAsia" w:eastAsiaTheme="majorEastAsia"/>
          <w:b/>
          <w:bCs/>
          <w:color w:val="000000" w:themeColor="text1"/>
          <w:spacing w:val="38"/>
          <w:sz w:val="24"/>
        </w:rPr>
        <w:t>询价采购编号：GMPT2023-00</w:t>
      </w:r>
      <w:r>
        <w:rPr>
          <w:rFonts w:hint="eastAsia" w:asciiTheme="majorEastAsia" w:hAnsiTheme="majorEastAsia" w:eastAsiaTheme="majorEastAsia"/>
          <w:b/>
          <w:bCs/>
          <w:color w:val="000000" w:themeColor="text1"/>
          <w:spacing w:val="38"/>
          <w:sz w:val="24"/>
          <w:lang w:val="en-US" w:eastAsia="zh-CN"/>
        </w:rPr>
        <w:t>4</w:t>
      </w:r>
    </w:p>
    <w:p>
      <w:pPr>
        <w:spacing w:line="800" w:lineRule="exact"/>
        <w:jc w:val="center"/>
        <w:rPr>
          <w:rFonts w:asciiTheme="majorEastAsia" w:hAnsiTheme="majorEastAsia" w:eastAsiaTheme="majorEastAsia"/>
          <w:b/>
          <w:bCs/>
          <w:color w:val="000000" w:themeColor="text1"/>
          <w:spacing w:val="38"/>
          <w:sz w:val="72"/>
          <w:szCs w:val="72"/>
        </w:rPr>
      </w:pPr>
    </w:p>
    <w:p>
      <w:pPr>
        <w:spacing w:line="800" w:lineRule="exact"/>
        <w:jc w:val="center"/>
        <w:rPr>
          <w:rFonts w:asciiTheme="majorEastAsia" w:hAnsiTheme="majorEastAsia" w:eastAsiaTheme="majorEastAsia"/>
          <w:b/>
          <w:bCs/>
          <w:color w:val="000000" w:themeColor="text1"/>
          <w:spacing w:val="38"/>
          <w:sz w:val="72"/>
          <w:szCs w:val="72"/>
        </w:rPr>
      </w:pPr>
    </w:p>
    <w:p>
      <w:pPr>
        <w:spacing w:line="800" w:lineRule="exact"/>
        <w:jc w:val="center"/>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b/>
          <w:bCs/>
          <w:color w:val="000000" w:themeColor="text1"/>
          <w:spacing w:val="38"/>
          <w:sz w:val="72"/>
          <w:szCs w:val="72"/>
        </w:rPr>
        <w:t>询价文件</w:t>
      </w:r>
    </w:p>
    <w:p>
      <w:pPr>
        <w:spacing w:line="800" w:lineRule="exact"/>
        <w:ind w:firstLine="2160" w:firstLineChars="600"/>
        <w:jc w:val="both"/>
        <w:rPr>
          <w:rFonts w:hint="eastAsia" w:asciiTheme="majorEastAsia" w:hAnsiTheme="majorEastAsia" w:eastAsiaTheme="majorEastAsia"/>
          <w:color w:val="000000" w:themeColor="text1"/>
          <w:sz w:val="36"/>
          <w:szCs w:val="36"/>
        </w:rPr>
      </w:pPr>
    </w:p>
    <w:p>
      <w:pPr>
        <w:spacing w:line="800" w:lineRule="exact"/>
        <w:ind w:firstLine="2160" w:firstLineChars="600"/>
        <w:jc w:val="both"/>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color w:val="000000" w:themeColor="text1"/>
          <w:sz w:val="36"/>
          <w:szCs w:val="36"/>
        </w:rPr>
        <w:t>项目名称：</w:t>
      </w:r>
      <w:r>
        <w:rPr>
          <w:rFonts w:hint="eastAsia"/>
          <w:b/>
          <w:color w:val="000000" w:themeColor="text1"/>
          <w:sz w:val="36"/>
          <w:szCs w:val="36"/>
        </w:rPr>
        <w:t>化工产品</w:t>
      </w:r>
      <w:r>
        <w:rPr>
          <w:rFonts w:hint="eastAsia" w:asciiTheme="majorEastAsia" w:hAnsiTheme="majorEastAsia" w:eastAsiaTheme="majorEastAsia"/>
          <w:b/>
          <w:bCs/>
          <w:color w:val="000000" w:themeColor="text1"/>
          <w:spacing w:val="38"/>
          <w:sz w:val="36"/>
          <w:szCs w:val="36"/>
        </w:rPr>
        <w:t>询价比价</w:t>
      </w:r>
    </w:p>
    <w:p>
      <w:pPr>
        <w:spacing w:line="800" w:lineRule="exact"/>
        <w:ind w:firstLine="2160" w:firstLineChars="600"/>
        <w:jc w:val="both"/>
        <w:rPr>
          <w:rFonts w:asciiTheme="majorEastAsia" w:hAnsiTheme="majorEastAsia" w:eastAsiaTheme="majorEastAsia"/>
          <w:b/>
          <w:bCs/>
          <w:color w:val="000000" w:themeColor="text1"/>
          <w:spacing w:val="38"/>
          <w:sz w:val="72"/>
          <w:szCs w:val="72"/>
        </w:rPr>
      </w:pPr>
      <w:r>
        <w:rPr>
          <w:rFonts w:hint="eastAsia" w:asciiTheme="majorEastAsia" w:hAnsiTheme="majorEastAsia" w:eastAsiaTheme="majorEastAsia"/>
          <w:color w:val="000000" w:themeColor="text1"/>
          <w:sz w:val="36"/>
          <w:szCs w:val="36"/>
        </w:rPr>
        <w:t>项目编号：</w:t>
      </w:r>
      <w:r>
        <w:rPr>
          <w:rFonts w:hint="eastAsia" w:asciiTheme="majorEastAsia" w:hAnsiTheme="majorEastAsia" w:eastAsiaTheme="majorEastAsia"/>
          <w:b/>
          <w:bCs/>
          <w:color w:val="000000" w:themeColor="text1"/>
          <w:spacing w:val="38"/>
          <w:sz w:val="24"/>
          <w:u w:val="single"/>
        </w:rPr>
        <w:t xml:space="preserve"> GMPT2023-00</w:t>
      </w:r>
      <w:r>
        <w:rPr>
          <w:rFonts w:hint="eastAsia" w:asciiTheme="majorEastAsia" w:hAnsiTheme="majorEastAsia" w:eastAsiaTheme="majorEastAsia"/>
          <w:b/>
          <w:bCs/>
          <w:color w:val="000000" w:themeColor="text1"/>
          <w:spacing w:val="38"/>
          <w:sz w:val="24"/>
          <w:u w:val="single"/>
          <w:lang w:val="en-US" w:eastAsia="zh-CN"/>
        </w:rPr>
        <w:t>4</w:t>
      </w:r>
      <w:r>
        <w:rPr>
          <w:rFonts w:hint="eastAsia" w:asciiTheme="majorEastAsia" w:hAnsiTheme="majorEastAsia" w:eastAsiaTheme="majorEastAsia"/>
          <w:b/>
          <w:bCs/>
          <w:color w:val="000000" w:themeColor="text1"/>
          <w:spacing w:val="38"/>
          <w:sz w:val="24"/>
          <w:u w:val="single"/>
        </w:rPr>
        <w:t xml:space="preserve"> </w:t>
      </w:r>
      <w:r>
        <w:rPr>
          <w:rFonts w:hint="eastAsia" w:asciiTheme="majorEastAsia" w:hAnsiTheme="majorEastAsia" w:eastAsiaTheme="majorEastAsia"/>
          <w:color w:val="000000" w:themeColor="text1"/>
          <w:sz w:val="36"/>
          <w:szCs w:val="36"/>
        </w:rPr>
        <w:t>号</w:t>
      </w: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bookmarkStart w:id="5" w:name="_GoBack"/>
      <w:bookmarkEnd w:id="5"/>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rPr>
          <w:rFonts w:asciiTheme="majorEastAsia" w:hAnsiTheme="majorEastAsia" w:eastAsiaTheme="majorEastAsia"/>
          <w:b/>
          <w:bCs/>
          <w:color w:val="000000" w:themeColor="text1"/>
          <w:spacing w:val="38"/>
          <w:sz w:val="72"/>
          <w:szCs w:val="72"/>
        </w:rPr>
      </w:pPr>
    </w:p>
    <w:p>
      <w:pPr>
        <w:spacing w:line="500" w:lineRule="exact"/>
        <w:jc w:val="center"/>
        <w:rPr>
          <w:rFonts w:asciiTheme="majorEastAsia" w:hAnsiTheme="majorEastAsia" w:eastAsiaTheme="majorEastAsia"/>
          <w:color w:val="000000" w:themeColor="text1"/>
          <w:sz w:val="44"/>
          <w:szCs w:val="44"/>
        </w:rPr>
      </w:pPr>
      <w:r>
        <w:rPr>
          <w:rFonts w:asciiTheme="majorEastAsia" w:hAnsiTheme="majorEastAsia" w:eastAsiaTheme="majorEastAsia"/>
          <w:color w:val="000000" w:themeColor="text1"/>
          <w:sz w:val="44"/>
          <w:szCs w:val="44"/>
        </w:rPr>
        <w:t>成都光明派特贵金属有限公司</w:t>
      </w:r>
    </w:p>
    <w:p>
      <w:pPr>
        <w:spacing w:line="500" w:lineRule="exact"/>
        <w:jc w:val="center"/>
        <w:rPr>
          <w:rFonts w:asciiTheme="majorEastAsia" w:hAnsiTheme="majorEastAsia" w:eastAsiaTheme="majorEastAsia"/>
          <w:color w:val="000000" w:themeColor="text1"/>
          <w:sz w:val="30"/>
          <w:szCs w:val="30"/>
        </w:rPr>
      </w:pPr>
    </w:p>
    <w:p>
      <w:pPr>
        <w:spacing w:line="500" w:lineRule="exact"/>
        <w:jc w:val="center"/>
        <w:rPr>
          <w:rFonts w:asciiTheme="majorEastAsia" w:hAnsiTheme="majorEastAsia" w:eastAsiaTheme="majorEastAsia"/>
          <w:color w:val="000000" w:themeColor="text1"/>
          <w:sz w:val="30"/>
          <w:szCs w:val="30"/>
        </w:rPr>
      </w:pPr>
      <w:r>
        <w:rPr>
          <w:rFonts w:hint="eastAsia" w:asciiTheme="majorEastAsia" w:hAnsiTheme="majorEastAsia" w:eastAsiaTheme="majorEastAsia"/>
          <w:color w:val="000000" w:themeColor="text1"/>
          <w:sz w:val="30"/>
          <w:szCs w:val="30"/>
        </w:rPr>
        <w:t>二○二三年五月</w:t>
      </w:r>
    </w:p>
    <w:p>
      <w:pPr>
        <w:spacing w:line="500" w:lineRule="exact"/>
        <w:jc w:val="center"/>
        <w:rPr>
          <w:rFonts w:asciiTheme="majorEastAsia" w:hAnsiTheme="majorEastAsia" w:eastAsiaTheme="majorEastAsia"/>
          <w:color w:val="000000" w:themeColor="text1"/>
          <w:sz w:val="44"/>
          <w:szCs w:val="44"/>
        </w:rPr>
      </w:pPr>
    </w:p>
    <w:p>
      <w:pPr>
        <w:spacing w:line="500" w:lineRule="exact"/>
        <w:jc w:val="center"/>
        <w:rPr>
          <w:rFonts w:asciiTheme="majorEastAsia" w:hAnsiTheme="majorEastAsia" w:eastAsiaTheme="majorEastAsia"/>
          <w:color w:val="000000" w:themeColor="text1"/>
          <w:sz w:val="44"/>
          <w:szCs w:val="44"/>
        </w:rPr>
      </w:pPr>
    </w:p>
    <w:p>
      <w:pPr>
        <w:spacing w:line="500" w:lineRule="exact"/>
        <w:jc w:val="center"/>
        <w:rPr>
          <w:rFonts w:asciiTheme="majorEastAsia" w:hAnsiTheme="majorEastAsia" w:eastAsiaTheme="majorEastAsia"/>
          <w:color w:val="000000" w:themeColor="text1"/>
          <w:sz w:val="36"/>
          <w:szCs w:val="36"/>
        </w:rPr>
      </w:pPr>
    </w:p>
    <w:sdt>
      <w:sdtPr>
        <w:rPr>
          <w:rFonts w:ascii="宋体" w:hAnsi="宋体" w:eastAsia="宋体" w:cs="Times New Roman"/>
          <w:b/>
          <w:bCs/>
          <w:kern w:val="2"/>
          <w:sz w:val="48"/>
          <w:szCs w:val="48"/>
          <w:lang w:val="en-US" w:eastAsia="zh-CN" w:bidi="ar-SA"/>
        </w:rPr>
        <w:id w:val="147482471"/>
        <w15:color w:val="DBDBDB"/>
        <w:docPartObj>
          <w:docPartGallery w:val="Table of Contents"/>
          <w:docPartUnique/>
        </w:docPartObj>
      </w:sdtPr>
      <w:sdtEndPr>
        <w:rPr>
          <w:rFonts w:cs="Times New Roman" w:asciiTheme="majorEastAsia" w:hAnsiTheme="majorEastAsia" w:eastAsiaTheme="majorEastAsia"/>
          <w:b/>
          <w:bCs/>
          <w:color w:val="000000" w:themeColor="text1"/>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b/>
              <w:bCs/>
              <w:sz w:val="48"/>
              <w:szCs w:val="48"/>
            </w:rPr>
          </w:pPr>
          <w:r>
            <w:rPr>
              <w:rFonts w:ascii="宋体" w:hAnsi="宋体" w:eastAsia="宋体"/>
              <w:b/>
              <w:bCs/>
              <w:sz w:val="48"/>
              <w:szCs w:val="48"/>
            </w:rPr>
            <w:t>目</w:t>
          </w:r>
          <w:r>
            <w:rPr>
              <w:rFonts w:hint="eastAsia" w:ascii="宋体" w:hAnsi="宋体"/>
              <w:b/>
              <w:bCs/>
              <w:sz w:val="48"/>
              <w:szCs w:val="48"/>
              <w:lang w:val="en-US" w:eastAsia="zh-CN"/>
            </w:rPr>
            <w:t xml:space="preserve"> </w:t>
          </w:r>
          <w:r>
            <w:rPr>
              <w:rFonts w:ascii="宋体" w:hAnsi="宋体" w:eastAsia="宋体"/>
              <w:b/>
              <w:bCs/>
              <w:sz w:val="48"/>
              <w:szCs w:val="48"/>
            </w:rPr>
            <w:t>录</w:t>
          </w:r>
        </w:p>
        <w:p>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color w:val="000000" w:themeColor="text1"/>
              <w:sz w:val="36"/>
              <w:szCs w:val="36"/>
            </w:rPr>
            <w:instrText xml:space="preserve">TOC \o "1-1" \h \u </w:instrText>
          </w:r>
          <w:r>
            <w:rPr>
              <w:rFonts w:asciiTheme="majorEastAsia" w:hAnsiTheme="majorEastAsia" w:eastAsiaTheme="majorEastAsia"/>
              <w:color w:val="000000" w:themeColor="text1"/>
              <w:sz w:val="36"/>
              <w:szCs w:val="36"/>
            </w:rPr>
            <w:fldChar w:fldCharType="separate"/>
          </w: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sz w:val="36"/>
              <w:szCs w:val="36"/>
            </w:rPr>
            <w:instrText xml:space="preserve"> HYPERLINK \l _Toc16641 </w:instrText>
          </w:r>
          <w:r>
            <w:rPr>
              <w:rFonts w:asciiTheme="majorEastAsia" w:hAnsiTheme="majorEastAsia" w:eastAsiaTheme="majorEastAsia"/>
              <w:sz w:val="36"/>
              <w:szCs w:val="36"/>
            </w:rPr>
            <w:fldChar w:fldCharType="separate"/>
          </w:r>
          <w:r>
            <w:rPr>
              <w:rFonts w:hint="eastAsia"/>
              <w:sz w:val="36"/>
              <w:szCs w:val="36"/>
            </w:rPr>
            <w:t>第一部分</w:t>
          </w:r>
          <w:r>
            <w:rPr>
              <w:sz w:val="36"/>
              <w:szCs w:val="36"/>
            </w:rPr>
            <w:t xml:space="preserve">  </w:t>
          </w:r>
          <w:r>
            <w:rPr>
              <w:rFonts w:hint="eastAsia"/>
              <w:sz w:val="36"/>
              <w:szCs w:val="36"/>
            </w:rPr>
            <w:t>询价比价邀请函</w:t>
          </w:r>
          <w:r>
            <w:rPr>
              <w:sz w:val="36"/>
              <w:szCs w:val="36"/>
            </w:rPr>
            <w:tab/>
          </w:r>
          <w:r>
            <w:rPr>
              <w:sz w:val="36"/>
              <w:szCs w:val="36"/>
            </w:rPr>
            <w:fldChar w:fldCharType="begin"/>
          </w:r>
          <w:r>
            <w:rPr>
              <w:sz w:val="36"/>
              <w:szCs w:val="36"/>
            </w:rPr>
            <w:instrText xml:space="preserve"> PAGEREF _Toc16641 \h </w:instrText>
          </w:r>
          <w:r>
            <w:rPr>
              <w:sz w:val="36"/>
              <w:szCs w:val="36"/>
            </w:rPr>
            <w:fldChar w:fldCharType="separate"/>
          </w:r>
          <w:r>
            <w:rPr>
              <w:sz w:val="36"/>
              <w:szCs w:val="36"/>
            </w:rPr>
            <w:t>3</w:t>
          </w:r>
          <w:r>
            <w:rPr>
              <w:sz w:val="36"/>
              <w:szCs w:val="36"/>
            </w:rPr>
            <w:fldChar w:fldCharType="end"/>
          </w:r>
          <w:r>
            <w:rPr>
              <w:rFonts w:asciiTheme="majorEastAsia" w:hAnsiTheme="majorEastAsia" w:eastAsiaTheme="majorEastAsia"/>
              <w:color w:val="000000" w:themeColor="text1"/>
              <w:sz w:val="36"/>
              <w:szCs w:val="36"/>
            </w:rPr>
            <w:fldChar w:fldCharType="end"/>
          </w:r>
        </w:p>
        <w:p>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sz w:val="36"/>
              <w:szCs w:val="36"/>
            </w:rPr>
            <w:instrText xml:space="preserve"> HYPERLINK \l _Toc15283 </w:instrText>
          </w:r>
          <w:r>
            <w:rPr>
              <w:rFonts w:asciiTheme="majorEastAsia" w:hAnsiTheme="majorEastAsia" w:eastAsiaTheme="majorEastAsia"/>
              <w:sz w:val="36"/>
              <w:szCs w:val="36"/>
            </w:rPr>
            <w:fldChar w:fldCharType="separate"/>
          </w:r>
          <w:r>
            <w:rPr>
              <w:rFonts w:hint="eastAsia"/>
              <w:sz w:val="36"/>
              <w:szCs w:val="36"/>
            </w:rPr>
            <w:t>第二部分  供应商须知</w:t>
          </w:r>
          <w:r>
            <w:rPr>
              <w:sz w:val="36"/>
              <w:szCs w:val="36"/>
            </w:rPr>
            <w:tab/>
          </w:r>
          <w:r>
            <w:rPr>
              <w:sz w:val="36"/>
              <w:szCs w:val="36"/>
            </w:rPr>
            <w:fldChar w:fldCharType="begin"/>
          </w:r>
          <w:r>
            <w:rPr>
              <w:sz w:val="36"/>
              <w:szCs w:val="36"/>
            </w:rPr>
            <w:instrText xml:space="preserve"> PAGEREF _Toc15283 \h </w:instrText>
          </w:r>
          <w:r>
            <w:rPr>
              <w:sz w:val="36"/>
              <w:szCs w:val="36"/>
            </w:rPr>
            <w:fldChar w:fldCharType="separate"/>
          </w:r>
          <w:r>
            <w:rPr>
              <w:sz w:val="36"/>
              <w:szCs w:val="36"/>
            </w:rPr>
            <w:t>4</w:t>
          </w:r>
          <w:r>
            <w:rPr>
              <w:sz w:val="36"/>
              <w:szCs w:val="36"/>
            </w:rPr>
            <w:fldChar w:fldCharType="end"/>
          </w:r>
          <w:r>
            <w:rPr>
              <w:rFonts w:asciiTheme="majorEastAsia" w:hAnsiTheme="majorEastAsia" w:eastAsiaTheme="majorEastAsia"/>
              <w:color w:val="000000" w:themeColor="text1"/>
              <w:sz w:val="36"/>
              <w:szCs w:val="36"/>
            </w:rPr>
            <w:fldChar w:fldCharType="end"/>
          </w:r>
        </w:p>
        <w:p>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sz w:val="36"/>
              <w:szCs w:val="36"/>
            </w:rPr>
            <w:instrText xml:space="preserve"> HYPERLINK \l _Toc17598 </w:instrText>
          </w:r>
          <w:r>
            <w:rPr>
              <w:rFonts w:asciiTheme="majorEastAsia" w:hAnsiTheme="majorEastAsia" w:eastAsiaTheme="majorEastAsia"/>
              <w:sz w:val="36"/>
              <w:szCs w:val="36"/>
            </w:rPr>
            <w:fldChar w:fldCharType="separate"/>
          </w:r>
          <w:r>
            <w:rPr>
              <w:rFonts w:hint="eastAsia"/>
              <w:sz w:val="36"/>
              <w:szCs w:val="36"/>
            </w:rPr>
            <w:t>第三部分  供应商要求</w:t>
          </w:r>
          <w:r>
            <w:rPr>
              <w:sz w:val="36"/>
              <w:szCs w:val="36"/>
            </w:rPr>
            <w:tab/>
          </w:r>
          <w:r>
            <w:rPr>
              <w:sz w:val="36"/>
              <w:szCs w:val="36"/>
            </w:rPr>
            <w:fldChar w:fldCharType="begin"/>
          </w:r>
          <w:r>
            <w:rPr>
              <w:sz w:val="36"/>
              <w:szCs w:val="36"/>
            </w:rPr>
            <w:instrText xml:space="preserve"> PAGEREF _Toc17598 \h </w:instrText>
          </w:r>
          <w:r>
            <w:rPr>
              <w:sz w:val="36"/>
              <w:szCs w:val="36"/>
            </w:rPr>
            <w:fldChar w:fldCharType="separate"/>
          </w:r>
          <w:r>
            <w:rPr>
              <w:sz w:val="36"/>
              <w:szCs w:val="36"/>
            </w:rPr>
            <w:t>8</w:t>
          </w:r>
          <w:r>
            <w:rPr>
              <w:sz w:val="36"/>
              <w:szCs w:val="36"/>
            </w:rPr>
            <w:fldChar w:fldCharType="end"/>
          </w:r>
          <w:r>
            <w:rPr>
              <w:rFonts w:asciiTheme="majorEastAsia" w:hAnsiTheme="majorEastAsia" w:eastAsiaTheme="majorEastAsia"/>
              <w:color w:val="000000" w:themeColor="text1"/>
              <w:sz w:val="36"/>
              <w:szCs w:val="36"/>
            </w:rPr>
            <w:fldChar w:fldCharType="end"/>
          </w:r>
        </w:p>
        <w:p>
          <w:pPr>
            <w:pStyle w:val="13"/>
            <w:tabs>
              <w:tab w:val="right" w:leader="dot" w:pos="9746"/>
            </w:tabs>
            <w:rPr>
              <w:sz w:val="36"/>
              <w:szCs w:val="36"/>
            </w:rPr>
          </w:pPr>
          <w:r>
            <w:rPr>
              <w:rFonts w:asciiTheme="majorEastAsia" w:hAnsiTheme="majorEastAsia" w:eastAsiaTheme="majorEastAsia"/>
              <w:color w:val="000000" w:themeColor="text1"/>
              <w:sz w:val="36"/>
              <w:szCs w:val="36"/>
            </w:rPr>
            <w:fldChar w:fldCharType="begin"/>
          </w:r>
          <w:r>
            <w:rPr>
              <w:rFonts w:asciiTheme="majorEastAsia" w:hAnsiTheme="majorEastAsia" w:eastAsiaTheme="majorEastAsia"/>
              <w:sz w:val="36"/>
              <w:szCs w:val="36"/>
            </w:rPr>
            <w:instrText xml:space="preserve"> HYPERLINK \l _Toc5286 </w:instrText>
          </w:r>
          <w:r>
            <w:rPr>
              <w:rFonts w:asciiTheme="majorEastAsia" w:hAnsiTheme="majorEastAsia" w:eastAsiaTheme="majorEastAsia"/>
              <w:sz w:val="36"/>
              <w:szCs w:val="36"/>
            </w:rPr>
            <w:fldChar w:fldCharType="separate"/>
          </w:r>
          <w:r>
            <w:rPr>
              <w:rFonts w:hint="eastAsia"/>
              <w:sz w:val="36"/>
              <w:szCs w:val="36"/>
            </w:rPr>
            <w:t>第</w:t>
          </w:r>
          <w:r>
            <w:rPr>
              <w:rFonts w:hint="eastAsia"/>
              <w:sz w:val="36"/>
              <w:szCs w:val="36"/>
              <w:lang w:val="en-US" w:eastAsia="zh-CN"/>
            </w:rPr>
            <w:t>四</w:t>
          </w:r>
          <w:r>
            <w:rPr>
              <w:rFonts w:hint="eastAsia"/>
              <w:sz w:val="36"/>
              <w:szCs w:val="36"/>
            </w:rPr>
            <w:t xml:space="preserve">部分  </w:t>
          </w:r>
          <w:r>
            <w:rPr>
              <w:rFonts w:hint="eastAsia"/>
              <w:sz w:val="36"/>
              <w:szCs w:val="36"/>
              <w:lang w:val="en-US" w:eastAsia="zh-CN"/>
            </w:rPr>
            <w:t>合同条款</w:t>
          </w:r>
          <w:r>
            <w:rPr>
              <w:sz w:val="36"/>
              <w:szCs w:val="36"/>
            </w:rPr>
            <w:tab/>
          </w:r>
          <w:r>
            <w:rPr>
              <w:sz w:val="36"/>
              <w:szCs w:val="36"/>
            </w:rPr>
            <w:fldChar w:fldCharType="begin"/>
          </w:r>
          <w:r>
            <w:rPr>
              <w:sz w:val="36"/>
              <w:szCs w:val="36"/>
            </w:rPr>
            <w:instrText xml:space="preserve"> PAGEREF _Toc5286 \h </w:instrText>
          </w:r>
          <w:r>
            <w:rPr>
              <w:sz w:val="36"/>
              <w:szCs w:val="36"/>
            </w:rPr>
            <w:fldChar w:fldCharType="separate"/>
          </w:r>
          <w:r>
            <w:rPr>
              <w:sz w:val="36"/>
              <w:szCs w:val="36"/>
            </w:rPr>
            <w:t>10</w:t>
          </w:r>
          <w:r>
            <w:rPr>
              <w:sz w:val="36"/>
              <w:szCs w:val="36"/>
            </w:rPr>
            <w:fldChar w:fldCharType="end"/>
          </w:r>
          <w:r>
            <w:rPr>
              <w:rFonts w:asciiTheme="majorEastAsia" w:hAnsiTheme="majorEastAsia" w:eastAsiaTheme="majorEastAsia"/>
              <w:color w:val="000000" w:themeColor="text1"/>
              <w:sz w:val="36"/>
              <w:szCs w:val="36"/>
            </w:rPr>
            <w:fldChar w:fldCharType="end"/>
          </w:r>
        </w:p>
        <w:p>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36"/>
              <w:szCs w:val="36"/>
            </w:rPr>
            <w:fldChar w:fldCharType="end"/>
          </w:r>
        </w:p>
      </w:sdtContent>
    </w:sdt>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p>
    <w:p>
      <w:pPr>
        <w:rPr>
          <w:rFonts w:asciiTheme="majorEastAsia" w:hAnsiTheme="majorEastAsia" w:eastAsiaTheme="majorEastAsia"/>
          <w:color w:val="000000" w:themeColor="text1"/>
          <w:sz w:val="20"/>
        </w:rPr>
      </w:pPr>
      <w:r>
        <w:rPr>
          <w:rFonts w:asciiTheme="majorEastAsia" w:hAnsiTheme="majorEastAsia" w:eastAsiaTheme="majorEastAsia"/>
          <w:color w:val="000000" w:themeColor="text1"/>
          <w:sz w:val="20"/>
        </w:rPr>
        <w:br w:type="page"/>
      </w:r>
    </w:p>
    <w:p>
      <w:pPr>
        <w:pStyle w:val="2"/>
        <w:bidi w:val="0"/>
        <w:jc w:val="center"/>
        <w:rPr>
          <w:sz w:val="30"/>
          <w:szCs w:val="30"/>
        </w:rPr>
      </w:pPr>
      <w:bookmarkStart w:id="0" w:name="_Toc16641"/>
      <w:r>
        <w:rPr>
          <w:rFonts w:hint="eastAsia"/>
          <w:sz w:val="30"/>
          <w:szCs w:val="30"/>
        </w:rPr>
        <w:t>第一部分</w:t>
      </w:r>
      <w:r>
        <w:rPr>
          <w:sz w:val="30"/>
          <w:szCs w:val="30"/>
        </w:rPr>
        <w:t xml:space="preserve">  </w:t>
      </w:r>
      <w:r>
        <w:rPr>
          <w:rFonts w:hint="eastAsia"/>
          <w:sz w:val="30"/>
          <w:szCs w:val="30"/>
        </w:rPr>
        <w:t>询价比价邀请函</w:t>
      </w:r>
      <w:bookmarkEnd w:id="0"/>
    </w:p>
    <w:p>
      <w:pPr>
        <w:spacing w:line="460" w:lineRule="exact"/>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各供应商：</w:t>
      </w:r>
    </w:p>
    <w:p>
      <w:pPr>
        <w:spacing w:line="408" w:lineRule="auto"/>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成都光明派特贵金属有限公司决定对生产所需化工产品面向社会，比选合格供应商。公司本着“公开、公平、公正”的原则和“互利共赢、共同发展”的理念，热忱欢迎有意愿与公司合作的潜在供应商，积极参与供货，按照提供样品、试用等流程，待产品评审合格后，进入公司合格供应商体系。</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一、合格供应商资格要求</w:t>
      </w:r>
    </w:p>
    <w:p>
      <w:pPr>
        <w:spacing w:line="460" w:lineRule="exact"/>
        <w:ind w:firstLine="540" w:firstLineChars="200"/>
        <w:rPr>
          <w:rFonts w:asciiTheme="majorEastAsia" w:hAnsiTheme="majorEastAsia" w:eastAsiaTheme="majorEastAsia"/>
          <w:color w:val="000000" w:themeColor="text1"/>
          <w:spacing w:val="15"/>
          <w:sz w:val="24"/>
        </w:rPr>
      </w:pPr>
      <w:r>
        <w:rPr>
          <w:rFonts w:hint="eastAsia" w:asciiTheme="majorEastAsia" w:hAnsiTheme="majorEastAsia" w:eastAsiaTheme="majorEastAsia"/>
          <w:color w:val="000000" w:themeColor="text1"/>
          <w:spacing w:val="15"/>
          <w:sz w:val="24"/>
        </w:rPr>
        <w:t>供应商参加本次采购活动具备下列条件：</w:t>
      </w:r>
    </w:p>
    <w:p>
      <w:pPr>
        <w:pStyle w:val="8"/>
        <w:keepNext w:val="0"/>
        <w:keepLines w:val="0"/>
        <w:pageBreakBefore w:val="0"/>
        <w:widowControl w:val="0"/>
        <w:tabs>
          <w:tab w:val="left" w:pos="2340"/>
        </w:tabs>
        <w:kinsoku/>
        <w:wordWrap/>
        <w:overflowPunct/>
        <w:topLinePunct w:val="0"/>
        <w:bidi w:val="0"/>
        <w:snapToGrid/>
        <w:spacing w:line="460" w:lineRule="exact"/>
        <w:ind w:left="99" w:leftChars="47" w:firstLine="480" w:firstLineChars="200"/>
        <w:jc w:val="left"/>
        <w:textAlignment w:val="auto"/>
        <w:rPr>
          <w:rFonts w:asciiTheme="majorEastAsia" w:hAnsiTheme="majorEastAsia" w:eastAsiaTheme="majorEastAsia"/>
          <w:color w:val="000000" w:themeColor="text1"/>
        </w:rPr>
      </w:pPr>
      <w:r>
        <w:rPr>
          <w:rFonts w:hint="eastAsia" w:asciiTheme="majorEastAsia" w:hAnsiTheme="majorEastAsia" w:eastAsiaTheme="majorEastAsia"/>
          <w:color w:val="000000" w:themeColor="text1"/>
        </w:rPr>
        <w:t>（一）</w:t>
      </w:r>
      <w:r>
        <w:rPr>
          <w:rFonts w:hint="eastAsia" w:asciiTheme="majorEastAsia" w:hAnsiTheme="majorEastAsia" w:eastAsiaTheme="majorEastAsia"/>
          <w:bCs/>
          <w:color w:val="000000" w:themeColor="text1"/>
          <w:spacing w:val="8"/>
        </w:rPr>
        <w:t>供应商</w:t>
      </w:r>
      <w:r>
        <w:rPr>
          <w:rFonts w:hint="eastAsia" w:asciiTheme="majorEastAsia" w:hAnsiTheme="majorEastAsia" w:eastAsiaTheme="majorEastAsia"/>
          <w:color w:val="000000" w:themeColor="text1"/>
        </w:rPr>
        <w:t>须是注册资金不低于500万元人民币，且企业财务资信状况良好，具有独立承担民事责任的法人或其他经济组织；</w:t>
      </w:r>
    </w:p>
    <w:p>
      <w:pPr>
        <w:keepNext w:val="0"/>
        <w:keepLines w:val="0"/>
        <w:pageBreakBefore w:val="0"/>
        <w:widowControl w:val="0"/>
        <w:kinsoku/>
        <w:wordWrap/>
        <w:overflowPunct/>
        <w:topLinePunct w:val="0"/>
        <w:autoSpaceDE w:val="0"/>
        <w:autoSpaceDN w:val="0"/>
        <w:bidi w:val="0"/>
        <w:adjustRightInd w:val="0"/>
        <w:snapToGrid/>
        <w:spacing w:line="460" w:lineRule="exact"/>
        <w:ind w:firstLine="512" w:firstLineChars="200"/>
        <w:textAlignment w:val="auto"/>
        <w:rPr>
          <w:rFonts w:hint="eastAsia" w:asciiTheme="majorEastAsia" w:hAnsiTheme="majorEastAsia" w:eastAsiaTheme="majorEastAsia"/>
          <w:color w:val="auto"/>
          <w:sz w:val="24"/>
          <w:lang w:eastAsia="zh-CN"/>
        </w:rPr>
      </w:pPr>
      <w:r>
        <w:rPr>
          <w:rFonts w:hint="eastAsia" w:asciiTheme="majorEastAsia" w:hAnsiTheme="majorEastAsia" w:eastAsiaTheme="majorEastAsia"/>
          <w:bCs/>
          <w:color w:val="auto"/>
          <w:spacing w:val="8"/>
          <w:sz w:val="24"/>
        </w:rPr>
        <w:t>（二）A类产品（见附件二）的</w:t>
      </w:r>
      <w:r>
        <w:rPr>
          <w:rFonts w:hint="eastAsia" w:asciiTheme="majorEastAsia" w:hAnsiTheme="majorEastAsia" w:eastAsiaTheme="majorEastAsia"/>
          <w:color w:val="auto"/>
          <w:spacing w:val="15"/>
          <w:sz w:val="24"/>
        </w:rPr>
        <w:t>供应商</w:t>
      </w:r>
      <w:r>
        <w:rPr>
          <w:rFonts w:hint="eastAsia" w:asciiTheme="majorEastAsia" w:hAnsiTheme="majorEastAsia" w:eastAsiaTheme="majorEastAsia"/>
          <w:color w:val="auto"/>
          <w:sz w:val="24"/>
        </w:rPr>
        <w:t>必须是生产厂家，</w:t>
      </w:r>
      <w:r>
        <w:rPr>
          <w:rFonts w:hint="eastAsia" w:asciiTheme="majorEastAsia" w:hAnsiTheme="majorEastAsia" w:eastAsiaTheme="majorEastAsia"/>
          <w:color w:val="auto"/>
          <w:sz w:val="24"/>
          <w:lang w:val="en-US" w:eastAsia="zh-CN"/>
        </w:rPr>
        <w:t>需</w:t>
      </w:r>
      <w:r>
        <w:rPr>
          <w:rFonts w:hint="eastAsia" w:asciiTheme="majorEastAsia" w:hAnsiTheme="majorEastAsia" w:eastAsiaTheme="majorEastAsia"/>
          <w:color w:val="auto"/>
          <w:sz w:val="24"/>
        </w:rPr>
        <w:t>提供相关资质证明</w:t>
      </w:r>
      <w:r>
        <w:rPr>
          <w:rFonts w:hint="eastAsia" w:asciiTheme="majorEastAsia" w:hAnsiTheme="majorEastAsia" w:eastAsiaTheme="major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460" w:lineRule="exact"/>
        <w:ind w:firstLine="482" w:firstLineChars="200"/>
        <w:textAlignment w:val="auto"/>
        <w:rPr>
          <w:rFonts w:hint="eastAsia" w:asciiTheme="majorEastAsia" w:hAnsiTheme="majorEastAsia" w:eastAsiaTheme="majorEastAsia"/>
          <w:b/>
          <w:color w:val="000000" w:themeColor="text1"/>
          <w:sz w:val="24"/>
        </w:rPr>
      </w:pPr>
      <w:r>
        <w:rPr>
          <w:rFonts w:hint="eastAsia" w:asciiTheme="majorEastAsia" w:hAnsiTheme="majorEastAsia" w:eastAsiaTheme="majorEastAsia"/>
          <w:b/>
          <w:color w:val="000000" w:themeColor="text1"/>
          <w:sz w:val="24"/>
        </w:rPr>
        <w:t>二、询价采购公告</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公告时间：2023 年5月</w:t>
      </w:r>
      <w:r>
        <w:rPr>
          <w:rFonts w:hint="eastAsia" w:asciiTheme="majorEastAsia" w:hAnsiTheme="majorEastAsia" w:eastAsiaTheme="majorEastAsia"/>
          <w:color w:val="000000" w:themeColor="text1"/>
          <w:sz w:val="24"/>
          <w:lang w:val="en-US" w:eastAsia="zh-CN"/>
        </w:rPr>
        <w:t>6</w:t>
      </w:r>
      <w:r>
        <w:rPr>
          <w:rFonts w:hint="eastAsia" w:asciiTheme="majorEastAsia" w:hAnsiTheme="majorEastAsia" w:eastAsiaTheme="majorEastAsia"/>
          <w:color w:val="000000" w:themeColor="text1"/>
          <w:sz w:val="24"/>
        </w:rPr>
        <w:t>日— 2023年5月1</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日</w:t>
      </w: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482" w:firstLineChars="200"/>
        <w:textAlignment w:val="auto"/>
        <w:rPr>
          <w:rFonts w:hint="eastAsia" w:asciiTheme="majorEastAsia" w:hAnsiTheme="majorEastAsia" w:eastAsiaTheme="majorEastAsia"/>
          <w:color w:val="000000" w:themeColor="text1"/>
          <w:sz w:val="24"/>
        </w:rPr>
      </w:pPr>
      <w:r>
        <w:rPr>
          <w:rFonts w:hint="eastAsia" w:asciiTheme="majorEastAsia" w:hAnsiTheme="majorEastAsia" w:eastAsiaTheme="majorEastAsia"/>
          <w:b/>
          <w:color w:val="000000" w:themeColor="text1"/>
          <w:sz w:val="24"/>
        </w:rPr>
        <w:t>报价文件接收信息</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Theme="majorEastAsia" w:hAnsiTheme="majorEastAsia" w:eastAsiaTheme="majorEastAsia"/>
          <w:color w:val="000000" w:themeColor="text1"/>
          <w:sz w:val="24"/>
        </w:rPr>
      </w:pPr>
      <w:r>
        <w:rPr>
          <w:rFonts w:hint="eastAsia" w:cs="Times New Roman" w:asciiTheme="majorEastAsia" w:hAnsiTheme="majorEastAsia" w:eastAsiaTheme="majorEastAsia"/>
          <w:color w:val="000000" w:themeColor="text1"/>
          <w:kern w:val="0"/>
          <w:sz w:val="24"/>
          <w:szCs w:val="24"/>
          <w:lang w:val="en-US" w:eastAsia="zh-CN" w:bidi="ar-SA"/>
        </w:rPr>
        <w:t>（一）</w:t>
      </w:r>
      <w:r>
        <w:rPr>
          <w:rFonts w:hint="eastAsia" w:asciiTheme="majorEastAsia" w:hAnsiTheme="majorEastAsia" w:eastAsiaTheme="majorEastAsia"/>
          <w:color w:val="000000" w:themeColor="text1"/>
          <w:sz w:val="24"/>
        </w:rPr>
        <w:t>报价文件接收截止时间： 2023年5月1</w:t>
      </w: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日17:00。</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480" w:firstLineChars="200"/>
        <w:textAlignment w:val="auto"/>
        <w:rPr>
          <w:rFonts w:hint="eastAsia" w:asciiTheme="majorEastAsia" w:hAnsiTheme="majorEastAsia" w:eastAsiaTheme="majorEastAsia"/>
          <w:bCs/>
          <w:iCs/>
          <w:color w:val="000000" w:themeColor="text1"/>
          <w:sz w:val="24"/>
        </w:rPr>
      </w:pPr>
      <w:r>
        <w:rPr>
          <w:rFonts w:hint="eastAsia" w:asciiTheme="majorEastAsia" w:hAnsiTheme="majorEastAsia" w:eastAsiaTheme="majorEastAsia"/>
          <w:color w:val="000000" w:themeColor="text1"/>
          <w:sz w:val="24"/>
        </w:rPr>
        <w:t>（二）报价文件接收地点：</w:t>
      </w:r>
      <w:r>
        <w:rPr>
          <w:rFonts w:hint="eastAsia" w:cs="宋体" w:asciiTheme="majorEastAsia" w:hAnsiTheme="majorEastAsia" w:eastAsiaTheme="majorEastAsia"/>
          <w:color w:val="000000" w:themeColor="text1"/>
          <w:kern w:val="0"/>
          <w:sz w:val="24"/>
        </w:rPr>
        <w:t>成都市龙泉驿区北京路636号</w:t>
      </w:r>
      <w:r>
        <w:rPr>
          <w:rFonts w:hint="eastAsia" w:cs="宋体" w:asciiTheme="majorEastAsia" w:hAnsiTheme="majorEastAsia" w:eastAsiaTheme="majorEastAsia"/>
          <w:color w:val="000000" w:themeColor="text1"/>
          <w:kern w:val="0"/>
          <w:sz w:val="24"/>
          <w:lang w:val="en-US" w:eastAsia="zh-CN"/>
        </w:rPr>
        <w:t xml:space="preserve"> </w:t>
      </w:r>
      <w:r>
        <w:rPr>
          <w:rFonts w:hint="eastAsia" w:cs="宋体" w:asciiTheme="majorEastAsia" w:hAnsiTheme="majorEastAsia" w:eastAsiaTheme="majorEastAsia"/>
          <w:color w:val="000000" w:themeColor="text1"/>
          <w:kern w:val="0"/>
          <w:sz w:val="24"/>
        </w:rPr>
        <w:t>成都光明派特贵金属有限公司</w:t>
      </w:r>
      <w:r>
        <w:rPr>
          <w:rFonts w:hint="eastAsia" w:cs="宋体" w:asciiTheme="majorEastAsia" w:hAnsiTheme="majorEastAsia" w:eastAsiaTheme="majorEastAsia"/>
          <w:color w:val="000000" w:themeColor="text1"/>
          <w:kern w:val="0"/>
          <w:sz w:val="24"/>
          <w:lang w:eastAsia="zh-CN"/>
        </w:rPr>
        <w:t>综合管理部</w:t>
      </w:r>
      <w:r>
        <w:rPr>
          <w:rFonts w:hint="eastAsia" w:cs="宋体" w:asciiTheme="majorEastAsia" w:hAnsiTheme="majorEastAsia" w:eastAsiaTheme="majorEastAsia"/>
          <w:color w:val="000000" w:themeColor="text1"/>
          <w:kern w:val="0"/>
          <w:sz w:val="24"/>
          <w:lang w:val="en-US" w:eastAsia="zh-CN"/>
        </w:rPr>
        <w:t xml:space="preserve"> </w:t>
      </w:r>
      <w:r>
        <w:rPr>
          <w:rFonts w:hint="eastAsia" w:asciiTheme="majorEastAsia" w:hAnsiTheme="majorEastAsia" w:eastAsiaTheme="majorEastAsia"/>
          <w:bCs/>
          <w:iCs/>
          <w:color w:val="000000" w:themeColor="text1"/>
          <w:sz w:val="24"/>
        </w:rPr>
        <w:t>邮政编码：610100</w:t>
      </w:r>
    </w:p>
    <w:p>
      <w:pPr>
        <w:pStyle w:val="35"/>
        <w:keepNext w:val="0"/>
        <w:keepLines w:val="0"/>
        <w:pageBreakBefore w:val="0"/>
        <w:widowControl w:val="0"/>
        <w:numPr>
          <w:ilvl w:val="0"/>
          <w:numId w:val="0"/>
        </w:numPr>
        <w:kinsoku/>
        <w:wordWrap/>
        <w:overflowPunct/>
        <w:topLinePunct w:val="0"/>
        <w:autoSpaceDE/>
        <w:autoSpaceDN/>
        <w:bidi w:val="0"/>
        <w:adjustRightInd/>
        <w:snapToGrid/>
        <w:spacing w:line="460" w:lineRule="exact"/>
        <w:ind w:leftChars="0" w:firstLine="480" w:firstLineChars="200"/>
        <w:textAlignment w:val="auto"/>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eastAsia="zh-CN"/>
        </w:rPr>
        <w:t>（</w:t>
      </w:r>
      <w:r>
        <w:rPr>
          <w:rFonts w:hint="eastAsia" w:asciiTheme="majorEastAsia" w:hAnsiTheme="majorEastAsia" w:eastAsiaTheme="majorEastAsia"/>
          <w:color w:val="000000" w:themeColor="text1"/>
          <w:sz w:val="24"/>
          <w:lang w:val="en-US" w:eastAsia="zh-CN"/>
        </w:rPr>
        <w:t>三</w:t>
      </w:r>
      <w:r>
        <w:rPr>
          <w:rFonts w:hint="eastAsia" w:asciiTheme="majorEastAsia" w:hAnsiTheme="majorEastAsia" w:eastAsiaTheme="majorEastAsia"/>
          <w:color w:val="000000" w:themeColor="text1"/>
          <w:sz w:val="24"/>
          <w:lang w:eastAsia="zh-CN"/>
        </w:rPr>
        <w:t>）</w:t>
      </w:r>
      <w:r>
        <w:rPr>
          <w:rFonts w:hint="eastAsia" w:asciiTheme="majorEastAsia" w:hAnsiTheme="majorEastAsia" w:eastAsiaTheme="majorEastAsia"/>
          <w:color w:val="000000" w:themeColor="text1"/>
          <w:sz w:val="24"/>
        </w:rPr>
        <w:t>报价文件接收人：</w:t>
      </w:r>
      <w:r>
        <w:rPr>
          <w:rFonts w:hint="eastAsia" w:cs="宋体" w:asciiTheme="majorEastAsia" w:hAnsiTheme="majorEastAsia" w:eastAsiaTheme="majorEastAsia"/>
          <w:color w:val="000000" w:themeColor="text1"/>
          <w:kern w:val="0"/>
          <w:sz w:val="24"/>
        </w:rPr>
        <w:t>周芳           联系电话：028-88400151    15882165234</w:t>
      </w:r>
    </w:p>
    <w:p>
      <w:pPr>
        <w:pStyle w:val="35"/>
        <w:keepNext w:val="0"/>
        <w:keepLines w:val="0"/>
        <w:pageBreakBefore w:val="0"/>
        <w:widowControl w:val="0"/>
        <w:kinsoku/>
        <w:wordWrap/>
        <w:overflowPunct/>
        <w:topLinePunct w:val="0"/>
        <w:autoSpaceDE/>
        <w:autoSpaceDN/>
        <w:bidi w:val="0"/>
        <w:adjustRightInd/>
        <w:snapToGrid/>
        <w:spacing w:line="460" w:lineRule="exact"/>
        <w:ind w:left="720" w:firstLine="480" w:firstLineChars="200"/>
        <w:textAlignment w:val="auto"/>
        <w:rPr>
          <w:rFonts w:hint="default" w:asciiTheme="majorEastAsia" w:hAnsiTheme="majorEastAsia" w:eastAsiaTheme="majorEastAsia"/>
          <w:color w:val="000000" w:themeColor="text1"/>
          <w:sz w:val="24"/>
          <w:lang w:val="en-US" w:eastAsia="zh-CN"/>
        </w:rPr>
      </w:pPr>
      <w:r>
        <w:rPr>
          <w:rFonts w:hint="eastAsia" w:cs="宋体" w:asciiTheme="majorEastAsia" w:hAnsiTheme="majorEastAsia" w:eastAsiaTheme="majorEastAsia"/>
          <w:color w:val="000000" w:themeColor="text1"/>
          <w:kern w:val="0"/>
          <w:sz w:val="24"/>
        </w:rPr>
        <w:t xml:space="preserve">技术咨询电话：柏朝朋           </w:t>
      </w:r>
      <w:r>
        <w:rPr>
          <w:rFonts w:hint="eastAsia" w:cs="宋体" w:asciiTheme="majorEastAsia" w:hAnsiTheme="majorEastAsia" w:eastAsiaTheme="majorEastAsia"/>
          <w:iCs/>
          <w:color w:val="000000" w:themeColor="text1"/>
          <w:kern w:val="0"/>
          <w:sz w:val="24"/>
        </w:rPr>
        <w:t>联系电话：</w:t>
      </w:r>
      <w:r>
        <w:rPr>
          <w:rFonts w:hint="eastAsia" w:cs="宋体" w:asciiTheme="majorEastAsia" w:hAnsiTheme="majorEastAsia" w:eastAsiaTheme="majorEastAsia"/>
          <w:iCs/>
          <w:color w:val="000000" w:themeColor="text1"/>
          <w:kern w:val="0"/>
          <w:sz w:val="24"/>
          <w:lang w:val="en-US" w:eastAsia="zh-CN"/>
        </w:rPr>
        <w:t>15181296062</w:t>
      </w:r>
    </w:p>
    <w:p>
      <w:pPr>
        <w:keepNext w:val="0"/>
        <w:keepLines w:val="0"/>
        <w:pageBreakBefore w:val="0"/>
        <w:widowControl w:val="0"/>
        <w:kinsoku/>
        <w:wordWrap/>
        <w:overflowPunct/>
        <w:topLinePunct w:val="0"/>
        <w:autoSpaceDE/>
        <w:autoSpaceDN/>
        <w:bidi w:val="0"/>
        <w:adjustRightInd/>
        <w:snapToGrid/>
        <w:spacing w:line="460" w:lineRule="exact"/>
        <w:ind w:firstLine="1200" w:firstLineChars="500"/>
        <w:textAlignment w:val="auto"/>
        <w:rPr>
          <w:rFonts w:asciiTheme="majorEastAsia" w:hAnsiTheme="majorEastAsia" w:eastAsiaTheme="majorEastAsia"/>
          <w:bCs/>
          <w:iCs/>
          <w:color w:val="000000" w:themeColor="text1"/>
          <w:sz w:val="24"/>
        </w:rPr>
      </w:pPr>
      <w:r>
        <w:rPr>
          <w:rFonts w:hint="eastAsia" w:asciiTheme="majorEastAsia" w:hAnsiTheme="majorEastAsia" w:eastAsiaTheme="majorEastAsia"/>
          <w:color w:val="000000" w:themeColor="text1"/>
          <w:sz w:val="24"/>
        </w:rPr>
        <w:t>采购监督</w:t>
      </w:r>
      <w:r>
        <w:rPr>
          <w:rFonts w:hint="eastAsia" w:asciiTheme="majorEastAsia" w:hAnsiTheme="majorEastAsia" w:eastAsiaTheme="majorEastAsia"/>
          <w:iCs/>
          <w:color w:val="000000" w:themeColor="text1"/>
          <w:sz w:val="24"/>
        </w:rPr>
        <w:t>人：</w:t>
      </w:r>
      <w:r>
        <w:rPr>
          <w:rFonts w:hint="eastAsia" w:cs="宋体" w:asciiTheme="majorEastAsia" w:hAnsiTheme="majorEastAsia" w:eastAsiaTheme="majorEastAsia"/>
          <w:iCs/>
          <w:color w:val="000000" w:themeColor="text1"/>
          <w:kern w:val="0"/>
          <w:sz w:val="24"/>
        </w:rPr>
        <w:t xml:space="preserve">郭小乐      </w:t>
      </w:r>
      <w:r>
        <w:rPr>
          <w:rFonts w:hint="eastAsia" w:cs="宋体" w:asciiTheme="majorEastAsia" w:hAnsiTheme="majorEastAsia" w:eastAsiaTheme="majorEastAsia"/>
          <w:iCs/>
          <w:color w:val="000000" w:themeColor="text1"/>
          <w:kern w:val="0"/>
          <w:sz w:val="24"/>
          <w:lang w:val="en-US" w:eastAsia="zh-CN"/>
        </w:rPr>
        <w:t xml:space="preserve">    </w:t>
      </w:r>
      <w:r>
        <w:rPr>
          <w:rFonts w:hint="eastAsia" w:cs="宋体" w:asciiTheme="majorEastAsia" w:hAnsiTheme="majorEastAsia" w:eastAsiaTheme="majorEastAsia"/>
          <w:iCs/>
          <w:color w:val="000000" w:themeColor="text1"/>
          <w:kern w:val="0"/>
          <w:sz w:val="24"/>
        </w:rPr>
        <w:t xml:space="preserve">   联系电话：</w:t>
      </w:r>
      <w:r>
        <w:rPr>
          <w:rFonts w:cs="宋体" w:asciiTheme="majorEastAsia" w:hAnsiTheme="majorEastAsia" w:eastAsiaTheme="majorEastAsia"/>
          <w:iCs/>
          <w:color w:val="000000" w:themeColor="text1"/>
          <w:kern w:val="0"/>
          <w:sz w:val="24"/>
        </w:rPr>
        <w:t>15982367206</w:t>
      </w:r>
    </w:p>
    <w:p>
      <w:pPr>
        <w:spacing w:line="500" w:lineRule="exact"/>
        <w:ind w:firstLine="3040" w:firstLineChars="950"/>
        <w:jc w:val="left"/>
        <w:rPr>
          <w:rFonts w:asciiTheme="majorEastAsia" w:hAnsiTheme="majorEastAsia" w:eastAsiaTheme="majorEastAsia"/>
          <w:color w:val="000000" w:themeColor="text1"/>
          <w:sz w:val="32"/>
          <w:szCs w:val="32"/>
        </w:rPr>
      </w:pPr>
    </w:p>
    <w:p>
      <w:pPr>
        <w:spacing w:line="500" w:lineRule="exact"/>
        <w:ind w:firstLine="3040" w:firstLineChars="950"/>
        <w:jc w:val="left"/>
        <w:rPr>
          <w:rFonts w:asciiTheme="majorEastAsia" w:hAnsiTheme="majorEastAsia" w:eastAsiaTheme="majorEastAsia"/>
          <w:color w:val="000000" w:themeColor="text1"/>
          <w:sz w:val="32"/>
          <w:szCs w:val="32"/>
        </w:rPr>
      </w:pPr>
    </w:p>
    <w:p>
      <w:pPr>
        <w:spacing w:line="500" w:lineRule="exact"/>
        <w:ind w:firstLine="3040" w:firstLineChars="950"/>
        <w:jc w:val="left"/>
        <w:rPr>
          <w:rFonts w:asciiTheme="majorEastAsia" w:hAnsiTheme="majorEastAsia" w:eastAsiaTheme="majorEastAsia"/>
          <w:color w:val="000000" w:themeColor="text1"/>
          <w:sz w:val="32"/>
          <w:szCs w:val="32"/>
        </w:rPr>
      </w:pPr>
    </w:p>
    <w:p>
      <w:pPr>
        <w:rPr>
          <w:rFonts w:asciiTheme="majorEastAsia" w:hAnsiTheme="majorEastAsia" w:eastAsiaTheme="majorEastAsia"/>
          <w:color w:val="000000" w:themeColor="text1"/>
          <w:sz w:val="32"/>
          <w:szCs w:val="32"/>
        </w:rPr>
      </w:pPr>
    </w:p>
    <w:p>
      <w:pPr>
        <w:rPr>
          <w:rFonts w:asciiTheme="majorEastAsia" w:hAnsiTheme="majorEastAsia" w:eastAsiaTheme="majorEastAsia"/>
          <w:color w:val="000000" w:themeColor="text1"/>
          <w:sz w:val="32"/>
          <w:szCs w:val="32"/>
        </w:rPr>
      </w:pPr>
      <w:r>
        <w:rPr>
          <w:rFonts w:asciiTheme="majorEastAsia" w:hAnsiTheme="majorEastAsia" w:eastAsiaTheme="majorEastAsia"/>
          <w:color w:val="000000" w:themeColor="text1"/>
          <w:sz w:val="32"/>
          <w:szCs w:val="32"/>
        </w:rPr>
        <w:br w:type="page"/>
      </w:r>
    </w:p>
    <w:p>
      <w:pPr>
        <w:pStyle w:val="2"/>
        <w:bidi w:val="0"/>
        <w:jc w:val="center"/>
        <w:rPr>
          <w:rFonts w:hint="eastAsia"/>
          <w:sz w:val="30"/>
          <w:szCs w:val="30"/>
        </w:rPr>
      </w:pPr>
      <w:bookmarkStart w:id="1" w:name="_Toc15283"/>
      <w:r>
        <w:rPr>
          <w:rFonts w:hint="eastAsia"/>
          <w:sz w:val="30"/>
          <w:szCs w:val="30"/>
        </w:rPr>
        <w:t>第二部分  供应商须知</w:t>
      </w:r>
      <w:bookmarkEnd w:id="1"/>
    </w:p>
    <w:p>
      <w:pPr>
        <w:spacing w:line="500" w:lineRule="exact"/>
        <w:ind w:firstLine="590" w:firstLineChars="245"/>
        <w:rPr>
          <w:rFonts w:asciiTheme="majorEastAsia" w:hAnsiTheme="majorEastAsia" w:eastAsiaTheme="majorEastAsia"/>
          <w:b/>
          <w:bCs/>
          <w:color w:val="000000" w:themeColor="text1"/>
          <w:sz w:val="24"/>
        </w:rPr>
      </w:pPr>
      <w:r>
        <w:rPr>
          <w:rFonts w:hint="eastAsia" w:asciiTheme="majorEastAsia" w:hAnsiTheme="majorEastAsia" w:eastAsiaTheme="majorEastAsia"/>
          <w:b/>
          <w:bCs/>
          <w:color w:val="000000" w:themeColor="text1"/>
          <w:sz w:val="24"/>
        </w:rPr>
        <w:t>前附表：</w:t>
      </w:r>
    </w:p>
    <w:tbl>
      <w:tblPr>
        <w:tblStyle w:val="16"/>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4"/>
        <w:gridCol w:w="185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序号</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b/>
                <w:bCs/>
                <w:color w:val="000000" w:themeColor="text1"/>
                <w:sz w:val="24"/>
                <w:szCs w:val="24"/>
                <w:lang w:val="en-US" w:eastAsia="zh-CN"/>
              </w:rPr>
            </w:pPr>
            <w:r>
              <w:rPr>
                <w:rFonts w:hint="eastAsia" w:ascii="宋体" w:hAnsi="宋体" w:eastAsia="宋体" w:cs="宋体"/>
                <w:b/>
                <w:bCs/>
                <w:color w:val="000000" w:themeColor="text1"/>
                <w:sz w:val="24"/>
                <w:szCs w:val="24"/>
                <w:lang w:val="en-US" w:eastAsia="zh-CN"/>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hint="eastAsia" w:ascii="宋体" w:hAnsi="宋体" w:eastAsia="宋体" w:cs="宋体"/>
                <w:b/>
                <w:bCs/>
                <w:color w:val="000000" w:themeColor="text1"/>
                <w:sz w:val="24"/>
                <w:szCs w:val="24"/>
              </w:rPr>
            </w:pPr>
            <w:r>
              <w:rPr>
                <w:rFonts w:hint="eastAsia" w:ascii="宋体" w:hAnsi="宋体" w:eastAsia="宋体" w:cs="宋体"/>
                <w:b/>
                <w:bCs/>
                <w:color w:val="000000" w:themeColor="text1"/>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采购人</w:t>
            </w:r>
          </w:p>
        </w:tc>
        <w:tc>
          <w:tcPr>
            <w:tcW w:w="6255" w:type="dxa"/>
            <w:tcBorders>
              <w:top w:val="single" w:color="auto" w:sz="4" w:space="0"/>
              <w:left w:val="single" w:color="auto" w:sz="4" w:space="0"/>
              <w:bottom w:val="single" w:color="auto" w:sz="4" w:space="0"/>
            </w:tcBorders>
            <w:vAlign w:val="center"/>
          </w:tcPr>
          <w:p>
            <w:pPr>
              <w:pStyle w:val="25"/>
              <w:ind w:left="2304" w:hanging="2304" w:hangingChars="96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名称：成都光明派特贵金属有限公司</w:t>
            </w:r>
          </w:p>
          <w:p>
            <w:pPr>
              <w:pStyle w:val="25"/>
              <w:tabs>
                <w:tab w:val="left" w:pos="7356"/>
              </w:tabs>
              <w:ind w:left="720" w:hanging="720" w:hangingChars="3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地址：成都市龙泉驿区北京路636号</w:t>
            </w:r>
          </w:p>
          <w:p>
            <w:pPr>
              <w:pStyle w:val="25"/>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联系人：</w:t>
            </w:r>
            <w:r>
              <w:rPr>
                <w:rFonts w:hint="eastAsia" w:ascii="宋体" w:hAnsi="宋体" w:eastAsia="宋体" w:cs="宋体"/>
                <w:iCs/>
                <w:color w:val="000000" w:themeColor="text1"/>
                <w:sz w:val="24"/>
                <w:szCs w:val="24"/>
                <w:u w:val="single"/>
              </w:rPr>
              <w:t>汤先生</w:t>
            </w:r>
          </w:p>
          <w:p>
            <w:pPr>
              <w:snapToGrid w:val="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电 话：</w:t>
            </w:r>
            <w:r>
              <w:rPr>
                <w:rFonts w:hint="eastAsia" w:ascii="宋体" w:hAnsi="宋体" w:eastAsia="宋体" w:cs="宋体"/>
                <w:color w:val="000000" w:themeColor="text1"/>
                <w:sz w:val="24"/>
                <w:szCs w:val="24"/>
                <w:u w:val="single"/>
              </w:rPr>
              <w:t xml:space="preserve">88400151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2</w:t>
            </w:r>
          </w:p>
        </w:tc>
        <w:tc>
          <w:tcPr>
            <w:tcW w:w="185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项目名称</w:t>
            </w:r>
          </w:p>
        </w:tc>
        <w:tc>
          <w:tcPr>
            <w:tcW w:w="6255" w:type="dxa"/>
            <w:tcBorders>
              <w:top w:val="single" w:color="auto" w:sz="4" w:space="0"/>
              <w:left w:val="single" w:color="auto" w:sz="4" w:space="0"/>
              <w:bottom w:val="single" w:color="auto" w:sz="4" w:space="0"/>
            </w:tcBorders>
            <w:vAlign w:val="center"/>
          </w:tcPr>
          <w:p>
            <w:pPr>
              <w:rPr>
                <w:rFonts w:hint="default" w:ascii="宋体" w:hAnsi="宋体" w:eastAsia="宋体" w:cs="宋体"/>
                <w:color w:val="000000" w:themeColor="text1"/>
                <w:sz w:val="24"/>
                <w:szCs w:val="24"/>
                <w:lang w:val="en-US" w:eastAsia="zh-CN"/>
              </w:rPr>
            </w:pPr>
            <w:r>
              <w:rPr>
                <w:rFonts w:hint="eastAsia" w:ascii="宋体" w:hAnsi="宋体" w:cs="宋体"/>
                <w:color w:val="000000" w:themeColor="text1"/>
                <w:sz w:val="24"/>
                <w:szCs w:val="24"/>
                <w:lang w:val="en-US" w:eastAsia="zh-CN"/>
              </w:rPr>
              <w:t>化工产品询价比价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72"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3</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公司地点</w:t>
            </w:r>
          </w:p>
        </w:tc>
        <w:tc>
          <w:tcPr>
            <w:tcW w:w="6255" w:type="dxa"/>
            <w:tcBorders>
              <w:top w:val="single" w:color="auto" w:sz="4" w:space="0"/>
              <w:left w:val="single" w:color="auto" w:sz="4" w:space="0"/>
              <w:bottom w:val="single" w:color="auto" w:sz="4" w:space="0"/>
            </w:tcBorders>
            <w:vAlign w:val="center"/>
          </w:tcPr>
          <w:p>
            <w:pPr>
              <w:pStyle w:val="25"/>
              <w:ind w:left="720" w:hanging="720" w:hangingChars="30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4</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sz w:val="24"/>
                <w:szCs w:val="24"/>
                <w:u w:val="single"/>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5</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答疑与澄清：如对询价比价文件有误或有不合理要求的，距采购截止日前三天，以书面形式向采购单位提出。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6</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7</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8</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响应文件由正本 2 份；副本2份组成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9</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宋体" w:hAnsi="宋体" w:eastAsia="宋体" w:cs="宋体"/>
                <w:color w:val="000000" w:themeColor="text1"/>
                <w:sz w:val="24"/>
                <w:szCs w:val="24"/>
              </w:rPr>
            </w:pPr>
            <w:r>
              <w:rPr>
                <w:rFonts w:hint="eastAsia" w:ascii="宋体" w:hAnsi="宋体" w:eastAsia="宋体" w:cs="宋体"/>
                <w:color w:val="000000" w:themeColor="text1"/>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25"/>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1.装订牢固，并应编制目录和连续页码（封面和扉页除外）；</w:t>
            </w:r>
          </w:p>
          <w:p>
            <w:pPr>
              <w:autoSpaceDE w:val="0"/>
              <w:autoSpaceDN w:val="0"/>
              <w:adjustRightInd w:val="0"/>
              <w:rPr>
                <w:rFonts w:hint="eastAsia" w:ascii="宋体" w:hAnsi="宋体" w:eastAsia="宋体" w:cs="宋体"/>
                <w:color w:val="000000" w:themeColor="text1"/>
                <w:kern w:val="0"/>
                <w:sz w:val="24"/>
                <w:szCs w:val="24"/>
              </w:rPr>
            </w:pPr>
            <w:r>
              <w:rPr>
                <w:rFonts w:hint="eastAsia" w:ascii="宋体" w:hAnsi="宋体" w:eastAsia="宋体" w:cs="宋体"/>
                <w:color w:val="000000" w:themeColor="text1"/>
                <w:sz w:val="24"/>
                <w:szCs w:val="24"/>
              </w:rPr>
              <w:t>2.报价函、商务部分和技术部分集中装订成1册并编制目录。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10</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封套上写明</w:t>
            </w:r>
          </w:p>
        </w:tc>
        <w:tc>
          <w:tcPr>
            <w:tcW w:w="6255" w:type="dxa"/>
            <w:tcBorders>
              <w:top w:val="single" w:color="auto" w:sz="4" w:space="0"/>
              <w:left w:val="single" w:color="auto" w:sz="4" w:space="0"/>
              <w:bottom w:val="single" w:color="auto" w:sz="4" w:space="0"/>
            </w:tcBorders>
            <w:vAlign w:val="center"/>
          </w:tcPr>
          <w:p>
            <w:pPr>
              <w:pStyle w:val="25"/>
              <w:ind w:left="720" w:hanging="720" w:hangingChars="30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采购人的地址：成都市龙泉驿区北京路636号</w:t>
            </w:r>
          </w:p>
          <w:p>
            <w:pPr>
              <w:pStyle w:val="25"/>
              <w:ind w:left="720" w:hanging="720" w:hangingChars="300"/>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采购人名称：成都光明派特贵金属有限公司</w:t>
            </w:r>
          </w:p>
          <w:p>
            <w:pP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成都光明派特贵金属有限公司</w:t>
            </w:r>
            <w:r>
              <w:rPr>
                <w:rFonts w:hint="eastAsia" w:ascii="宋体" w:hAnsi="宋体" w:eastAsia="宋体" w:cs="宋体"/>
                <w:color w:val="000000" w:themeColor="text1"/>
                <w:sz w:val="24"/>
                <w:szCs w:val="24"/>
              </w:rPr>
              <w:t>合格供应商比选</w:t>
            </w:r>
            <w:r>
              <w:rPr>
                <w:rFonts w:hint="eastAsia" w:ascii="宋体" w:hAnsi="宋体" w:eastAsia="宋体" w:cs="宋体"/>
                <w:color w:val="000000" w:themeColor="text1"/>
                <w:kern w:val="0"/>
                <w:sz w:val="24"/>
                <w:szCs w:val="24"/>
              </w:rPr>
              <w:t>，在 20</w:t>
            </w:r>
            <w:r>
              <w:rPr>
                <w:rFonts w:hint="eastAsia" w:ascii="宋体" w:hAnsi="宋体" w:eastAsia="宋体" w:cs="宋体"/>
                <w:color w:val="000000" w:themeColor="text1"/>
                <w:kern w:val="0"/>
                <w:sz w:val="24"/>
                <w:szCs w:val="24"/>
                <w:u w:val="single"/>
              </w:rPr>
              <w:t>23</w:t>
            </w:r>
            <w:r>
              <w:rPr>
                <w:rFonts w:hint="eastAsia" w:ascii="宋体" w:hAnsi="宋体" w:eastAsia="宋体" w:cs="宋体"/>
                <w:color w:val="000000" w:themeColor="text1"/>
                <w:kern w:val="0"/>
                <w:sz w:val="24"/>
                <w:szCs w:val="24"/>
              </w:rPr>
              <w:t>年</w:t>
            </w:r>
            <w:r>
              <w:rPr>
                <w:rFonts w:hint="eastAsia" w:ascii="宋体" w:hAnsi="宋体" w:eastAsia="宋体" w:cs="宋体"/>
                <w:color w:val="000000" w:themeColor="text1"/>
                <w:kern w:val="0"/>
                <w:sz w:val="24"/>
                <w:szCs w:val="24"/>
                <w:u w:val="single"/>
              </w:rPr>
              <w:t xml:space="preserve"> 5 </w:t>
            </w:r>
            <w:r>
              <w:rPr>
                <w:rFonts w:hint="eastAsia" w:ascii="宋体" w:hAnsi="宋体" w:eastAsia="宋体" w:cs="宋体"/>
                <w:color w:val="000000" w:themeColor="text1"/>
                <w:kern w:val="0"/>
                <w:sz w:val="24"/>
                <w:szCs w:val="24"/>
              </w:rPr>
              <w:t>月</w:t>
            </w:r>
            <w:r>
              <w:rPr>
                <w:rFonts w:hint="eastAsia" w:ascii="宋体" w:hAnsi="宋体" w:eastAsia="宋体" w:cs="宋体"/>
                <w:color w:val="000000" w:themeColor="text1"/>
                <w:kern w:val="0"/>
                <w:sz w:val="24"/>
                <w:szCs w:val="24"/>
                <w:u w:val="single"/>
              </w:rPr>
              <w:t xml:space="preserve"> 1</w:t>
            </w:r>
            <w:r>
              <w:rPr>
                <w:rFonts w:hint="eastAsia" w:ascii="宋体" w:hAnsi="宋体" w:cs="宋体"/>
                <w:color w:val="000000" w:themeColor="text1"/>
                <w:kern w:val="0"/>
                <w:sz w:val="24"/>
                <w:szCs w:val="24"/>
                <w:u w:val="single"/>
                <w:lang w:val="en-US" w:eastAsia="zh-CN"/>
              </w:rPr>
              <w:t>5</w:t>
            </w:r>
            <w:r>
              <w:rPr>
                <w:rFonts w:hint="eastAsia" w:ascii="宋体" w:hAnsi="宋体" w:eastAsia="宋体" w:cs="宋体"/>
                <w:color w:val="000000" w:themeColor="text1"/>
                <w:kern w:val="0"/>
                <w:sz w:val="24"/>
                <w:szCs w:val="24"/>
                <w:u w:val="single"/>
              </w:rPr>
              <w:t xml:space="preserve"> </w:t>
            </w:r>
            <w:r>
              <w:rPr>
                <w:rFonts w:hint="eastAsia" w:ascii="宋体" w:hAnsi="宋体" w:eastAsia="宋体" w:cs="宋体"/>
                <w:color w:val="000000" w:themeColor="text1"/>
                <w:kern w:val="0"/>
                <w:sz w:val="24"/>
                <w:szCs w:val="24"/>
              </w:rPr>
              <w:t>日</w:t>
            </w:r>
            <w:r>
              <w:rPr>
                <w:rFonts w:hint="eastAsia" w:ascii="宋体" w:hAnsi="宋体" w:eastAsia="宋体" w:cs="宋体"/>
                <w:color w:val="000000" w:themeColor="text1"/>
                <w:kern w:val="0"/>
                <w:sz w:val="24"/>
                <w:szCs w:val="24"/>
                <w:u w:val="single"/>
              </w:rPr>
              <w:t xml:space="preserve">17:00 </w:t>
            </w:r>
            <w:r>
              <w:rPr>
                <w:rFonts w:hint="eastAsia" w:ascii="宋体" w:hAnsi="宋体" w:eastAsia="宋体" w:cs="宋体"/>
                <w:color w:val="000000" w:themeColor="text1"/>
                <w:kern w:val="0"/>
                <w:sz w:val="24"/>
                <w:szCs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11</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themeColor="text1"/>
                <w:sz w:val="24"/>
                <w:szCs w:val="24"/>
              </w:rPr>
            </w:pPr>
            <w:r>
              <w:rPr>
                <w:rFonts w:hint="eastAsia" w:ascii="宋体" w:hAnsi="宋体" w:eastAsia="宋体" w:cs="宋体"/>
                <w:color w:val="000000" w:themeColor="text1"/>
                <w:kern w:val="0"/>
                <w:sz w:val="24"/>
                <w:szCs w:val="24"/>
              </w:rPr>
              <w:t>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12</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25"/>
              <w:jc w:val="both"/>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13</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公开报价时间和地点</w:t>
            </w:r>
          </w:p>
        </w:tc>
        <w:tc>
          <w:tcPr>
            <w:tcW w:w="6255" w:type="dxa"/>
            <w:tcBorders>
              <w:top w:val="single" w:color="auto" w:sz="4" w:space="0"/>
              <w:left w:val="single" w:color="auto" w:sz="4" w:space="0"/>
              <w:bottom w:val="single" w:color="auto" w:sz="4" w:space="0"/>
            </w:tcBorders>
            <w:vAlign w:val="center"/>
          </w:tcPr>
          <w:p>
            <w:pPr>
              <w:pStyle w:val="25"/>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公开报价时间：同报价截止时间</w:t>
            </w:r>
          </w:p>
          <w:p>
            <w:pPr>
              <w:pStyle w:val="25"/>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公开报价地点：成都市龙泉驿区北京路636号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89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themeColor="text1"/>
                <w:kern w:val="0"/>
                <w:sz w:val="24"/>
                <w:szCs w:val="24"/>
              </w:rPr>
            </w:pPr>
            <w:r>
              <w:rPr>
                <w:rFonts w:hint="eastAsia" w:ascii="宋体" w:hAnsi="宋体" w:eastAsia="宋体" w:cs="宋体"/>
                <w:color w:val="000000" w:themeColor="text1"/>
                <w:kern w:val="0"/>
                <w:sz w:val="24"/>
                <w:szCs w:val="24"/>
              </w:rPr>
              <w:t>14</w:t>
            </w:r>
          </w:p>
        </w:tc>
        <w:tc>
          <w:tcPr>
            <w:tcW w:w="185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宋体" w:hAnsi="宋体" w:eastAsia="宋体" w:cs="宋体"/>
                <w:color w:val="auto"/>
                <w:kern w:val="0"/>
                <w:sz w:val="24"/>
                <w:szCs w:val="24"/>
              </w:rPr>
            </w:pPr>
            <w:r>
              <w:rPr>
                <w:rFonts w:hint="eastAsia" w:ascii="宋体" w:hAnsi="宋体" w:eastAsia="宋体" w:cs="宋体"/>
                <w:color w:val="auto"/>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auto"/>
                <w:kern w:val="0"/>
                <w:sz w:val="24"/>
                <w:szCs w:val="24"/>
              </w:rPr>
            </w:pPr>
            <w:r>
              <w:rPr>
                <w:rFonts w:hint="eastAsia" w:ascii="宋体" w:hAnsi="宋体" w:eastAsia="宋体" w:cs="宋体"/>
                <w:color w:val="auto"/>
                <w:sz w:val="24"/>
                <w:szCs w:val="24"/>
              </w:rPr>
              <w:t>满足供应要求、合同条款、资质条件，最低价中标</w:t>
            </w:r>
          </w:p>
        </w:tc>
      </w:tr>
    </w:tbl>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一、供应商参加采购活动应当符合国家相关法律法规。</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三、中标人必须对报价文件负全责；在中标后</w:t>
      </w:r>
      <w:r>
        <w:rPr>
          <w:rFonts w:asciiTheme="majorEastAsia" w:hAnsiTheme="majorEastAsia" w:eastAsiaTheme="majorEastAsia"/>
          <w:color w:val="000000" w:themeColor="text1"/>
          <w:sz w:val="24"/>
        </w:rPr>
        <w:t>10</w:t>
      </w:r>
      <w:r>
        <w:rPr>
          <w:rFonts w:hint="eastAsia" w:asciiTheme="majorEastAsia" w:hAnsiTheme="majorEastAsia" w:eastAsiaTheme="majorEastAsia"/>
          <w:color w:val="000000" w:themeColor="text1"/>
          <w:sz w:val="24"/>
        </w:rPr>
        <w:t>个工作日内与采购人签订合同，并在规定时间内供货。</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四、各供应商填列的单价和总价以人民币元为单位，报价应包括设计和制造费、运费、税费、安装调试费及货物交付使用前的一切费用</w:t>
      </w:r>
      <w:r>
        <w:rPr>
          <w:rFonts w:hint="eastAsia" w:asciiTheme="majorEastAsia" w:hAnsiTheme="majorEastAsia" w:eastAsiaTheme="majorEastAsia"/>
          <w:color w:val="000000" w:themeColor="text1"/>
          <w:sz w:val="24"/>
          <w:lang w:eastAsia="zh-CN"/>
        </w:rPr>
        <w:t>，</w:t>
      </w:r>
      <w:r>
        <w:rPr>
          <w:rFonts w:hint="eastAsia" w:asciiTheme="majorEastAsia" w:hAnsiTheme="majorEastAsia" w:eastAsiaTheme="majorEastAsia"/>
          <w:color w:val="000000" w:themeColor="text1"/>
          <w:sz w:val="24"/>
        </w:rPr>
        <w:t>只能有一个报价，报价含税13</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，并开具增值税专用发票。</w:t>
      </w:r>
    </w:p>
    <w:p>
      <w:pPr>
        <w:spacing w:line="500" w:lineRule="exact"/>
        <w:ind w:firstLine="480" w:firstLineChars="200"/>
        <w:rPr>
          <w:rFonts w:hint="eastAsia"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五、报价文件接受截止时间及地点</w:t>
      </w:r>
    </w:p>
    <w:p>
      <w:pPr>
        <w:spacing w:line="500" w:lineRule="exact"/>
        <w:ind w:firstLine="480" w:firstLineChars="200"/>
        <w:rPr>
          <w:rFonts w:hint="eastAsia"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（一）询价文件接收截止时间：</w:t>
      </w:r>
      <w:r>
        <w:rPr>
          <w:rFonts w:asciiTheme="majorEastAsia" w:hAnsiTheme="majorEastAsia" w:eastAsiaTheme="majorEastAsia"/>
          <w:color w:val="000000" w:themeColor="text1"/>
          <w:sz w:val="24"/>
          <w:u w:val="single"/>
        </w:rPr>
        <w:t>20</w:t>
      </w:r>
      <w:r>
        <w:rPr>
          <w:rFonts w:hint="eastAsia" w:asciiTheme="majorEastAsia" w:hAnsiTheme="majorEastAsia" w:eastAsiaTheme="majorEastAsia"/>
          <w:color w:val="000000" w:themeColor="text1"/>
          <w:sz w:val="24"/>
          <w:u w:val="single"/>
        </w:rPr>
        <w:t>23</w:t>
      </w:r>
      <w:r>
        <w:rPr>
          <w:rFonts w:hint="eastAsia" w:asciiTheme="majorEastAsia" w:hAnsiTheme="majorEastAsia" w:eastAsiaTheme="majorEastAsia"/>
          <w:color w:val="000000" w:themeColor="text1"/>
          <w:sz w:val="24"/>
        </w:rPr>
        <w:t>年</w:t>
      </w:r>
      <w:r>
        <w:rPr>
          <w:rFonts w:hint="eastAsia" w:asciiTheme="majorEastAsia" w:hAnsiTheme="majorEastAsia" w:eastAsiaTheme="majorEastAsia"/>
          <w:color w:val="000000" w:themeColor="text1"/>
          <w:sz w:val="24"/>
          <w:u w:val="single"/>
        </w:rPr>
        <w:t xml:space="preserve"> 5</w:t>
      </w:r>
      <w:r>
        <w:rPr>
          <w:rFonts w:hint="eastAsia" w:asciiTheme="majorEastAsia" w:hAnsiTheme="majorEastAsia" w:eastAsiaTheme="majorEastAsia"/>
          <w:color w:val="000000" w:themeColor="text1"/>
          <w:sz w:val="24"/>
        </w:rPr>
        <w:t>月</w:t>
      </w:r>
      <w:r>
        <w:rPr>
          <w:rFonts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u w:val="single"/>
        </w:rPr>
        <w:t>1</w:t>
      </w:r>
      <w:r>
        <w:rPr>
          <w:rFonts w:hint="eastAsia" w:asciiTheme="majorEastAsia" w:hAnsiTheme="majorEastAsia" w:eastAsiaTheme="majorEastAsia"/>
          <w:color w:val="000000" w:themeColor="text1"/>
          <w:sz w:val="24"/>
          <w:u w:val="single"/>
          <w:lang w:val="en-US" w:eastAsia="zh-CN"/>
        </w:rPr>
        <w:t>5</w:t>
      </w:r>
      <w:r>
        <w:rPr>
          <w:rFonts w:hint="eastAsia" w:asciiTheme="majorEastAsia" w:hAnsiTheme="majorEastAsia" w:eastAsiaTheme="majorEastAsia"/>
          <w:color w:val="000000" w:themeColor="text1"/>
          <w:sz w:val="24"/>
        </w:rPr>
        <w:t>日17:00时，截止时间后，将拒绝接收新的报价文件。</w:t>
      </w:r>
    </w:p>
    <w:p>
      <w:pPr>
        <w:spacing w:line="500" w:lineRule="exact"/>
        <w:ind w:firstLine="480" w:firstLineChars="200"/>
        <w:rPr>
          <w:rFonts w:hint="eastAsia" w:asciiTheme="majorEastAsia" w:hAnsiTheme="majorEastAsia" w:eastAsiaTheme="majorEastAsia"/>
          <w:color w:val="000000" w:themeColor="text1"/>
          <w:sz w:val="24"/>
          <w:lang w:eastAsia="zh-CN"/>
        </w:rPr>
      </w:pPr>
      <w:r>
        <w:rPr>
          <w:rFonts w:hint="eastAsia" w:asciiTheme="majorEastAsia" w:hAnsiTheme="majorEastAsia" w:eastAsiaTheme="majorEastAsia"/>
          <w:color w:val="000000" w:themeColor="text1"/>
          <w:sz w:val="24"/>
        </w:rPr>
        <w:t>（二）投送地点：成都光明派特贵金属有限公司</w:t>
      </w:r>
      <w:r>
        <w:rPr>
          <w:rFonts w:hint="eastAsia" w:asciiTheme="majorEastAsia" w:hAnsiTheme="majorEastAsia" w:eastAsiaTheme="majorEastAsia"/>
          <w:color w:val="000000" w:themeColor="text1"/>
          <w:sz w:val="24"/>
          <w:lang w:val="en-US" w:eastAsia="zh-CN"/>
        </w:rPr>
        <w:t xml:space="preserve"> </w:t>
      </w:r>
      <w:r>
        <w:rPr>
          <w:rFonts w:hint="eastAsia" w:asciiTheme="majorEastAsia" w:hAnsiTheme="majorEastAsia" w:eastAsiaTheme="majorEastAsia"/>
          <w:color w:val="000000" w:themeColor="text1"/>
          <w:sz w:val="24"/>
          <w:lang w:eastAsia="zh-CN"/>
        </w:rPr>
        <w:t>综合管理部</w:t>
      </w:r>
    </w:p>
    <w:p>
      <w:pPr>
        <w:spacing w:line="50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六、下列情况将被视为无效报价文件：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（一）报价文件未在规定时间内送达指定地点；</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（二）未按照规定提供授权书原件的，为无效报价；</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（三）报价文件中的各项内容填列不完整和有涂改现象的，供应商公章和供应商代表签字不齐的；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（四）报价文件中出现计算性错误</w:t>
      </w:r>
      <w:r>
        <w:rPr>
          <w:rFonts w:hint="eastAsia" w:asciiTheme="majorEastAsia" w:hAnsiTheme="majorEastAsia" w:eastAsiaTheme="majorEastAsia"/>
          <w:color w:val="000000" w:themeColor="text1"/>
          <w:sz w:val="24"/>
          <w:lang w:val="en-US" w:eastAsia="zh-CN"/>
        </w:rPr>
        <w:t>而</w:t>
      </w:r>
      <w:r>
        <w:rPr>
          <w:rFonts w:hint="eastAsia" w:asciiTheme="majorEastAsia" w:hAnsiTheme="majorEastAsia" w:eastAsiaTheme="majorEastAsia"/>
          <w:color w:val="000000" w:themeColor="text1"/>
          <w:sz w:val="24"/>
        </w:rPr>
        <w:t>影响评价判断的；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（五）供应商擅自改变货物型号、配置的；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（六）供应商的报价材料密封不合要求的；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（七）其他询价小组认为的其他非实质性响应的；</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（八）法律、法规规定的其他情况。</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七、评审过程的保密性：报价后，直至向成交供应商授予合同时止，凡与审查、澄清、评价和比较报价文件有关的资料以及授予合同的意见等，均不得向供应商及与询价采购无关的其他人透露。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八</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报价文件的评审</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（一）评审工作由采购人组建的询价小组负责。询价小组由有关的技术、经济方面的专家和采购人代表组成。询价小组根据询价文件规定的方法和标准独立评审，负责完成评审的全过程直至评定成交供应商。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（四）审查报价文件是否实质性响应询价文件的要求</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．报价文件有下列情形之一的属于重大偏离，将被作废处理：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）报价文件未按询价文件附件《报价文件格式》相关格式规定有效签署和</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或加盖公章；</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）报价文件载明的项目完成期限超过询价文件规定；</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）明显不符合询价文件规定的技术规格、技术标准；</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）报价文件载明的货物检验标准和方法等明显不符合询价文件要求；</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5</w:t>
      </w:r>
      <w:r>
        <w:rPr>
          <w:rFonts w:hint="eastAsia" w:asciiTheme="majorEastAsia" w:hAnsiTheme="majorEastAsia" w:eastAsiaTheme="majorEastAsia"/>
          <w:color w:val="000000" w:themeColor="text1"/>
          <w:sz w:val="24"/>
        </w:rPr>
        <w:t>）询价文件要求提供样品</w:t>
      </w:r>
      <w:r>
        <w:rPr>
          <w:rFonts w:hint="eastAsia" w:asciiTheme="majorEastAsia" w:hAnsiTheme="majorEastAsia" w:eastAsiaTheme="majorEastAsia"/>
          <w:color w:val="000000" w:themeColor="text1"/>
          <w:sz w:val="24"/>
          <w:lang w:eastAsia="zh-CN"/>
        </w:rPr>
        <w:t>，</w:t>
      </w:r>
      <w:r>
        <w:rPr>
          <w:rFonts w:hint="eastAsia" w:asciiTheme="majorEastAsia" w:hAnsiTheme="majorEastAsia" w:eastAsiaTheme="majorEastAsia"/>
          <w:color w:val="000000" w:themeColor="text1"/>
          <w:sz w:val="24"/>
        </w:rPr>
        <w:t>但供应商未提供；</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6</w:t>
      </w:r>
      <w:r>
        <w:rPr>
          <w:rFonts w:hint="eastAsia" w:asciiTheme="majorEastAsia" w:hAnsiTheme="majorEastAsia" w:eastAsiaTheme="majorEastAsia"/>
          <w:color w:val="000000" w:themeColor="text1"/>
          <w:sz w:val="24"/>
        </w:rPr>
        <w:t>）报价文件附有采购人不能接受的条件；</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w:t>
      </w:r>
      <w:r>
        <w:rPr>
          <w:rFonts w:asciiTheme="majorEastAsia" w:hAnsiTheme="majorEastAsia" w:eastAsiaTheme="majorEastAsia"/>
          <w:color w:val="000000" w:themeColor="text1"/>
          <w:sz w:val="24"/>
        </w:rPr>
        <w:t>7</w:t>
      </w:r>
      <w:r>
        <w:rPr>
          <w:rFonts w:hint="eastAsia" w:asciiTheme="majorEastAsia" w:hAnsiTheme="majorEastAsia" w:eastAsiaTheme="majorEastAsia"/>
          <w:color w:val="000000" w:themeColor="text1"/>
          <w:sz w:val="24"/>
        </w:rPr>
        <w:t>）不符合询价文件规定的其他实质性要求；</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六）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九．出现下列情形之一的，询价小组有权否决所有供应商的报价或取消采购活动：</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．参与报价的供应商不足三家的；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．出现影响采购公正的违法、违规行为的；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3</w:t>
      </w:r>
      <w:r>
        <w:rPr>
          <w:rFonts w:hint="eastAsia" w:asciiTheme="majorEastAsia" w:hAnsiTheme="majorEastAsia" w:eastAsiaTheme="majorEastAsia"/>
          <w:color w:val="000000" w:themeColor="text1"/>
          <w:sz w:val="24"/>
        </w:rPr>
        <w:t>．供应商的报价均超过了采购预算，采购单位不能支付的；</w:t>
      </w:r>
    </w:p>
    <w:p>
      <w:pPr>
        <w:spacing w:line="48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4</w:t>
      </w:r>
      <w:r>
        <w:rPr>
          <w:rFonts w:hint="eastAsia" w:asciiTheme="majorEastAsia" w:hAnsiTheme="majorEastAsia" w:eastAsiaTheme="majorEastAsia"/>
          <w:color w:val="000000" w:themeColor="text1"/>
          <w:sz w:val="24"/>
        </w:rPr>
        <w:t>．因重大变故，采购任务取消的；</w:t>
      </w:r>
    </w:p>
    <w:p>
      <w:pPr>
        <w:spacing w:line="480" w:lineRule="exact"/>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 xml:space="preserve">    5</w:t>
      </w:r>
      <w:r>
        <w:rPr>
          <w:rFonts w:hint="eastAsia" w:asciiTheme="majorEastAsia" w:hAnsiTheme="majorEastAsia" w:eastAsiaTheme="majorEastAsia"/>
          <w:color w:val="000000" w:themeColor="text1"/>
          <w:sz w:val="24"/>
        </w:rPr>
        <w:t>．询价小组经评审认为所有报价文件都不符合询价文件要求的。</w:t>
      </w:r>
    </w:p>
    <w:p>
      <w:pPr>
        <w:spacing w:line="480" w:lineRule="exact"/>
        <w:ind w:firstLine="560" w:firstLineChars="200"/>
        <w:rPr>
          <w:rFonts w:asciiTheme="majorEastAsia" w:hAnsiTheme="majorEastAsia" w:eastAsiaTheme="majorEastAsia"/>
          <w:color w:val="000000" w:themeColor="text1"/>
          <w:sz w:val="28"/>
          <w:szCs w:val="28"/>
        </w:rPr>
      </w:pPr>
      <w:r>
        <w:rPr>
          <w:rFonts w:hint="eastAsia" w:asciiTheme="majorEastAsia" w:hAnsiTheme="majorEastAsia" w:eastAsiaTheme="majorEastAsia"/>
          <w:color w:val="000000" w:themeColor="text1"/>
          <w:sz w:val="28"/>
          <w:szCs w:val="28"/>
        </w:rPr>
        <w:t>十</w:t>
      </w:r>
      <w:r>
        <w:rPr>
          <w:rFonts w:asciiTheme="majorEastAsia" w:hAnsiTheme="majorEastAsia" w:eastAsiaTheme="majorEastAsia"/>
          <w:color w:val="000000" w:themeColor="text1"/>
          <w:sz w:val="28"/>
          <w:szCs w:val="28"/>
        </w:rPr>
        <w:t>.</w:t>
      </w:r>
      <w:bookmarkStart w:id="2" w:name="_Toc217446103"/>
      <w:r>
        <w:rPr>
          <w:rFonts w:asciiTheme="majorEastAsia" w:hAnsiTheme="majorEastAsia" w:eastAsiaTheme="majorEastAsia"/>
          <w:color w:val="000000" w:themeColor="text1"/>
          <w:sz w:val="28"/>
          <w:szCs w:val="28"/>
        </w:rPr>
        <w:t xml:space="preserve"> </w:t>
      </w:r>
      <w:r>
        <w:rPr>
          <w:rFonts w:hint="eastAsia" w:asciiTheme="majorEastAsia" w:hAnsiTheme="majorEastAsia" w:eastAsiaTheme="majorEastAsia"/>
          <w:color w:val="000000" w:themeColor="text1"/>
          <w:sz w:val="28"/>
          <w:szCs w:val="28"/>
        </w:rPr>
        <w:t>评审细则及标准</w:t>
      </w:r>
      <w:bookmarkEnd w:id="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1</w:t>
      </w:r>
      <w:r>
        <w:rPr>
          <w:rFonts w:hint="eastAsia" w:asciiTheme="majorEastAsia" w:hAnsiTheme="majorEastAsia" w:eastAsiaTheme="majorEastAsia"/>
          <w:color w:val="000000" w:themeColor="text1"/>
          <w:sz w:val="24"/>
        </w:rPr>
        <w:t>．评审小组只对通过初审的响应文件，根据询价通知书规定的评审程序、评分办法及标准进行评价和比较。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rPr>
        <w:t>2</w:t>
      </w:r>
      <w:r>
        <w:rPr>
          <w:rFonts w:hint="eastAsia" w:asciiTheme="majorEastAsia" w:hAnsiTheme="majorEastAsia" w:eastAsiaTheme="majorEastAsia"/>
          <w:color w:val="000000" w:themeColor="text1"/>
          <w:sz w:val="24"/>
        </w:rPr>
        <w:t>．本次评分的因素是：</w:t>
      </w:r>
      <w:r>
        <w:rPr>
          <w:rFonts w:hint="eastAsia" w:asciiTheme="majorEastAsia" w:hAnsiTheme="majorEastAsia" w:eastAsiaTheme="majorEastAsia"/>
          <w:color w:val="000000" w:themeColor="text1"/>
          <w:sz w:val="24"/>
          <w:lang w:val="en-US" w:eastAsia="zh-CN"/>
        </w:rPr>
        <w:t>满足供货要求，最低价中标法</w:t>
      </w:r>
      <w:r>
        <w:rPr>
          <w:rFonts w:hint="eastAsia" w:asciiTheme="majorEastAsia" w:hAnsiTheme="majorEastAsia" w:eastAsiaTheme="majorEastAsia"/>
          <w:color w:val="000000" w:themeColor="text1"/>
          <w:sz w:val="24"/>
        </w:rPr>
        <w:t>。</w:t>
      </w:r>
    </w:p>
    <w:p>
      <w:pPr>
        <w:pStyle w:val="2"/>
        <w:jc w:val="center"/>
        <w:outlineLvl w:val="9"/>
        <w:rPr>
          <w:rFonts w:asciiTheme="majorEastAsia" w:hAnsiTheme="majorEastAsia" w:eastAsiaTheme="majorEastAsia"/>
          <w:color w:val="000000" w:themeColor="text1"/>
          <w:sz w:val="32"/>
          <w:szCs w:val="32"/>
        </w:rPr>
      </w:pPr>
    </w:p>
    <w:p>
      <w:pPr>
        <w:pStyle w:val="2"/>
        <w:jc w:val="center"/>
        <w:outlineLvl w:val="9"/>
        <w:rPr>
          <w:rFonts w:asciiTheme="majorEastAsia" w:hAnsiTheme="majorEastAsia" w:eastAsiaTheme="majorEastAsia"/>
          <w:color w:val="000000" w:themeColor="text1"/>
          <w:sz w:val="32"/>
          <w:szCs w:val="32"/>
        </w:rPr>
      </w:pPr>
    </w:p>
    <w:p>
      <w:pPr>
        <w:pStyle w:val="2"/>
        <w:jc w:val="center"/>
        <w:outlineLvl w:val="9"/>
        <w:rPr>
          <w:rFonts w:asciiTheme="majorEastAsia" w:hAnsiTheme="majorEastAsia" w:eastAsiaTheme="majorEastAsia"/>
          <w:color w:val="000000" w:themeColor="text1"/>
          <w:sz w:val="32"/>
          <w:szCs w:val="32"/>
        </w:rPr>
      </w:pPr>
    </w:p>
    <w:p>
      <w:pPr>
        <w:pStyle w:val="2"/>
        <w:jc w:val="center"/>
        <w:outlineLvl w:val="9"/>
        <w:rPr>
          <w:rFonts w:asciiTheme="majorEastAsia" w:hAnsiTheme="majorEastAsia" w:eastAsiaTheme="majorEastAsia"/>
          <w:color w:val="000000" w:themeColor="text1"/>
          <w:sz w:val="32"/>
          <w:szCs w:val="32"/>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r>
        <w:rPr>
          <w:color w:val="000000" w:themeColor="text1"/>
        </w:rPr>
        <w:br w:type="page"/>
      </w:r>
    </w:p>
    <w:p>
      <w:pPr>
        <w:pStyle w:val="2"/>
        <w:bidi w:val="0"/>
        <w:jc w:val="center"/>
        <w:rPr>
          <w:rFonts w:hint="eastAsia"/>
          <w:sz w:val="30"/>
          <w:szCs w:val="30"/>
        </w:rPr>
      </w:pPr>
      <w:bookmarkStart w:id="3" w:name="_Toc17598"/>
      <w:r>
        <w:rPr>
          <w:rFonts w:hint="eastAsia"/>
          <w:sz w:val="30"/>
          <w:szCs w:val="30"/>
        </w:rPr>
        <w:t>第三部分  供应商要求</w:t>
      </w:r>
      <w:bookmarkEnd w:id="3"/>
    </w:p>
    <w:p>
      <w:pPr>
        <w:pStyle w:val="35"/>
        <w:numPr>
          <w:ilvl w:val="0"/>
          <w:numId w:val="2"/>
        </w:numPr>
        <w:spacing w:line="480" w:lineRule="exact"/>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供应商资质要求：</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1、</w:t>
      </w:r>
      <w:r>
        <w:rPr>
          <w:rFonts w:hint="eastAsia" w:asciiTheme="majorEastAsia" w:hAnsiTheme="majorEastAsia" w:eastAsiaTheme="majorEastAsia"/>
          <w:color w:val="000000" w:themeColor="text1"/>
          <w:sz w:val="24"/>
        </w:rPr>
        <w:t>有效的工商营业执照副本复印件；</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2、</w:t>
      </w:r>
      <w:r>
        <w:rPr>
          <w:rFonts w:hint="eastAsia" w:asciiTheme="majorEastAsia" w:hAnsiTheme="majorEastAsia" w:eastAsiaTheme="majorEastAsia"/>
          <w:color w:val="000000" w:themeColor="text1"/>
          <w:sz w:val="24"/>
        </w:rPr>
        <w:t>危险化学品经营许可证;</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3、</w:t>
      </w:r>
      <w:r>
        <w:rPr>
          <w:rFonts w:hint="eastAsia" w:asciiTheme="majorEastAsia" w:hAnsiTheme="majorEastAsia" w:eastAsiaTheme="majorEastAsia"/>
          <w:color w:val="000000" w:themeColor="text1"/>
          <w:sz w:val="24"/>
        </w:rPr>
        <w:t>非药品类易制毒化学品经营备案证明;</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4、</w:t>
      </w:r>
      <w:r>
        <w:rPr>
          <w:rFonts w:hint="eastAsia" w:asciiTheme="majorEastAsia" w:hAnsiTheme="majorEastAsia" w:eastAsiaTheme="majorEastAsia"/>
          <w:color w:val="000000" w:themeColor="text1"/>
          <w:sz w:val="24"/>
        </w:rPr>
        <w:t>危险化学品运输许可证和操作人员资质;</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安全生产许可证（Ａ类）</w:t>
      </w:r>
    </w:p>
    <w:p>
      <w:pPr>
        <w:pStyle w:val="35"/>
        <w:numPr>
          <w:ilvl w:val="0"/>
          <w:numId w:val="0"/>
        </w:numPr>
        <w:spacing w:line="408" w:lineRule="auto"/>
        <w:ind w:left="568"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6、</w:t>
      </w:r>
      <w:r>
        <w:rPr>
          <w:rFonts w:hint="eastAsia" w:asciiTheme="majorEastAsia" w:hAnsiTheme="majorEastAsia" w:eastAsiaTheme="majorEastAsia"/>
          <w:color w:val="000000" w:themeColor="text1"/>
          <w:sz w:val="24"/>
        </w:rPr>
        <w:t>排放污染物许可证（Ａ类）</w:t>
      </w:r>
    </w:p>
    <w:p>
      <w:pPr>
        <w:pStyle w:val="35"/>
        <w:numPr>
          <w:ilvl w:val="0"/>
          <w:numId w:val="2"/>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供应商能力要求</w:t>
      </w:r>
    </w:p>
    <w:p>
      <w:pPr>
        <w:pStyle w:val="35"/>
        <w:numPr>
          <w:ilvl w:val="0"/>
          <w:numId w:val="0"/>
        </w:numPr>
        <w:spacing w:line="408" w:lineRule="auto"/>
        <w:ind w:left="480"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1、</w:t>
      </w:r>
      <w:r>
        <w:rPr>
          <w:rFonts w:hint="eastAsia" w:asciiTheme="majorEastAsia" w:hAnsiTheme="majorEastAsia" w:eastAsiaTheme="majorEastAsia"/>
          <w:color w:val="000000" w:themeColor="text1"/>
          <w:sz w:val="24"/>
        </w:rPr>
        <w:t>供应商接到订单必须在24h内送货到指定地点；</w:t>
      </w:r>
    </w:p>
    <w:p>
      <w:pPr>
        <w:pStyle w:val="35"/>
        <w:numPr>
          <w:ilvl w:val="0"/>
          <w:numId w:val="0"/>
        </w:numPr>
        <w:spacing w:line="408" w:lineRule="auto"/>
        <w:ind w:left="480"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2、</w:t>
      </w:r>
      <w:r>
        <w:rPr>
          <w:rFonts w:hint="eastAsia" w:asciiTheme="majorEastAsia" w:hAnsiTheme="majorEastAsia" w:eastAsiaTheme="majorEastAsia"/>
          <w:color w:val="000000" w:themeColor="text1"/>
          <w:sz w:val="24"/>
        </w:rPr>
        <w:t>危化品必须是专用车辆运输，且操作人员必须持证上岗；</w:t>
      </w:r>
    </w:p>
    <w:p>
      <w:pPr>
        <w:pStyle w:val="35"/>
        <w:numPr>
          <w:ilvl w:val="0"/>
          <w:numId w:val="0"/>
        </w:numPr>
        <w:spacing w:line="408" w:lineRule="auto"/>
        <w:ind w:left="480"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lang w:val="en-US" w:eastAsia="zh-CN"/>
        </w:rPr>
        <w:t>3、</w:t>
      </w:r>
      <w:r>
        <w:rPr>
          <w:rFonts w:hint="eastAsia" w:asciiTheme="majorEastAsia" w:hAnsiTheme="majorEastAsia" w:eastAsiaTheme="majorEastAsia"/>
          <w:color w:val="000000" w:themeColor="text1"/>
          <w:sz w:val="24"/>
          <w:szCs w:val="24"/>
        </w:rPr>
        <w:t>因场地所限，供应商提供的液碱、次氯酸钠等要求吨桶送货；</w:t>
      </w:r>
    </w:p>
    <w:p>
      <w:pPr>
        <w:pStyle w:val="35"/>
        <w:numPr>
          <w:ilvl w:val="0"/>
          <w:numId w:val="0"/>
        </w:numPr>
        <w:spacing w:line="408" w:lineRule="auto"/>
        <w:ind w:left="480"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szCs w:val="24"/>
          <w:lang w:val="en-US" w:eastAsia="zh-CN"/>
        </w:rPr>
        <w:t>4、</w:t>
      </w:r>
      <w:r>
        <w:rPr>
          <w:rFonts w:hint="eastAsia" w:asciiTheme="majorEastAsia" w:hAnsiTheme="majorEastAsia" w:eastAsiaTheme="majorEastAsia"/>
          <w:color w:val="000000" w:themeColor="text1"/>
          <w:sz w:val="24"/>
          <w:szCs w:val="24"/>
        </w:rPr>
        <w:t>产品质量必须符合国家标准，每一批次必须提供合格的产品检测报告，方能验收入库。</w:t>
      </w:r>
    </w:p>
    <w:p>
      <w:pPr>
        <w:pStyle w:val="35"/>
        <w:numPr>
          <w:ilvl w:val="0"/>
          <w:numId w:val="2"/>
        </w:numPr>
        <w:spacing w:line="408" w:lineRule="auto"/>
        <w:ind w:firstLine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其它要求</w:t>
      </w:r>
    </w:p>
    <w:p>
      <w:pPr>
        <w:pStyle w:val="35"/>
        <w:numPr>
          <w:ilvl w:val="0"/>
          <w:numId w:val="0"/>
        </w:numPr>
        <w:spacing w:line="408" w:lineRule="auto"/>
        <w:ind w:left="426"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1、</w:t>
      </w:r>
      <w:r>
        <w:rPr>
          <w:rFonts w:hint="eastAsia" w:asciiTheme="majorEastAsia" w:hAnsiTheme="majorEastAsia" w:eastAsiaTheme="majorEastAsia"/>
          <w:color w:val="000000" w:themeColor="text1"/>
          <w:sz w:val="24"/>
        </w:rPr>
        <w:t>付款周期及方式：原则上实行货到二个月后滚动付款方式。即供方货到验收合格后，且需方收到该批货增值税发票并在财务挂账，即开始计算付款周期，二个月账期到后，以银行承兑或者汇款结算该批次货款。</w:t>
      </w:r>
    </w:p>
    <w:p>
      <w:pPr>
        <w:pStyle w:val="35"/>
        <w:numPr>
          <w:ilvl w:val="0"/>
          <w:numId w:val="0"/>
        </w:numPr>
        <w:spacing w:line="408" w:lineRule="auto"/>
        <w:ind w:left="426" w:leftChars="0"/>
        <w:rPr>
          <w:rFonts w:asciiTheme="majorEastAsia" w:hAnsiTheme="majorEastAsia" w:eastAsiaTheme="majorEastAsia"/>
          <w:color w:val="auto"/>
          <w:sz w:val="24"/>
          <w:szCs w:val="24"/>
        </w:rPr>
      </w:pPr>
      <w:r>
        <w:rPr>
          <w:rFonts w:hint="eastAsia" w:ascii="宋体" w:hAnsi="宋体" w:cs="宋体"/>
          <w:bCs/>
          <w:color w:val="auto"/>
          <w:kern w:val="0"/>
          <w:sz w:val="24"/>
          <w:szCs w:val="24"/>
          <w:lang w:val="en-US" w:eastAsia="zh-CN"/>
        </w:rPr>
        <w:t>2、</w:t>
      </w:r>
      <w:r>
        <w:rPr>
          <w:rFonts w:hint="eastAsia" w:ascii="宋体" w:hAnsi="宋体" w:cs="宋体"/>
          <w:bCs/>
          <w:color w:val="auto"/>
          <w:kern w:val="0"/>
          <w:sz w:val="24"/>
          <w:szCs w:val="24"/>
        </w:rPr>
        <w:t>包装标准、包装物的费用负担：外包装标明批次、数量，并及时提供批次合格证；包装费用由供方负担。</w:t>
      </w:r>
      <w:r>
        <w:rPr>
          <w:rFonts w:hint="eastAsia" w:ascii="宋体" w:cs="宋体"/>
          <w:bCs/>
          <w:color w:val="auto"/>
          <w:kern w:val="0"/>
          <w:sz w:val="24"/>
          <w:szCs w:val="24"/>
        </w:rPr>
        <w:t>所有供方的化工产品内</w:t>
      </w:r>
      <w:r>
        <w:rPr>
          <w:rFonts w:hint="eastAsia" w:ascii="宋体" w:cs="宋体"/>
          <w:bCs/>
          <w:color w:val="auto"/>
          <w:kern w:val="0"/>
          <w:sz w:val="24"/>
          <w:szCs w:val="24"/>
          <w:lang w:eastAsia="zh-CN"/>
        </w:rPr>
        <w:t>、</w:t>
      </w:r>
      <w:r>
        <w:rPr>
          <w:rFonts w:hint="eastAsia" w:ascii="宋体" w:cs="宋体"/>
          <w:bCs/>
          <w:color w:val="auto"/>
          <w:kern w:val="0"/>
          <w:sz w:val="24"/>
          <w:szCs w:val="24"/>
        </w:rPr>
        <w:t>外空包装由供方负责依法合规回收，其费用</w:t>
      </w:r>
      <w:r>
        <w:rPr>
          <w:rFonts w:hint="eastAsia" w:ascii="宋体" w:cs="宋体"/>
          <w:bCs/>
          <w:color w:val="auto"/>
          <w:kern w:val="0"/>
          <w:sz w:val="24"/>
          <w:szCs w:val="24"/>
          <w:lang w:val="en-US" w:eastAsia="zh-CN"/>
        </w:rPr>
        <w:t>包含</w:t>
      </w:r>
      <w:r>
        <w:rPr>
          <w:rFonts w:hint="eastAsia" w:ascii="宋体" w:cs="宋体"/>
          <w:bCs/>
          <w:color w:val="auto"/>
          <w:kern w:val="0"/>
          <w:sz w:val="24"/>
          <w:szCs w:val="24"/>
        </w:rPr>
        <w:t>在</w:t>
      </w:r>
      <w:r>
        <w:rPr>
          <w:rFonts w:hint="eastAsia" w:ascii="宋体" w:cs="宋体"/>
          <w:bCs/>
          <w:color w:val="auto"/>
          <w:kern w:val="0"/>
          <w:sz w:val="24"/>
          <w:szCs w:val="24"/>
          <w:lang w:val="en-US" w:eastAsia="zh-CN"/>
        </w:rPr>
        <w:t>产品</w:t>
      </w:r>
      <w:r>
        <w:rPr>
          <w:rFonts w:hint="eastAsia" w:ascii="宋体" w:cs="宋体"/>
          <w:bCs/>
          <w:color w:val="auto"/>
          <w:kern w:val="0"/>
          <w:sz w:val="24"/>
          <w:szCs w:val="24"/>
        </w:rPr>
        <w:t>报价中。</w:t>
      </w:r>
    </w:p>
    <w:p>
      <w:pPr>
        <w:pStyle w:val="35"/>
        <w:numPr>
          <w:ilvl w:val="0"/>
          <w:numId w:val="0"/>
        </w:numPr>
        <w:spacing w:line="408" w:lineRule="auto"/>
        <w:ind w:left="426" w:leftChars="0"/>
        <w:rPr>
          <w:rFonts w:ascii="宋体" w:hAnsi="宋体"/>
          <w:color w:val="auto"/>
          <w:sz w:val="24"/>
          <w:szCs w:val="24"/>
        </w:rPr>
      </w:pPr>
      <w:r>
        <w:rPr>
          <w:rFonts w:hint="eastAsia" w:ascii="宋体" w:hAnsi="宋体"/>
          <w:bCs/>
          <w:color w:val="auto"/>
          <w:spacing w:val="-8"/>
          <w:sz w:val="24"/>
          <w:lang w:val="en-US" w:eastAsia="zh-CN"/>
        </w:rPr>
        <w:t>3、</w:t>
      </w:r>
      <w:r>
        <w:rPr>
          <w:rFonts w:hint="eastAsia" w:ascii="宋体" w:hAnsi="宋体"/>
          <w:bCs/>
          <w:color w:val="auto"/>
          <w:spacing w:val="-8"/>
          <w:sz w:val="24"/>
        </w:rPr>
        <w:t>供方在送货进入需方事厂区主干道车速不超过15Km/h，服从需方安保管理，在指定位置停车，同时在车辆到达需方库区配合检查人员提供</w:t>
      </w:r>
      <w:r>
        <w:rPr>
          <w:rFonts w:hint="eastAsia" w:ascii="宋体" w:hAnsi="宋体"/>
          <w:color w:val="auto"/>
          <w:sz w:val="24"/>
        </w:rPr>
        <w:t>提供驾驶员和押运员的有效身份证、驾驶证、行驶证和危险化学品运输车辆的相关证件，</w:t>
      </w:r>
      <w:r>
        <w:rPr>
          <w:rFonts w:hint="eastAsia" w:ascii="宋体" w:hAnsi="宋体"/>
          <w:bCs/>
          <w:color w:val="auto"/>
          <w:spacing w:val="-8"/>
          <w:sz w:val="24"/>
        </w:rPr>
        <w:t>在库区负责卸装完货物交需方收验完成。供方未按相关法律法规合法使用车辆及人员，</w:t>
      </w:r>
      <w:r>
        <w:rPr>
          <w:rFonts w:hint="eastAsia" w:ascii="宋体" w:hAnsi="宋体"/>
          <w:bCs/>
          <w:color w:val="auto"/>
          <w:spacing w:val="-8"/>
          <w:sz w:val="24"/>
          <w:szCs w:val="24"/>
        </w:rPr>
        <w:t>需方有权拒收货物，因此造成的损失和相关的处罚由供方自行承担。</w:t>
      </w:r>
    </w:p>
    <w:p>
      <w:pPr>
        <w:pStyle w:val="35"/>
        <w:numPr>
          <w:ilvl w:val="0"/>
          <w:numId w:val="0"/>
        </w:numPr>
        <w:spacing w:line="408" w:lineRule="auto"/>
        <w:ind w:left="426"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4、</w:t>
      </w:r>
      <w:r>
        <w:rPr>
          <w:rFonts w:hint="eastAsia" w:asciiTheme="majorEastAsia" w:hAnsiTheme="majorEastAsia" w:eastAsiaTheme="majorEastAsia"/>
          <w:color w:val="000000" w:themeColor="text1"/>
          <w:sz w:val="24"/>
        </w:rPr>
        <w:t>价格相对稳定：当市场价格超出合同价格但波动在10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以内时，仍按原合同价格执行；当市场价格上下波动超出合同价格10</w:t>
      </w:r>
      <w:r>
        <w:rPr>
          <w:rFonts w:asciiTheme="majorEastAsia" w:hAnsiTheme="majorEastAsia" w:eastAsiaTheme="majorEastAsia"/>
          <w:color w:val="000000" w:themeColor="text1"/>
          <w:sz w:val="24"/>
        </w:rPr>
        <w:t>%</w:t>
      </w:r>
      <w:r>
        <w:rPr>
          <w:rFonts w:hint="eastAsia" w:asciiTheme="majorEastAsia" w:hAnsiTheme="majorEastAsia" w:eastAsiaTheme="majorEastAsia"/>
          <w:color w:val="000000" w:themeColor="text1"/>
          <w:sz w:val="24"/>
        </w:rPr>
        <w:t>以上时，供应商</w:t>
      </w:r>
      <w:r>
        <w:rPr>
          <w:rFonts w:hint="eastAsia" w:asciiTheme="majorEastAsia" w:hAnsiTheme="majorEastAsia" w:eastAsiaTheme="majorEastAsia"/>
          <w:color w:val="000000" w:themeColor="text1"/>
          <w:sz w:val="24"/>
          <w:lang w:val="en-US" w:eastAsia="zh-CN"/>
        </w:rPr>
        <w:t>或</w:t>
      </w:r>
      <w:r>
        <w:rPr>
          <w:rFonts w:hint="eastAsia" w:asciiTheme="majorEastAsia" w:hAnsiTheme="majorEastAsia" w:eastAsiaTheme="majorEastAsia"/>
          <w:color w:val="000000" w:themeColor="text1"/>
          <w:sz w:val="24"/>
        </w:rPr>
        <w:t>采购方提出涨价或降价要求，都由双方发出调价申请函，说明调价原因，双方协商，重新审计价格，原来合同价格按最新调价价格执行，其余条款不变。</w:t>
      </w:r>
    </w:p>
    <w:p>
      <w:pPr>
        <w:pStyle w:val="35"/>
        <w:numPr>
          <w:ilvl w:val="0"/>
          <w:numId w:val="0"/>
        </w:numPr>
        <w:spacing w:line="408" w:lineRule="auto"/>
        <w:ind w:left="426"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5、</w:t>
      </w:r>
      <w:r>
        <w:rPr>
          <w:rFonts w:hint="eastAsia" w:asciiTheme="majorEastAsia" w:hAnsiTheme="majorEastAsia" w:eastAsiaTheme="majorEastAsia"/>
          <w:color w:val="000000" w:themeColor="text1"/>
          <w:sz w:val="24"/>
        </w:rPr>
        <w:t>对甲方产品品质有重要影响的化工产品供应商变更，需经甲方批量验证合格后确认</w:t>
      </w:r>
      <w:r>
        <w:rPr>
          <w:rFonts w:hint="eastAsia" w:asciiTheme="majorEastAsia" w:hAnsiTheme="majorEastAsia" w:eastAsiaTheme="majorEastAsia"/>
          <w:color w:val="000000" w:themeColor="text1"/>
          <w:sz w:val="24"/>
          <w:lang w:val="en-US" w:eastAsia="zh-CN"/>
        </w:rPr>
        <w:t>供货资格</w:t>
      </w:r>
      <w:r>
        <w:rPr>
          <w:rFonts w:hint="eastAsia" w:asciiTheme="majorEastAsia" w:hAnsiTheme="majorEastAsia" w:eastAsiaTheme="majorEastAsia"/>
          <w:color w:val="000000" w:themeColor="text1"/>
          <w:sz w:val="24"/>
        </w:rPr>
        <w:t>。</w:t>
      </w:r>
    </w:p>
    <w:p>
      <w:pPr>
        <w:pStyle w:val="35"/>
        <w:numPr>
          <w:ilvl w:val="0"/>
          <w:numId w:val="0"/>
        </w:numPr>
        <w:spacing w:line="480" w:lineRule="exact"/>
        <w:ind w:left="426"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6、</w:t>
      </w:r>
      <w:r>
        <w:rPr>
          <w:rFonts w:hint="eastAsia" w:asciiTheme="majorEastAsia" w:hAnsiTheme="majorEastAsia" w:eastAsiaTheme="majorEastAsia"/>
          <w:color w:val="000000" w:themeColor="text1"/>
          <w:sz w:val="24"/>
        </w:rPr>
        <w:t>法人代表授权委托书原件（见附件一）；</w:t>
      </w:r>
    </w:p>
    <w:p>
      <w:pPr>
        <w:pStyle w:val="35"/>
        <w:numPr>
          <w:ilvl w:val="0"/>
          <w:numId w:val="0"/>
        </w:numPr>
        <w:spacing w:line="480" w:lineRule="exact"/>
        <w:ind w:left="426" w:leftChars="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lang w:val="en-US" w:eastAsia="zh-CN"/>
        </w:rPr>
        <w:t>7、本次化工产品明细报价表</w:t>
      </w:r>
      <w:r>
        <w:rPr>
          <w:rFonts w:hint="eastAsia" w:asciiTheme="majorEastAsia" w:hAnsiTheme="majorEastAsia" w:eastAsiaTheme="majorEastAsia"/>
          <w:color w:val="000000" w:themeColor="text1"/>
          <w:sz w:val="24"/>
        </w:rPr>
        <w:t>（附件二）；</w:t>
      </w:r>
    </w:p>
    <w:p>
      <w:pPr>
        <w:spacing w:line="480" w:lineRule="exact"/>
        <w:ind w:firstLine="480" w:firstLineChars="2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注：</w:t>
      </w:r>
      <w:r>
        <w:rPr>
          <w:rFonts w:hint="eastAsia" w:asciiTheme="majorEastAsia" w:hAnsiTheme="majorEastAsia" w:eastAsiaTheme="majorEastAsia"/>
          <w:bCs/>
          <w:iCs/>
          <w:color w:val="000000" w:themeColor="text1"/>
          <w:sz w:val="24"/>
        </w:rPr>
        <w:t>以上材料须加盖单位公章</w:t>
      </w:r>
      <w:r>
        <w:rPr>
          <w:rFonts w:hint="eastAsia" w:asciiTheme="majorEastAsia" w:hAnsiTheme="majorEastAsia" w:eastAsiaTheme="majorEastAsia"/>
          <w:color w:val="000000" w:themeColor="text1"/>
          <w:sz w:val="24"/>
        </w:rPr>
        <w:t>（原件备查）</w:t>
      </w:r>
      <w:r>
        <w:rPr>
          <w:rFonts w:hint="eastAsia" w:asciiTheme="majorEastAsia" w:hAnsiTheme="majorEastAsia" w:eastAsiaTheme="majorEastAsia"/>
          <w:bCs/>
          <w:iCs/>
          <w:color w:val="000000" w:themeColor="text1"/>
          <w:sz w:val="24"/>
        </w:rPr>
        <w:t>，</w:t>
      </w:r>
      <w:r>
        <w:rPr>
          <w:rFonts w:hint="eastAsia" w:asciiTheme="majorEastAsia" w:hAnsiTheme="majorEastAsia" w:eastAsiaTheme="majorEastAsia"/>
          <w:iCs/>
          <w:color w:val="000000" w:themeColor="text1"/>
          <w:sz w:val="24"/>
        </w:rPr>
        <w:t>供应商应将报价文件按上述顺序装订成册</w:t>
      </w:r>
      <w:r>
        <w:rPr>
          <w:rFonts w:hint="eastAsia" w:asciiTheme="majorEastAsia" w:hAnsiTheme="majorEastAsia" w:eastAsiaTheme="majorEastAsia"/>
          <w:color w:val="000000" w:themeColor="text1"/>
          <w:sz w:val="24"/>
        </w:rPr>
        <w:t>。</w:t>
      </w:r>
    </w:p>
    <w:p>
      <w:pPr>
        <w:spacing w:line="480" w:lineRule="exact"/>
        <w:ind w:firstLine="480" w:firstLineChars="200"/>
        <w:rPr>
          <w:rFonts w:hint="eastAsia"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供应商在递交询价报价文件时，必须是密封完好的，密封件正面应标明单位名称，并在封口处加盖单位公章。</w:t>
      </w:r>
    </w:p>
    <w:p>
      <w:pPr>
        <w:rPr>
          <w:rFonts w:hint="eastAsia"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br w:type="page"/>
      </w:r>
    </w:p>
    <w:p>
      <w:pPr>
        <w:pStyle w:val="2"/>
        <w:bidi w:val="0"/>
        <w:jc w:val="center"/>
        <w:rPr>
          <w:rFonts w:hint="default"/>
          <w:sz w:val="30"/>
          <w:szCs w:val="30"/>
          <w:lang w:val="en-US" w:eastAsia="zh-CN"/>
        </w:rPr>
      </w:pPr>
      <w:bookmarkStart w:id="4" w:name="_Toc5286"/>
      <w:r>
        <w:rPr>
          <w:rFonts w:hint="eastAsia"/>
          <w:sz w:val="30"/>
          <w:szCs w:val="30"/>
        </w:rPr>
        <w:t>第</w:t>
      </w:r>
      <w:r>
        <w:rPr>
          <w:rFonts w:hint="eastAsia"/>
          <w:sz w:val="30"/>
          <w:szCs w:val="30"/>
          <w:lang w:val="en-US" w:eastAsia="zh-CN"/>
        </w:rPr>
        <w:t>四</w:t>
      </w:r>
      <w:r>
        <w:rPr>
          <w:rFonts w:hint="eastAsia"/>
          <w:sz w:val="30"/>
          <w:szCs w:val="30"/>
        </w:rPr>
        <w:t xml:space="preserve">部分  </w:t>
      </w:r>
      <w:r>
        <w:rPr>
          <w:rFonts w:hint="eastAsia"/>
          <w:sz w:val="30"/>
          <w:szCs w:val="30"/>
          <w:lang w:val="en-US" w:eastAsia="zh-CN"/>
        </w:rPr>
        <w:t>合同条款</w:t>
      </w:r>
      <w:bookmarkEnd w:id="4"/>
    </w:p>
    <w:tbl>
      <w:tblPr>
        <w:tblStyle w:val="16"/>
        <w:tblW w:w="9640" w:type="dxa"/>
        <w:jc w:val="center"/>
        <w:tblLayout w:type="fixed"/>
        <w:tblCellMar>
          <w:top w:w="0" w:type="dxa"/>
          <w:left w:w="108" w:type="dxa"/>
          <w:bottom w:w="0" w:type="dxa"/>
          <w:right w:w="108" w:type="dxa"/>
        </w:tblCellMar>
      </w:tblPr>
      <w:tblGrid>
        <w:gridCol w:w="3403"/>
        <w:gridCol w:w="3260"/>
        <w:gridCol w:w="2977"/>
      </w:tblGrid>
      <w:tr>
        <w:tblPrEx>
          <w:tblCellMar>
            <w:top w:w="0" w:type="dxa"/>
            <w:left w:w="108" w:type="dxa"/>
            <w:bottom w:w="0" w:type="dxa"/>
            <w:right w:w="108" w:type="dxa"/>
          </w:tblCellMar>
        </w:tblPrEx>
        <w:trPr>
          <w:trHeight w:val="1362" w:hRule="atLeast"/>
          <w:jc w:val="center"/>
        </w:trPr>
        <w:tc>
          <w:tcPr>
            <w:tcW w:w="9640" w:type="dxa"/>
            <w:gridSpan w:val="3"/>
            <w:tcBorders>
              <w:top w:val="nil"/>
              <w:left w:val="nil"/>
              <w:bottom w:val="nil"/>
              <w:right w:val="nil"/>
            </w:tcBorders>
            <w:noWrap/>
            <w:vAlign w:val="center"/>
          </w:tcPr>
          <w:p>
            <w:pPr>
              <w:widowControl/>
              <w:spacing w:line="0" w:lineRule="atLeast"/>
              <w:ind w:firstLine="180" w:firstLineChars="50"/>
              <w:jc w:val="center"/>
              <w:rPr>
                <w:rFonts w:ascii="微软雅黑" w:hAnsi="微软雅黑" w:eastAsia="微软雅黑" w:cs="宋体"/>
                <w:b/>
                <w:bCs/>
                <w:color w:val="000000"/>
                <w:kern w:val="0"/>
                <w:sz w:val="36"/>
                <w:szCs w:val="36"/>
              </w:rPr>
            </w:pPr>
            <w:r>
              <w:rPr>
                <w:rFonts w:hint="eastAsia" w:ascii="微软雅黑" w:hAnsi="微软雅黑" w:eastAsia="微软雅黑" w:cs="宋体"/>
                <w:b/>
                <w:bCs/>
                <w:color w:val="000000"/>
                <w:kern w:val="0"/>
                <w:sz w:val="36"/>
                <w:szCs w:val="36"/>
                <w:u w:val="single"/>
              </w:rPr>
              <w:t>2023</w:t>
            </w:r>
            <w:r>
              <w:rPr>
                <w:rFonts w:hint="eastAsia" w:ascii="微软雅黑" w:hAnsi="微软雅黑" w:eastAsia="微软雅黑" w:cs="宋体"/>
                <w:b/>
                <w:bCs/>
                <w:color w:val="000000"/>
                <w:kern w:val="0"/>
                <w:sz w:val="36"/>
                <w:szCs w:val="36"/>
              </w:rPr>
              <w:t>年度订货合同</w:t>
            </w:r>
          </w:p>
          <w:p>
            <w:pPr>
              <w:widowControl/>
              <w:spacing w:line="0" w:lineRule="atLeast"/>
              <w:ind w:firstLine="181" w:firstLineChars="50"/>
              <w:rPr>
                <w:rFonts w:ascii="宋体" w:cs="宋体"/>
                <w:b/>
                <w:bCs/>
                <w:color w:val="000000"/>
                <w:kern w:val="0"/>
                <w:sz w:val="36"/>
                <w:szCs w:val="36"/>
              </w:rPr>
            </w:pPr>
          </w:p>
        </w:tc>
      </w:tr>
      <w:tr>
        <w:tblPrEx>
          <w:tblCellMar>
            <w:top w:w="0" w:type="dxa"/>
            <w:left w:w="108" w:type="dxa"/>
            <w:bottom w:w="0" w:type="dxa"/>
            <w:right w:w="108" w:type="dxa"/>
          </w:tblCellMar>
        </w:tblPrEx>
        <w:trPr>
          <w:trHeight w:val="308" w:hRule="atLeast"/>
          <w:jc w:val="center"/>
        </w:trPr>
        <w:tc>
          <w:tcPr>
            <w:tcW w:w="9640" w:type="dxa"/>
            <w:gridSpan w:val="3"/>
            <w:tcBorders>
              <w:top w:val="nil"/>
              <w:left w:val="nil"/>
              <w:bottom w:val="nil"/>
              <w:right w:val="nil"/>
            </w:tcBorders>
            <w:noWrap/>
            <w:vAlign w:val="center"/>
          </w:tcPr>
          <w:p>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                                                    </w:t>
            </w:r>
            <w:r>
              <w:rPr>
                <w:rFonts w:hint="eastAsia" w:ascii="微软雅黑" w:hAnsi="微软雅黑" w:eastAsia="微软雅黑" w:cs="宋体"/>
                <w:bCs/>
                <w:color w:val="000000"/>
                <w:kern w:val="0"/>
                <w:sz w:val="18"/>
                <w:szCs w:val="18"/>
              </w:rPr>
              <w:t>合同编号</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 xml:space="preserve">        合同签约地：成都</w:t>
            </w:r>
          </w:p>
        </w:tc>
      </w:tr>
      <w:tr>
        <w:tblPrEx>
          <w:tblCellMar>
            <w:top w:w="0" w:type="dxa"/>
            <w:left w:w="108" w:type="dxa"/>
            <w:bottom w:w="0" w:type="dxa"/>
            <w:right w:w="108" w:type="dxa"/>
          </w:tblCellMar>
        </w:tblPrEx>
        <w:trPr>
          <w:trHeight w:val="510" w:hRule="atLeast"/>
          <w:jc w:val="center"/>
        </w:trPr>
        <w:tc>
          <w:tcPr>
            <w:tcW w:w="9640" w:type="dxa"/>
            <w:gridSpan w:val="3"/>
            <w:tcBorders>
              <w:top w:val="nil"/>
              <w:left w:val="nil"/>
              <w:bottom w:val="nil"/>
              <w:right w:val="nil"/>
            </w:tcBorders>
            <w:noWrap/>
            <w:vAlign w:val="center"/>
          </w:tcPr>
          <w:p>
            <w:pPr>
              <w:widowControl/>
              <w:spacing w:line="0" w:lineRule="atLeast"/>
              <w:ind w:firstLine="360" w:firstLineChars="200"/>
              <w:jc w:val="left"/>
              <w:rPr>
                <w:rFonts w:ascii="微软雅黑" w:hAnsi="微软雅黑" w:eastAsia="微软雅黑" w:cs="宋体"/>
                <w:bCs/>
                <w:color w:val="000000"/>
                <w:kern w:val="0"/>
                <w:sz w:val="18"/>
                <w:szCs w:val="18"/>
                <w:u w:val="single"/>
              </w:rPr>
            </w:pP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u w:val="single"/>
              </w:rPr>
              <w:t xml:space="preserve">成都光明派特贵金属有限公司                          </w:t>
            </w:r>
            <w:r>
              <w:rPr>
                <w:rFonts w:hint="eastAsia" w:ascii="微软雅黑" w:hAnsi="微软雅黑" w:eastAsia="微软雅黑" w:cs="宋体"/>
                <w:bCs/>
                <w:color w:val="000000"/>
                <w:kern w:val="0"/>
                <w:sz w:val="18"/>
                <w:szCs w:val="18"/>
              </w:rPr>
              <w:t>合同签定日期</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2023年  月  日</w:t>
            </w:r>
          </w:p>
        </w:tc>
      </w:tr>
      <w:tr>
        <w:tblPrEx>
          <w:tblCellMar>
            <w:top w:w="0" w:type="dxa"/>
            <w:left w:w="108" w:type="dxa"/>
            <w:bottom w:w="0" w:type="dxa"/>
            <w:right w:w="108" w:type="dxa"/>
          </w:tblCellMar>
        </w:tblPrEx>
        <w:trPr>
          <w:trHeight w:val="345" w:hRule="atLeast"/>
          <w:jc w:val="center"/>
        </w:trPr>
        <w:tc>
          <w:tcPr>
            <w:tcW w:w="9640" w:type="dxa"/>
            <w:gridSpan w:val="3"/>
            <w:tcBorders>
              <w:top w:val="nil"/>
              <w:left w:val="nil"/>
              <w:bottom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一、产品名称、计量单位、数量、金额及供货时间</w:t>
            </w:r>
          </w:p>
          <w:tbl>
            <w:tblPr>
              <w:tblStyle w:val="16"/>
              <w:tblW w:w="8980" w:type="dxa"/>
              <w:tblInd w:w="0" w:type="dxa"/>
              <w:tblLayout w:type="fixed"/>
              <w:tblCellMar>
                <w:top w:w="0" w:type="dxa"/>
                <w:left w:w="108" w:type="dxa"/>
                <w:bottom w:w="0" w:type="dxa"/>
                <w:right w:w="108" w:type="dxa"/>
              </w:tblCellMar>
            </w:tblPr>
            <w:tblGrid>
              <w:gridCol w:w="640"/>
              <w:gridCol w:w="1080"/>
              <w:gridCol w:w="1720"/>
              <w:gridCol w:w="984"/>
              <w:gridCol w:w="436"/>
              <w:gridCol w:w="660"/>
              <w:gridCol w:w="1020"/>
              <w:gridCol w:w="2440"/>
            </w:tblGrid>
            <w:tr>
              <w:tblPrEx>
                <w:tblCellMar>
                  <w:top w:w="0" w:type="dxa"/>
                  <w:left w:w="108" w:type="dxa"/>
                  <w:bottom w:w="0" w:type="dxa"/>
                  <w:right w:w="108" w:type="dxa"/>
                </w:tblCellMar>
              </w:tblPrEx>
              <w:trPr>
                <w:trHeight w:val="465" w:hRule="atLeast"/>
              </w:trPr>
              <w:tc>
                <w:tcPr>
                  <w:tcW w:w="6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序号</w:t>
                  </w:r>
                </w:p>
              </w:tc>
              <w:tc>
                <w:tcPr>
                  <w:tcW w:w="108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产品名称</w:t>
                  </w:r>
                </w:p>
              </w:tc>
              <w:tc>
                <w:tcPr>
                  <w:tcW w:w="172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规格</w:t>
                  </w:r>
                </w:p>
              </w:tc>
              <w:tc>
                <w:tcPr>
                  <w:tcW w:w="984"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数量</w:t>
                  </w:r>
                </w:p>
              </w:tc>
              <w:tc>
                <w:tcPr>
                  <w:tcW w:w="436"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单位</w:t>
                  </w:r>
                </w:p>
              </w:tc>
              <w:tc>
                <w:tcPr>
                  <w:tcW w:w="66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单价</w:t>
                  </w:r>
                </w:p>
              </w:tc>
              <w:tc>
                <w:tcPr>
                  <w:tcW w:w="102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总金额</w:t>
                  </w:r>
                </w:p>
              </w:tc>
              <w:tc>
                <w:tcPr>
                  <w:tcW w:w="2440" w:type="dxa"/>
                  <w:tcBorders>
                    <w:top w:val="single" w:color="auto" w:sz="4" w:space="0"/>
                    <w:left w:val="nil"/>
                    <w:bottom w:val="single" w:color="auto" w:sz="4" w:space="0"/>
                    <w:right w:val="single" w:color="auto" w:sz="4" w:space="0"/>
                  </w:tcBorders>
                  <w:shd w:val="clear" w:color="auto" w:fill="auto"/>
                  <w:noWrap/>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交货日期、数量</w:t>
                  </w:r>
                </w:p>
              </w:tc>
            </w:tr>
            <w:tr>
              <w:tblPrEx>
                <w:tblCellMar>
                  <w:top w:w="0" w:type="dxa"/>
                  <w:left w:w="108" w:type="dxa"/>
                  <w:bottom w:w="0" w:type="dxa"/>
                  <w:right w:w="108" w:type="dxa"/>
                </w:tblCellMar>
              </w:tblPrEx>
              <w:trPr>
                <w:trHeight w:val="465" w:hRule="atLeast"/>
              </w:trPr>
              <w:tc>
                <w:tcPr>
                  <w:tcW w:w="640"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08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72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984"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436"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66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1020" w:type="dxa"/>
                  <w:tcBorders>
                    <w:top w:val="nil"/>
                    <w:left w:val="nil"/>
                    <w:bottom w:val="single" w:color="auto" w:sz="4" w:space="0"/>
                    <w:right w:val="single" w:color="auto" w:sz="4" w:space="0"/>
                  </w:tcBorders>
                  <w:shd w:val="clear" w:color="auto" w:fill="auto"/>
                  <w:noWrap/>
                  <w:vAlign w:val="center"/>
                </w:tcPr>
                <w:p>
                  <w:pPr>
                    <w:widowControl/>
                    <w:spacing w:line="0" w:lineRule="atLeast"/>
                    <w:jc w:val="center"/>
                    <w:rPr>
                      <w:rFonts w:ascii="微软雅黑" w:hAnsi="微软雅黑" w:eastAsia="微软雅黑" w:cs="宋体"/>
                      <w:color w:val="000000"/>
                      <w:kern w:val="0"/>
                      <w:sz w:val="18"/>
                      <w:szCs w:val="18"/>
                    </w:rPr>
                  </w:pPr>
                </w:p>
              </w:tc>
              <w:tc>
                <w:tcPr>
                  <w:tcW w:w="2440" w:type="dxa"/>
                  <w:tcBorders>
                    <w:top w:val="nil"/>
                    <w:left w:val="single" w:color="auto" w:sz="4" w:space="0"/>
                    <w:right w:val="single" w:color="auto" w:sz="4" w:space="0"/>
                  </w:tcBorders>
                  <w:shd w:val="clear" w:color="auto" w:fill="auto"/>
                  <w:vAlign w:val="center"/>
                </w:tcPr>
                <w:p>
                  <w:pPr>
                    <w:widowControl/>
                    <w:spacing w:line="0" w:lineRule="atLeast"/>
                    <w:jc w:val="left"/>
                    <w:rPr>
                      <w:rFonts w:ascii="微软雅黑" w:hAnsi="微软雅黑" w:eastAsia="微软雅黑" w:cs="宋体"/>
                      <w:color w:val="000000"/>
                      <w:kern w:val="0"/>
                      <w:sz w:val="18"/>
                      <w:szCs w:val="18"/>
                    </w:rPr>
                  </w:pPr>
                </w:p>
              </w:tc>
            </w:tr>
            <w:tr>
              <w:tblPrEx>
                <w:tblCellMar>
                  <w:top w:w="0" w:type="dxa"/>
                  <w:left w:w="108" w:type="dxa"/>
                  <w:bottom w:w="0" w:type="dxa"/>
                  <w:right w:w="108" w:type="dxa"/>
                </w:tblCellMar>
              </w:tblPrEx>
              <w:trPr>
                <w:trHeight w:val="810" w:hRule="atLeast"/>
              </w:trPr>
              <w:tc>
                <w:tcPr>
                  <w:tcW w:w="8980" w:type="dxa"/>
                  <w:gridSpan w:val="8"/>
                  <w:tcBorders>
                    <w:top w:val="single" w:color="auto" w:sz="4" w:space="0"/>
                    <w:left w:val="single" w:color="auto" w:sz="4" w:space="0"/>
                    <w:bottom w:val="single" w:color="auto" w:sz="4" w:space="0"/>
                    <w:right w:val="single" w:color="000000" w:sz="4" w:space="0"/>
                  </w:tcBorders>
                  <w:shd w:val="clear" w:color="auto" w:fill="auto"/>
                  <w:vAlign w:val="center"/>
                </w:tcPr>
                <w:p>
                  <w:pPr>
                    <w:widowControl/>
                    <w:spacing w:line="0" w:lineRule="atLeast"/>
                    <w:jc w:val="left"/>
                    <w:rPr>
                      <w:rFonts w:ascii="微软雅黑" w:hAnsi="微软雅黑" w:eastAsia="微软雅黑" w:cs="宋体"/>
                      <w:color w:val="000000"/>
                      <w:kern w:val="0"/>
                      <w:sz w:val="18"/>
                      <w:szCs w:val="18"/>
                    </w:rPr>
                  </w:pPr>
                  <w:r>
                    <w:rPr>
                      <w:rFonts w:hint="eastAsia" w:ascii="微软雅黑" w:hAnsi="微软雅黑" w:eastAsia="微软雅黑" w:cs="宋体"/>
                      <w:color w:val="000000"/>
                      <w:kern w:val="0"/>
                      <w:sz w:val="18"/>
                      <w:szCs w:val="18"/>
                    </w:rPr>
                    <w:t>合计人民币(大写):　                 小写：              　（含13%增值税专用发票价）</w:t>
                  </w:r>
                </w:p>
              </w:tc>
            </w:tr>
          </w:tbl>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1408" w:hRule="atLeast"/>
          <w:jc w:val="center"/>
        </w:trPr>
        <w:tc>
          <w:tcPr>
            <w:tcW w:w="9640" w:type="dxa"/>
            <w:gridSpan w:val="3"/>
            <w:tcBorders>
              <w:top w:val="nil"/>
              <w:left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二、质量要求、技术标准：执行国家标准。</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三、交（提）货地点、方式：</w:t>
            </w:r>
            <w:r>
              <w:rPr>
                <w:rFonts w:hint="eastAsia" w:ascii="微软雅黑" w:hAnsi="微软雅黑" w:eastAsia="微软雅黑"/>
                <w:sz w:val="18"/>
                <w:szCs w:val="18"/>
              </w:rPr>
              <w:t>成都市龙泉驿区北京路636号A05厂房。</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auto"/>
                <w:kern w:val="0"/>
                <w:sz w:val="18"/>
                <w:szCs w:val="18"/>
              </w:rPr>
            </w:pPr>
            <w:r>
              <w:rPr>
                <w:rFonts w:hint="eastAsia" w:ascii="微软雅黑" w:hAnsi="微软雅黑" w:eastAsia="微软雅黑" w:cs="宋体"/>
                <w:bCs/>
                <w:color w:val="000000"/>
                <w:kern w:val="0"/>
                <w:sz w:val="18"/>
                <w:szCs w:val="18"/>
              </w:rPr>
              <w:t>四、运输方式及到达站港和费用负担</w:t>
            </w:r>
            <w:r>
              <w:rPr>
                <w:rFonts w:hint="eastAsia" w:ascii="微软雅黑" w:hAnsi="微软雅黑" w:eastAsia="微软雅黑" w:cs="宋体"/>
                <w:bCs/>
                <w:color w:val="auto"/>
                <w:kern w:val="0"/>
                <w:sz w:val="18"/>
                <w:szCs w:val="18"/>
              </w:rPr>
              <w:t>：运输及相关费用均由供方负担。</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五、合理损耗及计算方法：货到需方</w:t>
            </w:r>
            <w:r>
              <w:rPr>
                <w:rFonts w:ascii="微软雅黑" w:hAnsi="微软雅黑" w:eastAsia="微软雅黑"/>
                <w:bCs/>
                <w:color w:val="000000"/>
                <w:kern w:val="0"/>
                <w:sz w:val="18"/>
                <w:szCs w:val="18"/>
              </w:rPr>
              <w:t>,</w:t>
            </w:r>
            <w:r>
              <w:rPr>
                <w:rFonts w:hint="eastAsia" w:ascii="微软雅黑" w:hAnsi="微软雅黑" w:eastAsia="微软雅黑" w:cs="宋体"/>
                <w:bCs/>
                <w:color w:val="000000"/>
                <w:kern w:val="0"/>
                <w:sz w:val="18"/>
                <w:szCs w:val="18"/>
              </w:rPr>
              <w:t>以实际验收数量为准。</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六、包装标准、包装物的费用负担：外包装标明批次、数量，并及时提供批次合格证；包装费用由供方负担。所有供方的化工产品内外空包装由供方免费负责回收。</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七、验收标准、方法及提出异议期限：</w:t>
            </w:r>
            <w:r>
              <w:rPr>
                <w:rFonts w:hint="eastAsia" w:ascii="微软雅黑" w:hAnsi="微软雅黑" w:eastAsia="微软雅黑"/>
                <w:sz w:val="18"/>
                <w:szCs w:val="18"/>
              </w:rPr>
              <w:t>供方提供的产品必须是同一个批次（批号）产品，并同时提供本批次产品的质量检验报告，否则需方有权拒绝收货。</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八、结算方式及期限：</w:t>
            </w:r>
            <w:r>
              <w:rPr>
                <w:rFonts w:hint="eastAsia" w:ascii="微软雅黑" w:hAnsi="微软雅黑" w:eastAsia="微软雅黑"/>
                <w:color w:val="000000" w:themeColor="text1"/>
                <w:sz w:val="18"/>
                <w:szCs w:val="18"/>
              </w:rPr>
              <w:t>货到二个月后滚动付款方式。即供方货到验收合格后，且需方收到该批货增值税发票并在财务挂账，即开始计算付款周期，二个月账期到后，以银行承兑或者汇款结算该批次货款。</w:t>
            </w:r>
          </w:p>
          <w:p>
            <w:pPr>
              <w:widowControl/>
              <w:spacing w:line="0" w:lineRule="atLeast"/>
              <w:jc w:val="left"/>
              <w:rPr>
                <w:rFonts w:ascii="微软雅黑" w:hAnsi="微软雅黑" w:eastAsia="微软雅黑" w:cs="宋体"/>
                <w:bCs/>
                <w:color w:val="000000"/>
                <w:kern w:val="0"/>
                <w:sz w:val="18"/>
                <w:szCs w:val="18"/>
              </w:rPr>
            </w:pPr>
          </w:p>
          <w:p>
            <w:pPr>
              <w:widowControl/>
              <w:spacing w:line="0" w:lineRule="atLeast"/>
              <w:jc w:val="left"/>
              <w:rPr>
                <w:rFonts w:ascii="微软雅黑" w:hAnsi="微软雅黑" w:eastAsia="微软雅黑" w:cs="宋体"/>
                <w:bCs/>
                <w:color w:val="FF0000"/>
                <w:kern w:val="0"/>
                <w:sz w:val="18"/>
                <w:szCs w:val="18"/>
              </w:rPr>
            </w:pPr>
            <w:r>
              <w:rPr>
                <w:rFonts w:hint="eastAsia" w:ascii="微软雅黑" w:hAnsi="微软雅黑" w:eastAsia="微软雅黑" w:cs="宋体"/>
                <w:bCs/>
                <w:color w:val="FF0000"/>
                <w:kern w:val="0"/>
                <w:sz w:val="18"/>
                <w:szCs w:val="18"/>
              </w:rPr>
              <w:t>九、知识产权约定：供方应保证其提供的商品具有知识产权，不侵犯任何第三方合法权益。一旦出现第三方向需方主张知识产权权利时，供方应采取必要措施让需方免除该争议且供方应以第三人身份参与争议，否则需方会立即停止对供方的相关产品采购，供方承担需方因此遭受的所有损失，包括但不限于赔偿金、和解金、行政罚金、律师费、诉讼费以及处理该争议的必要差旅费。</w:t>
            </w: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FF0000"/>
                <w:kern w:val="0"/>
                <w:sz w:val="18"/>
                <w:szCs w:val="18"/>
              </w:rPr>
              <w:t>十、违约责任：依照《中华人民共和国民典法》有关条款规定执行。</w:t>
            </w:r>
          </w:p>
          <w:p>
            <w:pPr>
              <w:widowControl/>
              <w:spacing w:line="0" w:lineRule="atLeast"/>
              <w:jc w:val="left"/>
              <w:rPr>
                <w:rFonts w:ascii="微软雅黑" w:hAnsi="微软雅黑" w:eastAsia="微软雅黑" w:cs="宋体"/>
                <w:bCs/>
                <w:color w:val="000000"/>
                <w:kern w:val="0"/>
                <w:sz w:val="18"/>
                <w:szCs w:val="18"/>
              </w:rPr>
            </w:pPr>
          </w:p>
          <w:p>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十一、其它约定事项</w:t>
            </w:r>
            <w:r>
              <w:rPr>
                <w:rFonts w:hint="eastAsia" w:ascii="微软雅黑" w:hAnsi="微软雅黑" w:eastAsia="微软雅黑" w:cs="宋体"/>
                <w:bCs/>
                <w:color w:val="FF0000"/>
                <w:kern w:val="0"/>
                <w:sz w:val="18"/>
                <w:szCs w:val="18"/>
              </w:rPr>
              <w:t>：</w:t>
            </w:r>
            <w:r>
              <w:rPr>
                <w:rFonts w:hint="eastAsia" w:ascii="微软雅黑" w:hAnsi="微软雅黑" w:eastAsia="微软雅黑"/>
                <w:bCs/>
                <w:spacing w:val="-8"/>
                <w:sz w:val="18"/>
                <w:szCs w:val="18"/>
              </w:rPr>
              <w:t>供方在送货进入需方事厂区主干道车速不超过15Km/h，服从需方外来车辆管理，在指定位置停车，同时在车辆到达需方库区配合检查人员提供</w:t>
            </w:r>
            <w:r>
              <w:rPr>
                <w:rFonts w:hint="eastAsia" w:ascii="微软雅黑" w:hAnsi="微软雅黑" w:eastAsia="微软雅黑"/>
                <w:sz w:val="18"/>
                <w:szCs w:val="18"/>
              </w:rPr>
              <w:t>提供驾驶员和押运员的有效身份证、驾驶证、行驶证和危险化学品运输车辆的相关证件，</w:t>
            </w:r>
            <w:r>
              <w:rPr>
                <w:rFonts w:hint="eastAsia" w:ascii="微软雅黑" w:hAnsi="微软雅黑" w:eastAsia="微软雅黑"/>
                <w:bCs/>
                <w:spacing w:val="-8"/>
                <w:sz w:val="18"/>
                <w:szCs w:val="18"/>
              </w:rPr>
              <w:t>在库区负责卸装完货物交需方收验完成。供方未按相关法律法规合法使用车辆及人员，需方有权拒收货物，因此造成的损失和相关的处罚由供方自行承</w:t>
            </w:r>
            <w:r>
              <w:rPr>
                <w:rFonts w:hint="eastAsia" w:ascii="微软雅黑" w:hAnsi="微软雅黑" w:eastAsia="微软雅黑"/>
                <w:bCs/>
                <w:color w:val="auto"/>
                <w:spacing w:val="-8"/>
                <w:sz w:val="18"/>
                <w:szCs w:val="18"/>
              </w:rPr>
              <w:t>担。</w:t>
            </w:r>
            <w:r>
              <w:rPr>
                <w:rFonts w:hint="eastAsia" w:ascii="微软雅黑" w:hAnsi="微软雅黑" w:eastAsia="微软雅黑" w:cs="宋体"/>
                <w:bCs/>
                <w:color w:val="auto"/>
                <w:kern w:val="0"/>
                <w:sz w:val="18"/>
                <w:szCs w:val="18"/>
              </w:rPr>
              <w:t>本合</w:t>
            </w:r>
            <w:r>
              <w:rPr>
                <w:rFonts w:hint="eastAsia" w:ascii="微软雅黑" w:hAnsi="微软雅黑" w:eastAsia="微软雅黑" w:cs="宋体"/>
                <w:bCs/>
                <w:color w:val="000000"/>
                <w:kern w:val="0"/>
                <w:sz w:val="18"/>
                <w:szCs w:val="18"/>
              </w:rPr>
              <w:t>同订购数量为意向性</w:t>
            </w:r>
            <w:r>
              <w:rPr>
                <w:rFonts w:ascii="微软雅黑" w:hAnsi="微软雅黑" w:eastAsia="微软雅黑" w:cs="宋体"/>
                <w:bCs/>
                <w:color w:val="000000"/>
                <w:kern w:val="0"/>
                <w:sz w:val="18"/>
                <w:szCs w:val="18"/>
              </w:rPr>
              <w:t>,</w:t>
            </w:r>
            <w:r>
              <w:rPr>
                <w:rFonts w:hint="eastAsia" w:ascii="微软雅黑" w:hAnsi="微软雅黑" w:eastAsia="微软雅黑" w:cs="宋体"/>
                <w:bCs/>
                <w:color w:val="000000"/>
                <w:kern w:val="0"/>
                <w:sz w:val="18"/>
                <w:szCs w:val="18"/>
              </w:rPr>
              <w:t>准确数量以需方订货传真通知数量为准。书面订货传真与本合同具有同等法律效力。</w:t>
            </w:r>
          </w:p>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十二、解决合同纠纷的方式：双方协商解决。协商不成，由需方所在地法院裁决。</w:t>
            </w:r>
          </w:p>
          <w:p>
            <w:pPr>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十三、本合同一式二份；双方各执一份。本合同未尽事宜，双方协商解决，传真件有效。</w:t>
            </w:r>
          </w:p>
          <w:p>
            <w:pPr>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210" w:hRule="atLeast"/>
          <w:jc w:val="center"/>
        </w:trPr>
        <w:tc>
          <w:tcPr>
            <w:tcW w:w="3403" w:type="dxa"/>
            <w:vMerge w:val="restart"/>
            <w:tcBorders>
              <w:top w:val="single" w:color="auto" w:sz="4" w:space="0"/>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供方：</w:t>
            </w:r>
            <w:r>
              <w:rPr>
                <w:rFonts w:ascii="微软雅黑" w:hAnsi="微软雅黑" w:eastAsia="微软雅黑" w:cs="宋体"/>
                <w:bCs/>
                <w:color w:val="000000"/>
                <w:kern w:val="0"/>
                <w:sz w:val="18"/>
                <w:szCs w:val="18"/>
              </w:rPr>
              <w:t xml:space="preserve"> </w:t>
            </w:r>
          </w:p>
        </w:tc>
        <w:tc>
          <w:tcPr>
            <w:tcW w:w="3260" w:type="dxa"/>
            <w:vMerge w:val="restart"/>
            <w:tcBorders>
              <w:top w:val="single" w:color="auto" w:sz="4" w:space="0"/>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需方</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成都光明派特贵金属有限公司</w:t>
            </w:r>
          </w:p>
        </w:tc>
        <w:tc>
          <w:tcPr>
            <w:tcW w:w="2977" w:type="dxa"/>
            <w:tcBorders>
              <w:top w:val="single" w:color="auto" w:sz="4" w:space="0"/>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证意见</w:t>
            </w:r>
            <w:r>
              <w:rPr>
                <w:rFonts w:ascii="微软雅黑" w:hAnsi="微软雅黑" w:eastAsia="微软雅黑" w:cs="宋体"/>
                <w:bCs/>
                <w:color w:val="000000"/>
                <w:kern w:val="0"/>
                <w:sz w:val="18"/>
                <w:szCs w:val="18"/>
              </w:rPr>
              <w:t>:</w:t>
            </w:r>
          </w:p>
        </w:tc>
      </w:tr>
      <w:tr>
        <w:tblPrEx>
          <w:tblCellMar>
            <w:top w:w="0" w:type="dxa"/>
            <w:left w:w="108" w:type="dxa"/>
            <w:bottom w:w="0" w:type="dxa"/>
            <w:right w:w="108" w:type="dxa"/>
          </w:tblCellMar>
        </w:tblPrEx>
        <w:trPr>
          <w:trHeight w:val="273" w:hRule="atLeast"/>
          <w:jc w:val="center"/>
        </w:trPr>
        <w:tc>
          <w:tcPr>
            <w:tcW w:w="3403" w:type="dxa"/>
            <w:vMerge w:val="continue"/>
            <w:tcBorders>
              <w:top w:val="single" w:color="auto" w:sz="4" w:space="0"/>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p>
        </w:tc>
        <w:tc>
          <w:tcPr>
            <w:tcW w:w="3260" w:type="dxa"/>
            <w:vMerge w:val="continue"/>
            <w:tcBorders>
              <w:top w:val="single" w:color="auto" w:sz="4" w:space="0"/>
              <w:left w:val="nil"/>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经办人</w:t>
            </w:r>
            <w:r>
              <w:rPr>
                <w:rFonts w:ascii="微软雅黑" w:hAnsi="微软雅黑" w:eastAsia="微软雅黑" w:cs="宋体"/>
                <w:bCs/>
                <w:color w:val="000000"/>
                <w:kern w:val="0"/>
                <w:sz w:val="18"/>
                <w:szCs w:val="18"/>
              </w:rPr>
              <w:t>:</w:t>
            </w:r>
          </w:p>
        </w:tc>
      </w:tr>
      <w:tr>
        <w:tblPrEx>
          <w:tblCellMar>
            <w:top w:w="0" w:type="dxa"/>
            <w:left w:w="108" w:type="dxa"/>
            <w:bottom w:w="0" w:type="dxa"/>
            <w:right w:w="108" w:type="dxa"/>
          </w:tblCellMar>
        </w:tblPrEx>
        <w:trPr>
          <w:trHeight w:val="445" w:hRule="atLeast"/>
          <w:jc w:val="center"/>
        </w:trPr>
        <w:tc>
          <w:tcPr>
            <w:tcW w:w="3403" w:type="dxa"/>
            <w:tcBorders>
              <w:top w:val="nil"/>
              <w:left w:val="single" w:color="auto" w:sz="4" w:space="0"/>
              <w:bottom w:val="nil"/>
              <w:right w:val="single" w:color="000000"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地址</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成都市龙泉驿成龙大道</w:t>
            </w:r>
            <w:r>
              <w:rPr>
                <w:rFonts w:ascii="微软雅黑" w:hAnsi="微软雅黑" w:eastAsia="微软雅黑" w:cs="宋体"/>
                <w:bCs/>
                <w:color w:val="000000"/>
                <w:kern w:val="0"/>
                <w:sz w:val="18"/>
                <w:szCs w:val="18"/>
              </w:rPr>
              <w:t>359</w:t>
            </w:r>
            <w:r>
              <w:rPr>
                <w:rFonts w:hint="eastAsia" w:ascii="微软雅黑" w:hAnsi="微软雅黑" w:eastAsia="微软雅黑" w:cs="宋体"/>
                <w:bCs/>
                <w:color w:val="000000"/>
                <w:kern w:val="0"/>
                <w:sz w:val="18"/>
                <w:szCs w:val="18"/>
              </w:rPr>
              <w:t>号</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90"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法定代表人</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15"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委托代理人</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60" w:hRule="atLeast"/>
          <w:jc w:val="center"/>
        </w:trPr>
        <w:tc>
          <w:tcPr>
            <w:tcW w:w="3403" w:type="dxa"/>
            <w:tcBorders>
              <w:top w:val="nil"/>
              <w:left w:val="single" w:color="auto" w:sz="4" w:space="0"/>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电话</w:t>
            </w:r>
            <w:r>
              <w:rPr>
                <w:rFonts w:ascii="微软雅黑" w:hAnsi="微软雅黑" w:eastAsia="微软雅黑" w:cs="宋体"/>
                <w:bCs/>
                <w:color w:val="000000"/>
                <w:kern w:val="0"/>
                <w:sz w:val="18"/>
                <w:szCs w:val="18"/>
              </w:rPr>
              <w:t>:  028--88456070</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证机关</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章</w:t>
            </w:r>
            <w:r>
              <w:rPr>
                <w:rFonts w:ascii="微软雅黑" w:hAnsi="微软雅黑" w:eastAsia="微软雅黑" w:cs="宋体"/>
                <w:bCs/>
                <w:color w:val="000000"/>
                <w:kern w:val="0"/>
                <w:sz w:val="18"/>
                <w:szCs w:val="18"/>
              </w:rPr>
              <w:t xml:space="preserve"> ):</w:t>
            </w:r>
          </w:p>
        </w:tc>
      </w:tr>
      <w:tr>
        <w:tblPrEx>
          <w:tblCellMar>
            <w:top w:w="0" w:type="dxa"/>
            <w:left w:w="108" w:type="dxa"/>
            <w:bottom w:w="0" w:type="dxa"/>
            <w:right w:w="108" w:type="dxa"/>
          </w:tblCellMar>
        </w:tblPrEx>
        <w:trPr>
          <w:trHeight w:val="296" w:hRule="atLeast"/>
          <w:jc w:val="center"/>
        </w:trPr>
        <w:tc>
          <w:tcPr>
            <w:tcW w:w="3403" w:type="dxa"/>
            <w:tcBorders>
              <w:top w:val="nil"/>
              <w:left w:val="single" w:color="auto" w:sz="4" w:space="0"/>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传真</w:t>
            </w:r>
            <w:r>
              <w:rPr>
                <w:rFonts w:ascii="微软雅黑" w:hAnsi="微软雅黑" w:eastAsia="微软雅黑" w:cs="宋体"/>
                <w:bCs/>
                <w:color w:val="000000"/>
                <w:kern w:val="0"/>
                <w:sz w:val="18"/>
                <w:szCs w:val="18"/>
              </w:rPr>
              <w:t>:  028--88456069</w:t>
            </w:r>
          </w:p>
        </w:tc>
        <w:tc>
          <w:tcPr>
            <w:tcW w:w="2977" w:type="dxa"/>
            <w:tcBorders>
              <w:top w:val="nil"/>
              <w:left w:val="nil"/>
              <w:bottom w:val="nil"/>
              <w:right w:val="single" w:color="auto" w:sz="4" w:space="0"/>
            </w:tcBorders>
            <w:noWrap/>
            <w:vAlign w:val="center"/>
          </w:tcPr>
          <w:p>
            <w:pPr>
              <w:widowControl/>
              <w:spacing w:line="0" w:lineRule="atLeast"/>
              <w:jc w:val="righ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年月日</w:t>
            </w:r>
          </w:p>
        </w:tc>
      </w:tr>
      <w:tr>
        <w:tblPrEx>
          <w:tblCellMar>
            <w:top w:w="0" w:type="dxa"/>
            <w:left w:w="108" w:type="dxa"/>
            <w:bottom w:w="0" w:type="dxa"/>
            <w:right w:w="108" w:type="dxa"/>
          </w:tblCellMar>
        </w:tblPrEx>
        <w:trPr>
          <w:trHeight w:val="313" w:hRule="atLeast"/>
          <w:jc w:val="center"/>
        </w:trPr>
        <w:tc>
          <w:tcPr>
            <w:tcW w:w="3403" w:type="dxa"/>
            <w:tcBorders>
              <w:top w:val="nil"/>
              <w:left w:val="single" w:color="auto" w:sz="4" w:space="0"/>
              <w:bottom w:val="nil"/>
              <w:right w:val="single" w:color="auto" w:sz="4" w:space="0"/>
            </w:tcBorders>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p>
        </w:tc>
        <w:tc>
          <w:tcPr>
            <w:tcW w:w="3260"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开户银行</w:t>
            </w:r>
            <w:r>
              <w:rPr>
                <w:rFonts w:ascii="微软雅黑" w:hAnsi="微软雅黑" w:eastAsia="微软雅黑" w:cs="宋体"/>
                <w:bCs/>
                <w:color w:val="000000"/>
                <w:kern w:val="0"/>
                <w:sz w:val="18"/>
                <w:szCs w:val="18"/>
              </w:rPr>
              <w:t xml:space="preserve">: </w:t>
            </w:r>
          </w:p>
        </w:tc>
        <w:tc>
          <w:tcPr>
            <w:tcW w:w="2977" w:type="dxa"/>
            <w:tcBorders>
              <w:top w:val="nil"/>
              <w:left w:val="nil"/>
              <w:bottom w:val="nil"/>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p>
        </w:tc>
      </w:tr>
      <w:tr>
        <w:tblPrEx>
          <w:tblCellMar>
            <w:top w:w="0" w:type="dxa"/>
            <w:left w:w="108" w:type="dxa"/>
            <w:bottom w:w="0" w:type="dxa"/>
            <w:right w:w="108" w:type="dxa"/>
          </w:tblCellMar>
        </w:tblPrEx>
        <w:trPr>
          <w:trHeight w:val="321" w:hRule="atLeast"/>
          <w:jc w:val="center"/>
        </w:trPr>
        <w:tc>
          <w:tcPr>
            <w:tcW w:w="3403" w:type="dxa"/>
            <w:tcBorders>
              <w:top w:val="nil"/>
              <w:left w:val="single" w:color="auto" w:sz="4" w:space="0"/>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帐号：</w:t>
            </w:r>
          </w:p>
        </w:tc>
        <w:tc>
          <w:tcPr>
            <w:tcW w:w="3260" w:type="dxa"/>
            <w:tcBorders>
              <w:top w:val="nil"/>
              <w:left w:val="nil"/>
              <w:bottom w:val="nil"/>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账号</w:t>
            </w:r>
            <w:r>
              <w:rPr>
                <w:rFonts w:ascii="微软雅黑" w:hAnsi="微软雅黑" w:eastAsia="微软雅黑" w:cs="宋体"/>
                <w:bCs/>
                <w:color w:val="000000"/>
                <w:kern w:val="0"/>
                <w:sz w:val="18"/>
                <w:szCs w:val="18"/>
              </w:rPr>
              <w:t>:</w:t>
            </w:r>
          </w:p>
        </w:tc>
        <w:tc>
          <w:tcPr>
            <w:tcW w:w="2977" w:type="dxa"/>
            <w:tcBorders>
              <w:top w:val="nil"/>
              <w:left w:val="nil"/>
              <w:bottom w:val="single" w:color="000000" w:sz="4" w:space="0"/>
              <w:right w:val="single" w:color="auto"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注</w:t>
            </w:r>
            <w:r>
              <w:rPr>
                <w:rFonts w:ascii="微软雅黑" w:hAnsi="微软雅黑" w:eastAsia="微软雅黑" w:cs="宋体"/>
                <w:bCs/>
                <w:color w:val="000000"/>
                <w:kern w:val="0"/>
                <w:sz w:val="18"/>
                <w:szCs w:val="18"/>
              </w:rPr>
              <w:t xml:space="preserve">: </w:t>
            </w:r>
            <w:r>
              <w:rPr>
                <w:rFonts w:hint="eastAsia" w:ascii="微软雅黑" w:hAnsi="微软雅黑" w:eastAsia="微软雅黑" w:cs="宋体"/>
                <w:bCs/>
                <w:color w:val="000000"/>
                <w:kern w:val="0"/>
                <w:sz w:val="18"/>
                <w:szCs w:val="18"/>
              </w:rPr>
              <w:t>除国家另有规定外</w:t>
            </w:r>
          </w:p>
        </w:tc>
      </w:tr>
      <w:tr>
        <w:tblPrEx>
          <w:tblCellMar>
            <w:top w:w="0" w:type="dxa"/>
            <w:left w:w="108" w:type="dxa"/>
            <w:bottom w:w="0" w:type="dxa"/>
            <w:right w:w="108" w:type="dxa"/>
          </w:tblCellMar>
        </w:tblPrEx>
        <w:trPr>
          <w:trHeight w:val="416" w:hRule="atLeast"/>
          <w:jc w:val="center"/>
        </w:trPr>
        <w:tc>
          <w:tcPr>
            <w:tcW w:w="3403" w:type="dxa"/>
            <w:tcBorders>
              <w:top w:val="nil"/>
              <w:left w:val="single" w:color="auto" w:sz="4" w:space="0"/>
              <w:bottom w:val="single" w:color="auto"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w:t>
            </w:r>
          </w:p>
        </w:tc>
        <w:tc>
          <w:tcPr>
            <w:tcW w:w="3260" w:type="dxa"/>
            <w:tcBorders>
              <w:top w:val="nil"/>
              <w:left w:val="nil"/>
              <w:bottom w:val="single" w:color="auto"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邮政编码</w:t>
            </w:r>
            <w:r>
              <w:rPr>
                <w:rFonts w:ascii="微软雅黑" w:hAnsi="微软雅黑" w:eastAsia="微软雅黑" w:cs="宋体"/>
                <w:bCs/>
                <w:color w:val="000000"/>
                <w:kern w:val="0"/>
                <w:sz w:val="18"/>
                <w:szCs w:val="18"/>
              </w:rPr>
              <w:t xml:space="preserve">: </w:t>
            </w:r>
          </w:p>
        </w:tc>
        <w:tc>
          <w:tcPr>
            <w:tcW w:w="2977" w:type="dxa"/>
            <w:tcBorders>
              <w:top w:val="single" w:color="000000" w:sz="4" w:space="0"/>
              <w:left w:val="nil"/>
              <w:bottom w:val="single" w:color="000000" w:sz="4" w:space="0"/>
              <w:right w:val="single" w:color="000000" w:sz="4" w:space="0"/>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鉴</w:t>
            </w:r>
            <w:r>
              <w:rPr>
                <w:rFonts w:ascii="微软雅黑" w:hAnsi="微软雅黑" w:eastAsia="微软雅黑" w:cs="宋体"/>
                <w:bCs/>
                <w:color w:val="000000"/>
                <w:kern w:val="0"/>
                <w:sz w:val="18"/>
                <w:szCs w:val="18"/>
              </w:rPr>
              <w:t xml:space="preserve"> ( </w:t>
            </w:r>
            <w:r>
              <w:rPr>
                <w:rFonts w:hint="eastAsia" w:ascii="微软雅黑" w:hAnsi="微软雅黑" w:eastAsia="微软雅黑" w:cs="宋体"/>
                <w:bCs/>
                <w:color w:val="000000"/>
                <w:kern w:val="0"/>
                <w:sz w:val="18"/>
                <w:szCs w:val="18"/>
              </w:rPr>
              <w:t>公证实行自愿原则</w:t>
            </w:r>
            <w:r>
              <w:rPr>
                <w:rFonts w:ascii="微软雅黑" w:hAnsi="微软雅黑" w:eastAsia="微软雅黑" w:cs="宋体"/>
                <w:bCs/>
                <w:color w:val="000000"/>
                <w:kern w:val="0"/>
                <w:sz w:val="18"/>
                <w:szCs w:val="18"/>
              </w:rPr>
              <w:t xml:space="preserve"> )</w:t>
            </w:r>
          </w:p>
        </w:tc>
      </w:tr>
      <w:tr>
        <w:tblPrEx>
          <w:tblCellMar>
            <w:top w:w="0" w:type="dxa"/>
            <w:left w:w="108" w:type="dxa"/>
            <w:bottom w:w="0" w:type="dxa"/>
            <w:right w:w="108" w:type="dxa"/>
          </w:tblCellMar>
        </w:tblPrEx>
        <w:trPr>
          <w:trHeight w:val="360" w:hRule="atLeast"/>
          <w:jc w:val="center"/>
        </w:trPr>
        <w:tc>
          <w:tcPr>
            <w:tcW w:w="9640" w:type="dxa"/>
            <w:gridSpan w:val="3"/>
            <w:tcBorders>
              <w:top w:val="nil"/>
              <w:left w:val="nil"/>
              <w:bottom w:val="nil"/>
              <w:right w:val="nil"/>
            </w:tcBorders>
            <w:noWrap/>
            <w:vAlign w:val="center"/>
          </w:tcPr>
          <w:p>
            <w:pPr>
              <w:widowControl/>
              <w:spacing w:line="0" w:lineRule="atLeast"/>
              <w:jc w:val="left"/>
              <w:rPr>
                <w:rFonts w:ascii="微软雅黑" w:hAnsi="微软雅黑" w:eastAsia="微软雅黑" w:cs="宋体"/>
                <w:bCs/>
                <w:color w:val="000000"/>
                <w:kern w:val="0"/>
                <w:sz w:val="18"/>
                <w:szCs w:val="18"/>
              </w:rPr>
            </w:pPr>
            <w:r>
              <w:rPr>
                <w:rFonts w:hint="eastAsia" w:ascii="微软雅黑" w:hAnsi="微软雅黑" w:eastAsia="微软雅黑" w:cs="宋体"/>
                <w:bCs/>
                <w:color w:val="000000"/>
                <w:kern w:val="0"/>
                <w:sz w:val="18"/>
                <w:szCs w:val="18"/>
              </w:rPr>
              <w:t>本合同有效期自2022年 月  日至       年    月  日止</w:t>
            </w:r>
          </w:p>
        </w:tc>
      </w:tr>
    </w:tbl>
    <w:p>
      <w:pPr>
        <w:spacing w:line="0" w:lineRule="atLeast"/>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spacing w:line="500" w:lineRule="exact"/>
        <w:ind w:firstLine="3373" w:firstLineChars="1050"/>
        <w:rPr>
          <w:rFonts w:asciiTheme="majorEastAsia" w:hAnsiTheme="majorEastAsia" w:eastAsiaTheme="majorEastAsia"/>
          <w:b/>
          <w:bCs/>
          <w:color w:val="000000" w:themeColor="text1"/>
          <w:sz w:val="32"/>
          <w:szCs w:val="32"/>
        </w:rPr>
      </w:pPr>
    </w:p>
    <w:p>
      <w:pPr>
        <w:rPr>
          <w:rFonts w:asciiTheme="majorEastAsia" w:hAnsiTheme="majorEastAsia" w:eastAsiaTheme="majorEastAsia"/>
          <w:b/>
          <w:bCs/>
          <w:color w:val="000000" w:themeColor="text1"/>
          <w:sz w:val="32"/>
          <w:szCs w:val="32"/>
        </w:rPr>
      </w:pPr>
      <w:r>
        <w:rPr>
          <w:rFonts w:asciiTheme="majorEastAsia" w:hAnsiTheme="majorEastAsia" w:eastAsiaTheme="majorEastAsia"/>
          <w:b/>
          <w:bCs/>
          <w:color w:val="000000" w:themeColor="text1"/>
          <w:sz w:val="32"/>
          <w:szCs w:val="32"/>
        </w:rPr>
        <w:br w:type="page"/>
      </w:r>
    </w:p>
    <w:p>
      <w:pPr>
        <w:bidi w:val="0"/>
        <w:rPr>
          <w:b/>
          <w:bCs/>
          <w:sz w:val="24"/>
          <w:szCs w:val="24"/>
        </w:rPr>
      </w:pPr>
      <w:r>
        <w:rPr>
          <w:rFonts w:hint="eastAsia"/>
          <w:b/>
          <w:bCs/>
          <w:sz w:val="24"/>
          <w:szCs w:val="24"/>
        </w:rPr>
        <w:t>附件一</w:t>
      </w:r>
    </w:p>
    <w:p>
      <w:pPr>
        <w:spacing w:line="500" w:lineRule="exact"/>
        <w:jc w:val="center"/>
        <w:rPr>
          <w:rFonts w:asciiTheme="majorEastAsia" w:hAnsiTheme="majorEastAsia" w:eastAsiaTheme="majorEastAsia"/>
          <w:bCs/>
          <w:color w:val="000000" w:themeColor="text1"/>
          <w:sz w:val="32"/>
          <w:szCs w:val="32"/>
        </w:rPr>
      </w:pPr>
      <w:r>
        <w:rPr>
          <w:rFonts w:hint="eastAsia" w:asciiTheme="majorEastAsia" w:hAnsiTheme="majorEastAsia" w:eastAsiaTheme="majorEastAsia"/>
          <w:bCs/>
          <w:color w:val="000000" w:themeColor="text1"/>
          <w:sz w:val="32"/>
          <w:szCs w:val="32"/>
        </w:rPr>
        <w:t>法定代表人授权委托书</w:t>
      </w:r>
    </w:p>
    <w:p>
      <w:pPr>
        <w:spacing w:line="500" w:lineRule="exact"/>
        <w:rPr>
          <w:rFonts w:asciiTheme="majorEastAsia" w:hAnsiTheme="majorEastAsia" w:eastAsiaTheme="majorEastAsia"/>
          <w:color w:val="000000" w:themeColor="text1"/>
          <w:sz w:val="32"/>
        </w:rPr>
      </w:pPr>
    </w:p>
    <w:p>
      <w:pPr>
        <w:spacing w:line="560" w:lineRule="exact"/>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成都光明派特贵金属有限公司：</w:t>
      </w:r>
    </w:p>
    <w:p>
      <w:pPr>
        <w:spacing w:line="560" w:lineRule="exact"/>
        <w:ind w:firstLine="480" w:firstLineChars="200"/>
        <w:rPr>
          <w:rFonts w:asciiTheme="majorEastAsia" w:hAnsiTheme="majorEastAsia" w:eastAsiaTheme="majorEastAsia"/>
          <w:color w:val="000000" w:themeColor="text1"/>
          <w:sz w:val="24"/>
        </w:rPr>
      </w:pPr>
      <w:r>
        <w:rPr>
          <w:rFonts w:asciiTheme="majorEastAsia" w:hAnsiTheme="majorEastAsia" w:eastAsiaTheme="majorEastAsia"/>
          <w:color w:val="000000" w:themeColor="text1"/>
          <w:sz w:val="24"/>
          <w:u w:val="single"/>
        </w:rPr>
        <w:t xml:space="preserve">                  </w:t>
      </w:r>
      <w:r>
        <w:rPr>
          <w:rFonts w:hint="eastAsia" w:asciiTheme="majorEastAsia" w:hAnsiTheme="majorEastAsia" w:eastAsiaTheme="majorEastAsia"/>
          <w:color w:val="000000" w:themeColor="text1"/>
          <w:sz w:val="24"/>
        </w:rPr>
        <w:t>（单位名称）法定代表人授权我单位</w:t>
      </w:r>
      <w:r>
        <w:rPr>
          <w:rFonts w:asciiTheme="majorEastAsia" w:hAnsiTheme="majorEastAsia" w:eastAsiaTheme="majorEastAsia"/>
          <w:color w:val="000000" w:themeColor="text1"/>
          <w:sz w:val="24"/>
        </w:rPr>
        <w:t xml:space="preserve"> </w:t>
      </w:r>
      <w:r>
        <w:rPr>
          <w:rFonts w:asciiTheme="majorEastAsia" w:hAnsiTheme="majorEastAsia" w:eastAsiaTheme="majorEastAsia"/>
          <w:color w:val="000000" w:themeColor="text1"/>
          <w:sz w:val="24"/>
          <w:u w:val="single"/>
        </w:rPr>
        <w:t xml:space="preserve">                   </w:t>
      </w:r>
    </w:p>
    <w:p>
      <w:pPr>
        <w:pStyle w:val="6"/>
        <w:spacing w:after="0" w:line="560" w:lineRule="exact"/>
        <w:ind w:left="0" w:leftChars="0" w:firstLine="200"/>
        <w:rPr>
          <w:rFonts w:asciiTheme="majorEastAsia" w:hAnsiTheme="majorEastAsia" w:eastAsiaTheme="majorEastAsia"/>
          <w:color w:val="000000" w:themeColor="text1"/>
        </w:rPr>
      </w:pPr>
      <w:r>
        <w:rPr>
          <w:rFonts w:asciiTheme="majorEastAsia" w:hAnsiTheme="majorEastAsia" w:eastAsiaTheme="majorEastAsia"/>
          <w:color w:val="000000" w:themeColor="text1"/>
          <w:u w:val="single"/>
        </w:rPr>
        <w:t xml:space="preserve">          </w:t>
      </w:r>
      <w:r>
        <w:rPr>
          <w:rFonts w:hint="eastAsia" w:asciiTheme="majorEastAsia" w:hAnsiTheme="majorEastAsia" w:eastAsiaTheme="majorEastAsia"/>
          <w:color w:val="000000" w:themeColor="text1"/>
        </w:rPr>
        <w:t>（职务或职称）</w:t>
      </w:r>
      <w:r>
        <w:rPr>
          <w:rFonts w:asciiTheme="majorEastAsia" w:hAnsiTheme="majorEastAsia" w:eastAsiaTheme="majorEastAsia"/>
          <w:color w:val="000000" w:themeColor="text1"/>
          <w:u w:val="single"/>
        </w:rPr>
        <w:t xml:space="preserve">        </w:t>
      </w:r>
      <w:r>
        <w:rPr>
          <w:rFonts w:hint="eastAsia" w:asciiTheme="majorEastAsia" w:hAnsiTheme="majorEastAsia" w:eastAsiaTheme="majorEastAsia"/>
          <w:color w:val="000000" w:themeColor="text1"/>
        </w:rPr>
        <w:t>（姓名）为我单位本次授权代理人，全权处理此次</w:t>
      </w:r>
      <w:r>
        <w:rPr>
          <w:rFonts w:hint="eastAsia" w:asciiTheme="majorEastAsia" w:hAnsiTheme="majorEastAsia" w:eastAsiaTheme="majorEastAsia"/>
          <w:color w:val="000000" w:themeColor="text1"/>
          <w:u w:val="single"/>
        </w:rPr>
        <w:t>　　　　　　　　　　</w:t>
      </w:r>
      <w:r>
        <w:rPr>
          <w:rFonts w:hint="eastAsia" w:asciiTheme="majorEastAsia" w:hAnsiTheme="majorEastAsia" w:eastAsiaTheme="majorEastAsia"/>
          <w:color w:val="000000" w:themeColor="text1"/>
        </w:rPr>
        <w:t>项目</w:t>
      </w:r>
      <w:r>
        <w:rPr>
          <w:rFonts w:hint="eastAsia" w:asciiTheme="majorEastAsia" w:hAnsiTheme="majorEastAsia" w:eastAsiaTheme="majorEastAsia"/>
          <w:color w:val="000000" w:themeColor="text1"/>
          <w:kern w:val="10"/>
        </w:rPr>
        <w:t>询价</w:t>
      </w:r>
      <w:r>
        <w:rPr>
          <w:rFonts w:hint="eastAsia" w:asciiTheme="majorEastAsia" w:hAnsiTheme="majorEastAsia" w:eastAsiaTheme="majorEastAsia"/>
          <w:color w:val="000000" w:themeColor="text1"/>
        </w:rPr>
        <w:t>活动的一切事宜。</w:t>
      </w:r>
    </w:p>
    <w:p>
      <w:pPr>
        <w:spacing w:line="560" w:lineRule="exact"/>
        <w:ind w:firstLine="63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特此授权</w:t>
      </w:r>
    </w:p>
    <w:p>
      <w:pPr>
        <w:spacing w:line="560" w:lineRule="exact"/>
        <w:ind w:firstLine="60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（附法定代表人、授权代理人身份证明复印件）</w:t>
      </w:r>
    </w:p>
    <w:p>
      <w:pPr>
        <w:spacing w:line="500" w:lineRule="exact"/>
        <w:ind w:firstLine="630"/>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单位名称（公章）：</w:t>
      </w:r>
      <w:r>
        <w:rPr>
          <w:rFonts w:asciiTheme="majorEastAsia" w:hAnsiTheme="majorEastAsia" w:eastAsiaTheme="majorEastAsia"/>
          <w:color w:val="000000" w:themeColor="text1"/>
          <w:sz w:val="24"/>
          <w:u w:val="single"/>
        </w:rPr>
        <w:t xml:space="preserve">                   </w:t>
      </w:r>
    </w:p>
    <w:p>
      <w:pPr>
        <w:spacing w:line="500" w:lineRule="exact"/>
        <w:ind w:firstLine="629"/>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法定代表人（签字、印章）：</w:t>
      </w:r>
      <w:r>
        <w:rPr>
          <w:rFonts w:asciiTheme="majorEastAsia" w:hAnsiTheme="majorEastAsia" w:eastAsiaTheme="majorEastAsia"/>
          <w:color w:val="000000" w:themeColor="text1"/>
          <w:sz w:val="24"/>
          <w:u w:val="single"/>
        </w:rPr>
        <w:t xml:space="preserve">                   </w:t>
      </w:r>
    </w:p>
    <w:p>
      <w:pPr>
        <w:spacing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法定代表授权人签字：</w:t>
      </w:r>
      <w:r>
        <w:rPr>
          <w:rFonts w:asciiTheme="majorEastAsia" w:hAnsiTheme="majorEastAsia" w:eastAsiaTheme="majorEastAsia"/>
          <w:color w:val="000000" w:themeColor="text1"/>
          <w:sz w:val="24"/>
          <w:u w:val="single"/>
        </w:rPr>
        <w:t xml:space="preserve">                   </w:t>
      </w:r>
    </w:p>
    <w:p>
      <w:pPr>
        <w:widowControl/>
        <w:snapToGrid w:val="0"/>
        <w:spacing w:before="19"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单位开户行名称（全称）：</w:t>
      </w:r>
      <w:r>
        <w:rPr>
          <w:rFonts w:asciiTheme="majorEastAsia" w:hAnsiTheme="majorEastAsia" w:eastAsiaTheme="majorEastAsia"/>
          <w:color w:val="000000" w:themeColor="text1"/>
          <w:sz w:val="24"/>
          <w:u w:val="single"/>
        </w:rPr>
        <w:t xml:space="preserve">                   </w:t>
      </w:r>
    </w:p>
    <w:p>
      <w:pPr>
        <w:widowControl/>
        <w:snapToGrid w:val="0"/>
        <w:spacing w:before="19" w:line="500" w:lineRule="exact"/>
        <w:rPr>
          <w:rFonts w:asciiTheme="majorEastAsia" w:hAnsiTheme="majorEastAsia" w:eastAsiaTheme="majorEastAsia"/>
          <w:color w:val="000000" w:themeColor="text1"/>
          <w:sz w:val="24"/>
        </w:rPr>
      </w:pPr>
    </w:p>
    <w:p>
      <w:pPr>
        <w:widowControl/>
        <w:snapToGrid w:val="0"/>
        <w:spacing w:before="19" w:line="500" w:lineRule="exact"/>
        <w:ind w:firstLine="600" w:firstLineChars="250"/>
        <w:rPr>
          <w:rFonts w:asciiTheme="majorEastAsia" w:hAnsiTheme="majorEastAsia" w:eastAsiaTheme="majorEastAsia"/>
          <w:color w:val="000000" w:themeColor="text1"/>
          <w:sz w:val="24"/>
        </w:rPr>
      </w:pPr>
      <w:r>
        <w:rPr>
          <w:rFonts w:hint="eastAsia" w:asciiTheme="majorEastAsia" w:hAnsiTheme="majorEastAsia" w:eastAsiaTheme="majorEastAsia"/>
          <w:color w:val="000000" w:themeColor="text1"/>
          <w:sz w:val="24"/>
        </w:rPr>
        <w:t>单位基本户帐号：</w:t>
      </w:r>
      <w:r>
        <w:rPr>
          <w:rFonts w:asciiTheme="majorEastAsia" w:hAnsiTheme="majorEastAsia" w:eastAsiaTheme="majorEastAsia"/>
          <w:color w:val="000000" w:themeColor="text1"/>
          <w:sz w:val="24"/>
          <w:u w:val="single"/>
        </w:rPr>
        <w:t xml:space="preserve">                          </w:t>
      </w: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pPr>
    </w:p>
    <w:p>
      <w:pPr>
        <w:spacing w:line="500" w:lineRule="exact"/>
        <w:rPr>
          <w:rFonts w:asciiTheme="majorEastAsia" w:hAnsiTheme="majorEastAsia" w:eastAsiaTheme="majorEastAsia"/>
          <w:b/>
          <w:color w:val="000000" w:themeColor="text1"/>
          <w:sz w:val="30"/>
          <w:szCs w:val="30"/>
        </w:rPr>
        <w:sectPr>
          <w:footerReference r:id="rId3" w:type="default"/>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pPr>
    </w:p>
    <w:p>
      <w:pPr>
        <w:bidi w:val="0"/>
        <w:rPr>
          <w:rFonts w:hint="default"/>
          <w:lang w:val="en-US" w:eastAsia="zh-CN"/>
        </w:rPr>
      </w:pPr>
      <w:r>
        <w:rPr>
          <w:rFonts w:hint="eastAsia"/>
          <w:b/>
          <w:bCs/>
          <w:sz w:val="24"/>
          <w:szCs w:val="24"/>
        </w:rPr>
        <w:t>附件二</w:t>
      </w:r>
      <w:r>
        <w:rPr>
          <w:rFonts w:hint="eastAsia"/>
          <w:b/>
          <w:bCs/>
          <w:sz w:val="24"/>
          <w:szCs w:val="24"/>
          <w:lang w:val="en-US" w:eastAsia="zh-CN"/>
        </w:rPr>
        <w:t xml:space="preserve"> </w:t>
      </w:r>
      <w:r>
        <w:rPr>
          <w:rFonts w:hint="eastAsia"/>
          <w:lang w:val="en-US" w:eastAsia="zh-CN"/>
        </w:rPr>
        <w:t xml:space="preserve">                                    </w:t>
      </w:r>
      <w:r>
        <w:rPr>
          <w:rFonts w:hint="eastAsia"/>
          <w:b/>
          <w:bCs/>
          <w:sz w:val="24"/>
          <w:szCs w:val="24"/>
          <w:lang w:val="en-US" w:eastAsia="zh-CN"/>
        </w:rPr>
        <w:t xml:space="preserve">        化工产品明细报价表</w:t>
      </w:r>
    </w:p>
    <w:tbl>
      <w:tblPr>
        <w:tblStyle w:val="16"/>
        <w:tblW w:w="156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2372"/>
        <w:gridCol w:w="2060"/>
        <w:gridCol w:w="1051"/>
        <w:gridCol w:w="1080"/>
        <w:gridCol w:w="1275"/>
        <w:gridCol w:w="3507"/>
        <w:gridCol w:w="34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jc w:val="center"/>
        </w:trPr>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类别</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品</w:t>
            </w:r>
            <w:r>
              <w:rPr>
                <w:rStyle w:val="37"/>
                <w:rFonts w:eastAsia="宋体"/>
                <w:lang w:val="en-US" w:eastAsia="zh-CN" w:bidi="ar"/>
              </w:rPr>
              <w:t xml:space="preserve">   </w:t>
            </w:r>
            <w:r>
              <w:rPr>
                <w:rStyle w:val="38"/>
                <w:lang w:val="en-US" w:eastAsia="zh-CN" w:bidi="ar"/>
              </w:rPr>
              <w:t>名</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w:t>
            </w:r>
            <w:r>
              <w:rPr>
                <w:rStyle w:val="37"/>
                <w:rFonts w:eastAsia="宋体"/>
                <w:lang w:val="en-US" w:eastAsia="zh-CN" w:bidi="ar"/>
              </w:rPr>
              <w:t xml:space="preserve">     </w:t>
            </w:r>
            <w:r>
              <w:rPr>
                <w:rStyle w:val="38"/>
                <w:lang w:val="en-US" w:eastAsia="zh-CN" w:bidi="ar"/>
              </w:rPr>
              <w:t>格</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单价（元）</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w:t>
            </w:r>
            <w:r>
              <w:rPr>
                <w:rStyle w:val="37"/>
                <w:rFonts w:eastAsia="宋体"/>
                <w:lang w:val="en-US" w:eastAsia="zh-CN" w:bidi="ar"/>
              </w:rPr>
              <w:t xml:space="preserve"> </w:t>
            </w:r>
            <w:r>
              <w:rPr>
                <w:rStyle w:val="38"/>
                <w:lang w:val="en-US" w:eastAsia="zh-CN" w:bidi="ar"/>
              </w:rPr>
              <w:t>位</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年预计使用量</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产品指标要求</w:t>
            </w:r>
          </w:p>
        </w:tc>
        <w:tc>
          <w:tcPr>
            <w:tcW w:w="34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资质要求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622-2006</w:t>
            </w:r>
          </w:p>
        </w:tc>
        <w:tc>
          <w:tcPr>
            <w:tcW w:w="3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r>
              <w:rPr>
                <w:rStyle w:val="39"/>
                <w:rFonts w:hint="eastAsia" w:ascii="宋体" w:hAnsi="宋体" w:eastAsia="宋体" w:cs="宋体"/>
                <w:sz w:val="24"/>
                <w:szCs w:val="24"/>
                <w:lang w:val="en-US" w:eastAsia="zh-CN" w:bidi="ar"/>
              </w:rPr>
              <w:t>、非药品类易制毒化学品经营备案证明</w:t>
            </w:r>
            <w:r>
              <w:rPr>
                <w:rStyle w:val="40"/>
                <w:rFonts w:hint="eastAsia" w:ascii="宋体" w:hAnsi="宋体" w:eastAsia="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2</w:t>
            </w:r>
            <w:r>
              <w:rPr>
                <w:rStyle w:val="39"/>
                <w:rFonts w:hint="eastAsia" w:ascii="宋体" w:hAnsi="宋体" w:eastAsia="宋体" w:cs="宋体"/>
                <w:sz w:val="24"/>
                <w:szCs w:val="24"/>
                <w:lang w:val="en-US" w:eastAsia="zh-CN" w:bidi="ar"/>
              </w:rPr>
              <w:t>、有效的工商营业执照副本复印件</w:t>
            </w:r>
            <w:r>
              <w:rPr>
                <w:rStyle w:val="39"/>
                <w:rFonts w:hint="eastAsia" w:ascii="宋体" w:hAnsi="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3</w:t>
            </w:r>
            <w:r>
              <w:rPr>
                <w:rStyle w:val="39"/>
                <w:rFonts w:hint="eastAsia" w:ascii="宋体" w:hAnsi="宋体" w:eastAsia="宋体" w:cs="宋体"/>
                <w:sz w:val="24"/>
                <w:szCs w:val="24"/>
                <w:lang w:val="en-US" w:eastAsia="zh-CN" w:bidi="ar"/>
              </w:rPr>
              <w:t>、危险化学品经营许可证</w:t>
            </w:r>
            <w:r>
              <w:rPr>
                <w:rStyle w:val="40"/>
                <w:rFonts w:hint="eastAsia" w:ascii="宋体" w:hAnsi="宋体" w:eastAsia="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4</w:t>
            </w:r>
            <w:r>
              <w:rPr>
                <w:rStyle w:val="39"/>
                <w:rFonts w:hint="eastAsia" w:ascii="宋体" w:hAnsi="宋体" w:eastAsia="宋体" w:cs="宋体"/>
                <w:sz w:val="24"/>
                <w:szCs w:val="24"/>
                <w:lang w:val="en-US" w:eastAsia="zh-CN" w:bidi="ar"/>
              </w:rPr>
              <w:t>、安全生产许可证</w:t>
            </w:r>
            <w:r>
              <w:rPr>
                <w:rStyle w:val="39"/>
                <w:rFonts w:hint="eastAsia" w:ascii="宋体" w:hAnsi="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5</w:t>
            </w:r>
            <w:r>
              <w:rPr>
                <w:rStyle w:val="39"/>
                <w:rFonts w:hint="eastAsia" w:ascii="宋体" w:hAnsi="宋体" w:eastAsia="宋体" w:cs="宋体"/>
                <w:sz w:val="24"/>
                <w:szCs w:val="24"/>
                <w:lang w:val="en-US" w:eastAsia="zh-CN" w:bidi="ar"/>
              </w:rPr>
              <w:t>、排放污染物许可证</w:t>
            </w:r>
            <w:r>
              <w:rPr>
                <w:rStyle w:val="39"/>
                <w:rFonts w:hint="eastAsia" w:ascii="宋体" w:hAnsi="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6</w:t>
            </w:r>
            <w:r>
              <w:rPr>
                <w:rStyle w:val="39"/>
                <w:rFonts w:hint="eastAsia" w:ascii="宋体" w:hAnsi="宋体" w:eastAsia="宋体" w:cs="宋体"/>
                <w:sz w:val="24"/>
                <w:szCs w:val="24"/>
                <w:lang w:val="en-US" w:eastAsia="zh-CN" w:bidi="ar"/>
              </w:rPr>
              <w:t>、道路运输许可证</w:t>
            </w:r>
            <w:r>
              <w:rPr>
                <w:rStyle w:val="39"/>
                <w:rFonts w:hint="eastAsia" w:ascii="宋体" w:hAnsi="宋体" w:cs="宋体"/>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工业级 </w:t>
            </w:r>
            <w:r>
              <w:rPr>
                <w:rStyle w:val="41"/>
                <w:rFonts w:hint="eastAsia" w:ascii="宋体" w:hAnsi="宋体" w:eastAsia="宋体" w:cs="宋体"/>
                <w:sz w:val="24"/>
                <w:szCs w:val="24"/>
                <w:lang w:val="en-US" w:eastAsia="zh-CN" w:bidi="ar"/>
              </w:rPr>
              <w:t>25Kg/</w:t>
            </w:r>
            <w:r>
              <w:rPr>
                <w:rStyle w:val="39"/>
                <w:rFonts w:hint="eastAsia" w:ascii="宋体" w:hAnsi="宋体" w:eastAsia="宋体" w:cs="宋体"/>
                <w:sz w:val="24"/>
                <w:szCs w:val="24"/>
                <w:lang w:val="en-US" w:eastAsia="zh-CN" w:bidi="ar"/>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GB320-2006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盐酸（含量</w:t>
            </w:r>
            <w:r>
              <w:rPr>
                <w:rStyle w:val="41"/>
                <w:rFonts w:hint="eastAsia" w:ascii="宋体" w:hAnsi="宋体" w:eastAsia="宋体" w:cs="宋体"/>
                <w:sz w:val="24"/>
                <w:szCs w:val="24"/>
                <w:lang w:val="en-US" w:eastAsia="zh-CN" w:bidi="ar"/>
              </w:rPr>
              <w:t>36-38)</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CP 25Kg/</w:t>
            </w:r>
            <w:r>
              <w:rPr>
                <w:rStyle w:val="39"/>
                <w:rFonts w:hint="eastAsia" w:ascii="宋体" w:hAnsi="宋体" w:eastAsia="宋体" w:cs="宋体"/>
                <w:sz w:val="24"/>
                <w:szCs w:val="24"/>
                <w:lang w:val="en-US" w:eastAsia="zh-CN" w:bidi="ar"/>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622-2006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硝酸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626-2006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硝酸</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CP 2500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626-2006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水合肼</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HGT 3259-2012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8"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水合肼</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工业级 25kg/桶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HGT 3259-2012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B</w:t>
            </w: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盐酸联氨</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25L/</w:t>
            </w:r>
            <w:r>
              <w:rPr>
                <w:rStyle w:val="39"/>
                <w:rFonts w:hint="eastAsia" w:ascii="宋体" w:hAnsi="宋体" w:eastAsia="宋体" w:cs="宋体"/>
                <w:sz w:val="24"/>
                <w:szCs w:val="24"/>
                <w:lang w:val="en-US" w:eastAsia="zh-CN" w:bidi="ar"/>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300</w:t>
            </w:r>
            <w:r>
              <w:rPr>
                <w:rStyle w:val="39"/>
                <w:rFonts w:hint="eastAsia" w:ascii="宋体" w:hAnsi="宋体" w:eastAsia="宋体" w:cs="宋体"/>
                <w:sz w:val="24"/>
                <w:szCs w:val="24"/>
                <w:lang w:val="en-US" w:eastAsia="zh-CN" w:bidi="ar"/>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w:t>
            </w:r>
            <w:r>
              <w:rPr>
                <w:rStyle w:val="41"/>
                <w:rFonts w:hint="eastAsia" w:ascii="宋体" w:hAnsi="宋体" w:eastAsia="宋体" w:cs="宋体"/>
                <w:sz w:val="24"/>
                <w:szCs w:val="24"/>
                <w:lang w:val="en-US" w:eastAsia="zh-CN" w:bidi="ar"/>
              </w:rPr>
              <w:t>/T 697-1977</w:t>
            </w:r>
          </w:p>
        </w:tc>
        <w:tc>
          <w:tcPr>
            <w:tcW w:w="34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r>
              <w:rPr>
                <w:rStyle w:val="39"/>
                <w:rFonts w:hint="eastAsia" w:ascii="宋体" w:hAnsi="宋体" w:eastAsia="宋体" w:cs="宋体"/>
                <w:sz w:val="24"/>
                <w:szCs w:val="24"/>
                <w:lang w:val="en-US" w:eastAsia="zh-CN" w:bidi="ar"/>
              </w:rPr>
              <w:t>、非药品类易制毒化学品经营备案证明</w:t>
            </w:r>
            <w:r>
              <w:rPr>
                <w:rStyle w:val="40"/>
                <w:rFonts w:hint="eastAsia" w:ascii="宋体" w:hAnsi="宋体" w:eastAsia="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2</w:t>
            </w:r>
            <w:r>
              <w:rPr>
                <w:rStyle w:val="39"/>
                <w:rFonts w:hint="eastAsia" w:ascii="宋体" w:hAnsi="宋体" w:eastAsia="宋体" w:cs="宋体"/>
                <w:sz w:val="24"/>
                <w:szCs w:val="24"/>
                <w:lang w:val="en-US" w:eastAsia="zh-CN" w:bidi="ar"/>
              </w:rPr>
              <w:t>、有效的工商营业执照副本复印件</w:t>
            </w:r>
            <w:r>
              <w:rPr>
                <w:rStyle w:val="39"/>
                <w:rFonts w:hint="eastAsia" w:ascii="宋体" w:hAnsi="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3</w:t>
            </w:r>
            <w:r>
              <w:rPr>
                <w:rStyle w:val="39"/>
                <w:rFonts w:hint="eastAsia" w:ascii="宋体" w:hAnsi="宋体" w:eastAsia="宋体" w:cs="宋体"/>
                <w:sz w:val="24"/>
                <w:szCs w:val="24"/>
                <w:lang w:val="en-US" w:eastAsia="zh-CN" w:bidi="ar"/>
              </w:rPr>
              <w:t>、危险化学品经营许可证</w:t>
            </w:r>
            <w:r>
              <w:rPr>
                <w:rStyle w:val="40"/>
                <w:rFonts w:hint="eastAsia" w:ascii="宋体" w:hAnsi="宋体" w:eastAsia="宋体" w:cs="宋体"/>
                <w:sz w:val="24"/>
                <w:szCs w:val="24"/>
                <w:lang w:val="en-US" w:eastAsia="zh-CN" w:bidi="ar"/>
              </w:rPr>
              <w:t>;</w:t>
            </w:r>
            <w:r>
              <w:rPr>
                <w:rStyle w:val="40"/>
                <w:rFonts w:hint="eastAsia" w:ascii="宋体" w:hAnsi="宋体" w:eastAsia="宋体" w:cs="宋体"/>
                <w:sz w:val="24"/>
                <w:szCs w:val="24"/>
                <w:lang w:val="en-US" w:eastAsia="zh-CN" w:bidi="ar"/>
              </w:rPr>
              <w:br w:type="textWrapping"/>
            </w:r>
            <w:r>
              <w:rPr>
                <w:rStyle w:val="40"/>
                <w:rFonts w:hint="eastAsia" w:ascii="宋体" w:hAnsi="宋体" w:eastAsia="宋体" w:cs="宋体"/>
                <w:sz w:val="24"/>
                <w:szCs w:val="24"/>
                <w:lang w:val="en-US" w:eastAsia="zh-CN" w:bidi="ar"/>
              </w:rPr>
              <w:t>4</w:t>
            </w:r>
            <w:r>
              <w:rPr>
                <w:rStyle w:val="39"/>
                <w:rFonts w:hint="eastAsia" w:ascii="宋体" w:hAnsi="宋体" w:eastAsia="宋体" w:cs="宋体"/>
                <w:sz w:val="24"/>
                <w:szCs w:val="24"/>
                <w:lang w:val="en-US" w:eastAsia="zh-CN" w:bidi="ar"/>
              </w:rPr>
              <w:t>、道路运输许可证</w:t>
            </w:r>
            <w:r>
              <w:rPr>
                <w:rStyle w:val="39"/>
                <w:rFonts w:hint="eastAsia" w:ascii="宋体" w:hAnsi="宋体" w:cs="宋体"/>
                <w:sz w:val="24"/>
                <w:szCs w:val="24"/>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氢氧化钾</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25kg/</w:t>
            </w:r>
            <w:r>
              <w:rPr>
                <w:rStyle w:val="39"/>
                <w:rFonts w:hint="eastAsia" w:ascii="宋体" w:hAnsi="宋体" w:eastAsia="宋体" w:cs="宋体"/>
                <w:sz w:val="24"/>
                <w:szCs w:val="24"/>
                <w:lang w:val="en-US" w:eastAsia="zh-CN" w:bidi="ar"/>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2306-2008</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氯化铵</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优级纯 25kg/袋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658-2006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无水乙醇</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w:t>
            </w:r>
            <w:r>
              <w:rPr>
                <w:rStyle w:val="39"/>
                <w:rFonts w:hint="eastAsia" w:ascii="宋体" w:hAnsi="宋体" w:eastAsia="宋体" w:cs="宋体"/>
                <w:sz w:val="24"/>
                <w:szCs w:val="24"/>
                <w:lang w:val="en-US" w:eastAsia="zh-CN" w:bidi="ar"/>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678-2002</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氨水</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w:t>
            </w:r>
            <w:r>
              <w:rPr>
                <w:rStyle w:val="39"/>
                <w:rFonts w:hint="eastAsia" w:ascii="宋体" w:hAnsi="宋体" w:eastAsia="宋体" w:cs="宋体"/>
                <w:sz w:val="24"/>
                <w:szCs w:val="24"/>
                <w:lang w:val="en-US" w:eastAsia="zh-CN" w:bidi="ar"/>
              </w:rPr>
              <w:t>升</w:t>
            </w:r>
            <w:r>
              <w:rPr>
                <w:rStyle w:val="41"/>
                <w:rFonts w:hint="eastAsia" w:ascii="宋体" w:hAnsi="宋体" w:eastAsia="宋体" w:cs="宋体"/>
                <w:sz w:val="24"/>
                <w:szCs w:val="24"/>
                <w:lang w:val="en-US" w:eastAsia="zh-CN" w:bidi="ar"/>
              </w:rPr>
              <w:t>/</w:t>
            </w:r>
            <w:r>
              <w:rPr>
                <w:rStyle w:val="39"/>
                <w:rFonts w:hint="eastAsia" w:ascii="宋体" w:hAnsi="宋体" w:eastAsia="宋体" w:cs="宋体"/>
                <w:sz w:val="24"/>
                <w:szCs w:val="24"/>
                <w:lang w:val="en-US" w:eastAsia="zh-CN" w:bidi="ar"/>
              </w:rPr>
              <w:t>桶</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L</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700</w:t>
            </w:r>
            <w:r>
              <w:rPr>
                <w:rStyle w:val="39"/>
                <w:rFonts w:hint="eastAsia" w:ascii="宋体" w:hAnsi="宋体" w:eastAsia="宋体" w:cs="宋体"/>
                <w:sz w:val="24"/>
                <w:szCs w:val="24"/>
                <w:lang w:val="en-US" w:eastAsia="zh-CN" w:bidi="ar"/>
              </w:rPr>
              <w:t>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631-2007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氨水</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2500</w:t>
            </w:r>
            <w:r>
              <w:rPr>
                <w:rStyle w:val="39"/>
                <w:rFonts w:hint="eastAsia" w:ascii="宋体" w:hAnsi="宋体" w:eastAsia="宋体" w:cs="宋体"/>
                <w:sz w:val="24"/>
                <w:szCs w:val="24"/>
                <w:lang w:val="en-US" w:eastAsia="zh-CN" w:bidi="ar"/>
              </w:rPr>
              <w:t>毫升</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r>
              <w:rPr>
                <w:rStyle w:val="39"/>
                <w:rFonts w:hint="eastAsia" w:ascii="宋体" w:hAnsi="宋体" w:eastAsia="宋体" w:cs="宋体"/>
                <w:sz w:val="24"/>
                <w:szCs w:val="24"/>
                <w:lang w:val="en-US" w:eastAsia="zh-CN" w:bidi="ar"/>
              </w:rPr>
              <w:t>瓶</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631-2007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氢氧化钠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500</w:t>
            </w:r>
            <w:r>
              <w:rPr>
                <w:rStyle w:val="39"/>
                <w:rFonts w:hint="eastAsia" w:ascii="宋体" w:hAnsi="宋体" w:eastAsia="宋体" w:cs="宋体"/>
                <w:sz w:val="24"/>
                <w:szCs w:val="24"/>
                <w:lang w:val="en-US" w:eastAsia="zh-CN" w:bidi="ar"/>
              </w:rPr>
              <w:t>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瓶</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629-1997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氢氧化钠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CP 25</w:t>
            </w:r>
            <w:r>
              <w:rPr>
                <w:rStyle w:val="39"/>
                <w:rFonts w:hint="eastAsia" w:ascii="宋体" w:hAnsi="宋体" w:eastAsia="宋体" w:cs="宋体"/>
                <w:sz w:val="24"/>
                <w:szCs w:val="24"/>
                <w:lang w:val="en-US" w:eastAsia="zh-CN" w:bidi="ar"/>
              </w:rPr>
              <w:t>公斤/袋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629-1997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亚硝酸钠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AR 25Kg/</w:t>
            </w:r>
            <w:r>
              <w:rPr>
                <w:rStyle w:val="39"/>
                <w:rFonts w:hint="eastAsia" w:ascii="宋体" w:hAnsi="宋体" w:eastAsia="宋体" w:cs="宋体"/>
                <w:sz w:val="24"/>
                <w:szCs w:val="24"/>
                <w:lang w:val="en-US" w:eastAsia="zh-CN" w:bidi="ar"/>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633-1994</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亚硝酸钠</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CP 25Kg/</w:t>
            </w:r>
            <w:r>
              <w:rPr>
                <w:rStyle w:val="39"/>
                <w:rFonts w:hint="eastAsia" w:ascii="宋体" w:hAnsi="宋体" w:eastAsia="宋体" w:cs="宋体"/>
                <w:sz w:val="24"/>
                <w:szCs w:val="24"/>
                <w:lang w:val="en-US" w:eastAsia="zh-CN" w:bidi="ar"/>
              </w:rPr>
              <w:t>袋</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公斤</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800</w:t>
            </w:r>
            <w:r>
              <w:rPr>
                <w:rStyle w:val="39"/>
                <w:rFonts w:hint="eastAsia" w:ascii="宋体" w:hAnsi="宋体" w:eastAsia="宋体" w:cs="宋体"/>
                <w:sz w:val="24"/>
                <w:szCs w:val="24"/>
                <w:lang w:val="en-US" w:eastAsia="zh-CN" w:bidi="ar"/>
              </w:rPr>
              <w:t>公斤</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633-1994</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液体烧碱</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w:t>
            </w:r>
            <w:r>
              <w:rPr>
                <w:rStyle w:val="41"/>
                <w:rFonts w:hint="eastAsia" w:ascii="宋体" w:hAnsi="宋体" w:eastAsia="宋体" w:cs="宋体"/>
                <w:sz w:val="24"/>
                <w:szCs w:val="24"/>
                <w:lang w:val="en-US" w:eastAsia="zh-CN" w:bidi="ar"/>
              </w:rPr>
              <w:t>30</w:t>
            </w:r>
            <w:r>
              <w:rPr>
                <w:rStyle w:val="39"/>
                <w:rFonts w:hint="eastAsia" w:ascii="宋体" w:hAnsi="宋体" w:eastAsia="宋体" w:cs="宋体"/>
                <w:sz w:val="24"/>
                <w:szCs w:val="24"/>
                <w:lang w:val="en-US" w:eastAsia="zh-CN" w:bidi="ar"/>
              </w:rPr>
              <w:t>％</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GB/T </w:t>
            </w:r>
            <w:r>
              <w:rPr>
                <w:rStyle w:val="41"/>
                <w:rFonts w:hint="eastAsia" w:ascii="宋体" w:hAnsi="宋体" w:eastAsia="宋体" w:cs="宋体"/>
                <w:sz w:val="24"/>
                <w:szCs w:val="24"/>
                <w:lang w:val="en-US" w:eastAsia="zh-CN" w:bidi="ar"/>
              </w:rPr>
              <w:t>209-2018</w:t>
            </w:r>
            <w:r>
              <w:rPr>
                <w:rStyle w:val="39"/>
                <w:rFonts w:hint="eastAsia" w:ascii="宋体" w:hAnsi="宋体" w:eastAsia="宋体" w:cs="宋体"/>
                <w:sz w:val="24"/>
                <w:szCs w:val="24"/>
                <w:lang w:val="en-US" w:eastAsia="zh-CN" w:bidi="ar"/>
              </w:rPr>
              <w:t>、</w:t>
            </w:r>
            <w:r>
              <w:rPr>
                <w:rStyle w:val="41"/>
                <w:rFonts w:hint="eastAsia" w:ascii="宋体" w:hAnsi="宋体" w:eastAsia="宋体" w:cs="宋体"/>
                <w:sz w:val="24"/>
                <w:szCs w:val="24"/>
                <w:lang w:val="en-US" w:eastAsia="zh-CN" w:bidi="ar"/>
              </w:rPr>
              <w:t>GB/T11199-2006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次氯酸钠（液体）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无明显杂质</w:t>
            </w:r>
            <w:r>
              <w:rPr>
                <w:rStyle w:val="41"/>
                <w:rFonts w:hint="eastAsia" w:ascii="宋体" w:hAnsi="宋体" w:eastAsia="宋体" w:cs="宋体"/>
                <w:sz w:val="24"/>
                <w:szCs w:val="24"/>
                <w:lang w:val="en-US" w:eastAsia="zh-CN" w:bidi="ar"/>
              </w:rPr>
              <w:t xml:space="preserve"> GB19106-2013</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硫代硫酸钠（液体）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无明显杂质</w:t>
            </w:r>
            <w:r>
              <w:rPr>
                <w:rStyle w:val="41"/>
                <w:rFonts w:hint="eastAsia" w:ascii="宋体" w:hAnsi="宋体" w:eastAsia="宋体" w:cs="宋体"/>
                <w:sz w:val="24"/>
                <w:szCs w:val="24"/>
                <w:lang w:val="en-US" w:eastAsia="zh-CN" w:bidi="ar"/>
              </w:rPr>
              <w:t xml:space="preserve"> HG/T 2328-2006</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硫酸（液体）</w:t>
            </w:r>
          </w:p>
        </w:tc>
        <w:tc>
          <w:tcPr>
            <w:tcW w:w="20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both"/>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吨</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w:t>
            </w:r>
            <w:r>
              <w:rPr>
                <w:rStyle w:val="39"/>
                <w:rFonts w:hint="eastAsia" w:ascii="宋体" w:hAnsi="宋体" w:eastAsia="宋体" w:cs="宋体"/>
                <w:sz w:val="24"/>
                <w:szCs w:val="24"/>
                <w:lang w:val="en-US" w:eastAsia="zh-CN" w:bidi="ar"/>
              </w:rPr>
              <w:t>吨</w:t>
            </w:r>
          </w:p>
        </w:tc>
        <w:tc>
          <w:tcPr>
            <w:tcW w:w="3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GB/T 625-2007</w:t>
            </w:r>
          </w:p>
        </w:tc>
        <w:tc>
          <w:tcPr>
            <w:tcW w:w="34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4"/>
                <w:szCs w:val="24"/>
                <w:u w:val="none"/>
              </w:rPr>
            </w:pPr>
          </w:p>
        </w:tc>
      </w:tr>
    </w:tbl>
    <w:p>
      <w:pPr>
        <w:spacing w:line="500" w:lineRule="exact"/>
        <w:rPr>
          <w:rFonts w:asciiTheme="majorEastAsia" w:hAnsiTheme="majorEastAsia" w:eastAsiaTheme="majorEastAsia"/>
          <w:b/>
          <w:color w:val="000000" w:themeColor="text1"/>
          <w:sz w:val="21"/>
          <w:szCs w:val="21"/>
        </w:rPr>
      </w:pPr>
      <w:r>
        <w:rPr>
          <w:rFonts w:hint="eastAsia" w:asciiTheme="majorEastAsia" w:hAnsiTheme="majorEastAsia" w:eastAsiaTheme="majorEastAsia"/>
          <w:b/>
          <w:color w:val="000000" w:themeColor="text1"/>
          <w:sz w:val="21"/>
          <w:szCs w:val="21"/>
        </w:rPr>
        <w:t>注：1、国家管制的易制毒易制爆产品必须要有资质才能填报价格，否则为废标。2、危化品的运输和罐装必须有资质的单位和人员完成。</w:t>
      </w:r>
    </w:p>
    <w:sectPr>
      <w:pgSz w:w="16838" w:h="11906" w:orient="landscape"/>
      <w:pgMar w:top="1077" w:right="1440" w:bottom="1077" w:left="144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E3E8BA"/>
    <w:multiLevelType w:val="singleLevel"/>
    <w:tmpl w:val="68E3E8BA"/>
    <w:lvl w:ilvl="0" w:tentative="0">
      <w:start w:val="3"/>
      <w:numFmt w:val="chineseCounting"/>
      <w:suff w:val="nothing"/>
      <w:lvlText w:val="%1、"/>
      <w:lvlJc w:val="left"/>
      <w:rPr>
        <w:rFonts w:hint="eastAsia"/>
      </w:rPr>
    </w:lvl>
  </w:abstractNum>
  <w:abstractNum w:abstractNumId="1">
    <w:nsid w:val="7BD60DF2"/>
    <w:multiLevelType w:val="multilevel"/>
    <w:tmpl w:val="7BD60DF2"/>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6"/>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mY5NDI5N2U2YmVjMmIxMGZjNTJkMWRiMzBhOGYzM2MifQ=="/>
  </w:docVars>
  <w:rsids>
    <w:rsidRoot w:val="001D5C5B"/>
    <w:rsid w:val="000059E1"/>
    <w:rsid w:val="000134F5"/>
    <w:rsid w:val="0001707C"/>
    <w:rsid w:val="00026BD2"/>
    <w:rsid w:val="0003284F"/>
    <w:rsid w:val="000359B3"/>
    <w:rsid w:val="00043AB9"/>
    <w:rsid w:val="0004797C"/>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A02CA"/>
    <w:rsid w:val="000A15DE"/>
    <w:rsid w:val="000A26CE"/>
    <w:rsid w:val="000A5947"/>
    <w:rsid w:val="000A5A07"/>
    <w:rsid w:val="000D04B9"/>
    <w:rsid w:val="000D0B49"/>
    <w:rsid w:val="000D54A8"/>
    <w:rsid w:val="000D5571"/>
    <w:rsid w:val="000D5F10"/>
    <w:rsid w:val="000D6E16"/>
    <w:rsid w:val="000E0AC0"/>
    <w:rsid w:val="000E31BB"/>
    <w:rsid w:val="000E4068"/>
    <w:rsid w:val="000F5456"/>
    <w:rsid w:val="000F5A2E"/>
    <w:rsid w:val="001057D4"/>
    <w:rsid w:val="00107961"/>
    <w:rsid w:val="001122E1"/>
    <w:rsid w:val="00113340"/>
    <w:rsid w:val="001273AC"/>
    <w:rsid w:val="00130394"/>
    <w:rsid w:val="00133A60"/>
    <w:rsid w:val="00136914"/>
    <w:rsid w:val="00136FFD"/>
    <w:rsid w:val="001371CF"/>
    <w:rsid w:val="00137FE0"/>
    <w:rsid w:val="00160BF2"/>
    <w:rsid w:val="0016328D"/>
    <w:rsid w:val="00173640"/>
    <w:rsid w:val="00175ADD"/>
    <w:rsid w:val="00195AF2"/>
    <w:rsid w:val="001A48BF"/>
    <w:rsid w:val="001B0EB3"/>
    <w:rsid w:val="001B527D"/>
    <w:rsid w:val="001B5F50"/>
    <w:rsid w:val="001B68D5"/>
    <w:rsid w:val="001B6B00"/>
    <w:rsid w:val="001D36EB"/>
    <w:rsid w:val="001D5C5B"/>
    <w:rsid w:val="001D7F20"/>
    <w:rsid w:val="001E72E1"/>
    <w:rsid w:val="001F046B"/>
    <w:rsid w:val="001F06CE"/>
    <w:rsid w:val="001F558B"/>
    <w:rsid w:val="00202511"/>
    <w:rsid w:val="002068FC"/>
    <w:rsid w:val="002129C6"/>
    <w:rsid w:val="00216E77"/>
    <w:rsid w:val="00220690"/>
    <w:rsid w:val="002232E6"/>
    <w:rsid w:val="00224555"/>
    <w:rsid w:val="0023226C"/>
    <w:rsid w:val="00241005"/>
    <w:rsid w:val="002440BF"/>
    <w:rsid w:val="002500AC"/>
    <w:rsid w:val="002549BB"/>
    <w:rsid w:val="0025761E"/>
    <w:rsid w:val="00260F22"/>
    <w:rsid w:val="00264976"/>
    <w:rsid w:val="0027438B"/>
    <w:rsid w:val="00283A4B"/>
    <w:rsid w:val="00285DDF"/>
    <w:rsid w:val="00286F48"/>
    <w:rsid w:val="002933BE"/>
    <w:rsid w:val="00295A5F"/>
    <w:rsid w:val="002A5C23"/>
    <w:rsid w:val="002A7A32"/>
    <w:rsid w:val="002B5E1D"/>
    <w:rsid w:val="002B6752"/>
    <w:rsid w:val="002C52F2"/>
    <w:rsid w:val="002D3103"/>
    <w:rsid w:val="002D433E"/>
    <w:rsid w:val="002D4950"/>
    <w:rsid w:val="002E2C0E"/>
    <w:rsid w:val="002E36A3"/>
    <w:rsid w:val="002E5C45"/>
    <w:rsid w:val="002E6679"/>
    <w:rsid w:val="002F61B2"/>
    <w:rsid w:val="00304524"/>
    <w:rsid w:val="00306EF5"/>
    <w:rsid w:val="003072B7"/>
    <w:rsid w:val="00307B93"/>
    <w:rsid w:val="00311A45"/>
    <w:rsid w:val="0031344E"/>
    <w:rsid w:val="00315D16"/>
    <w:rsid w:val="00316E94"/>
    <w:rsid w:val="00323947"/>
    <w:rsid w:val="003241B6"/>
    <w:rsid w:val="00326CB9"/>
    <w:rsid w:val="003307C8"/>
    <w:rsid w:val="003350B5"/>
    <w:rsid w:val="00337214"/>
    <w:rsid w:val="003374DA"/>
    <w:rsid w:val="00337915"/>
    <w:rsid w:val="003418B9"/>
    <w:rsid w:val="00342E7D"/>
    <w:rsid w:val="003430A8"/>
    <w:rsid w:val="00350995"/>
    <w:rsid w:val="00351401"/>
    <w:rsid w:val="00357DE6"/>
    <w:rsid w:val="0036236E"/>
    <w:rsid w:val="00364E96"/>
    <w:rsid w:val="00366E00"/>
    <w:rsid w:val="00367250"/>
    <w:rsid w:val="00372054"/>
    <w:rsid w:val="003746A9"/>
    <w:rsid w:val="003813BF"/>
    <w:rsid w:val="0038267D"/>
    <w:rsid w:val="003835A1"/>
    <w:rsid w:val="00386D07"/>
    <w:rsid w:val="00386F3A"/>
    <w:rsid w:val="003877FC"/>
    <w:rsid w:val="003918D1"/>
    <w:rsid w:val="003A2A53"/>
    <w:rsid w:val="003A792E"/>
    <w:rsid w:val="003B244F"/>
    <w:rsid w:val="003B7512"/>
    <w:rsid w:val="003C1311"/>
    <w:rsid w:val="003C2879"/>
    <w:rsid w:val="003C2ABE"/>
    <w:rsid w:val="003C6BE5"/>
    <w:rsid w:val="003C6E01"/>
    <w:rsid w:val="003D3181"/>
    <w:rsid w:val="003E0C1E"/>
    <w:rsid w:val="003E0F28"/>
    <w:rsid w:val="003E34BE"/>
    <w:rsid w:val="003E7EBF"/>
    <w:rsid w:val="003F3952"/>
    <w:rsid w:val="00405CA8"/>
    <w:rsid w:val="004136D5"/>
    <w:rsid w:val="00416499"/>
    <w:rsid w:val="00416B67"/>
    <w:rsid w:val="00434F5F"/>
    <w:rsid w:val="00447358"/>
    <w:rsid w:val="00447B9F"/>
    <w:rsid w:val="00450C37"/>
    <w:rsid w:val="004559AE"/>
    <w:rsid w:val="004738C5"/>
    <w:rsid w:val="00475E78"/>
    <w:rsid w:val="00476050"/>
    <w:rsid w:val="00477E9D"/>
    <w:rsid w:val="00482A91"/>
    <w:rsid w:val="004854A2"/>
    <w:rsid w:val="00493964"/>
    <w:rsid w:val="00494714"/>
    <w:rsid w:val="004962AC"/>
    <w:rsid w:val="004A1B16"/>
    <w:rsid w:val="004A2169"/>
    <w:rsid w:val="004A35EE"/>
    <w:rsid w:val="004A5180"/>
    <w:rsid w:val="004A7AFA"/>
    <w:rsid w:val="004B5B28"/>
    <w:rsid w:val="004B6F5D"/>
    <w:rsid w:val="004B7B52"/>
    <w:rsid w:val="004C697D"/>
    <w:rsid w:val="004D2E4D"/>
    <w:rsid w:val="004D3766"/>
    <w:rsid w:val="004D3C79"/>
    <w:rsid w:val="004D5FB1"/>
    <w:rsid w:val="004E2D26"/>
    <w:rsid w:val="004E5B8B"/>
    <w:rsid w:val="004F3CD4"/>
    <w:rsid w:val="004F509B"/>
    <w:rsid w:val="004F5568"/>
    <w:rsid w:val="00502C52"/>
    <w:rsid w:val="00503998"/>
    <w:rsid w:val="005051CE"/>
    <w:rsid w:val="00512F3D"/>
    <w:rsid w:val="00522216"/>
    <w:rsid w:val="00526F5C"/>
    <w:rsid w:val="005276CB"/>
    <w:rsid w:val="00534BBF"/>
    <w:rsid w:val="00537195"/>
    <w:rsid w:val="00555816"/>
    <w:rsid w:val="00571165"/>
    <w:rsid w:val="00571B16"/>
    <w:rsid w:val="00572F09"/>
    <w:rsid w:val="00585959"/>
    <w:rsid w:val="005860C0"/>
    <w:rsid w:val="00591F44"/>
    <w:rsid w:val="005A4838"/>
    <w:rsid w:val="005B390E"/>
    <w:rsid w:val="005B3D73"/>
    <w:rsid w:val="005D145E"/>
    <w:rsid w:val="005D2C75"/>
    <w:rsid w:val="005D61F0"/>
    <w:rsid w:val="005D6830"/>
    <w:rsid w:val="005E2A05"/>
    <w:rsid w:val="005F1335"/>
    <w:rsid w:val="005F4CBF"/>
    <w:rsid w:val="006002A8"/>
    <w:rsid w:val="00611225"/>
    <w:rsid w:val="006118BC"/>
    <w:rsid w:val="00623D78"/>
    <w:rsid w:val="006255A5"/>
    <w:rsid w:val="00631D05"/>
    <w:rsid w:val="0063784B"/>
    <w:rsid w:val="00642987"/>
    <w:rsid w:val="00644099"/>
    <w:rsid w:val="006446FE"/>
    <w:rsid w:val="0065554E"/>
    <w:rsid w:val="006559C3"/>
    <w:rsid w:val="006657F5"/>
    <w:rsid w:val="00667CCD"/>
    <w:rsid w:val="00676F06"/>
    <w:rsid w:val="00690DB2"/>
    <w:rsid w:val="00692479"/>
    <w:rsid w:val="00692B56"/>
    <w:rsid w:val="00697A76"/>
    <w:rsid w:val="006A122F"/>
    <w:rsid w:val="006B5A19"/>
    <w:rsid w:val="006B6879"/>
    <w:rsid w:val="006C008C"/>
    <w:rsid w:val="006C1673"/>
    <w:rsid w:val="006C7FE2"/>
    <w:rsid w:val="006D5AA1"/>
    <w:rsid w:val="006E735F"/>
    <w:rsid w:val="006F0B97"/>
    <w:rsid w:val="00700598"/>
    <w:rsid w:val="0070183D"/>
    <w:rsid w:val="00703A3B"/>
    <w:rsid w:val="007068E8"/>
    <w:rsid w:val="00715514"/>
    <w:rsid w:val="007215D7"/>
    <w:rsid w:val="00721E68"/>
    <w:rsid w:val="00724C73"/>
    <w:rsid w:val="007313A4"/>
    <w:rsid w:val="00742839"/>
    <w:rsid w:val="007566A0"/>
    <w:rsid w:val="0076314B"/>
    <w:rsid w:val="007649B3"/>
    <w:rsid w:val="007662F5"/>
    <w:rsid w:val="007671BC"/>
    <w:rsid w:val="007717C4"/>
    <w:rsid w:val="0078212C"/>
    <w:rsid w:val="0078416A"/>
    <w:rsid w:val="00784599"/>
    <w:rsid w:val="007A2C20"/>
    <w:rsid w:val="007A30EE"/>
    <w:rsid w:val="007A560D"/>
    <w:rsid w:val="007A5F95"/>
    <w:rsid w:val="007B4FE1"/>
    <w:rsid w:val="007C12A4"/>
    <w:rsid w:val="007D5894"/>
    <w:rsid w:val="007E7B94"/>
    <w:rsid w:val="00803305"/>
    <w:rsid w:val="0081100C"/>
    <w:rsid w:val="0081179D"/>
    <w:rsid w:val="00817AAA"/>
    <w:rsid w:val="008215FB"/>
    <w:rsid w:val="008333FB"/>
    <w:rsid w:val="008340A2"/>
    <w:rsid w:val="008402A7"/>
    <w:rsid w:val="0084141C"/>
    <w:rsid w:val="00860ACA"/>
    <w:rsid w:val="00863011"/>
    <w:rsid w:val="00870EF3"/>
    <w:rsid w:val="008714FC"/>
    <w:rsid w:val="00871EBA"/>
    <w:rsid w:val="008943BD"/>
    <w:rsid w:val="00897E3F"/>
    <w:rsid w:val="008A2BD5"/>
    <w:rsid w:val="008A53B2"/>
    <w:rsid w:val="008A5493"/>
    <w:rsid w:val="008A7845"/>
    <w:rsid w:val="008B52E9"/>
    <w:rsid w:val="008B625F"/>
    <w:rsid w:val="008D1969"/>
    <w:rsid w:val="008D3752"/>
    <w:rsid w:val="008D71AD"/>
    <w:rsid w:val="008D7E1C"/>
    <w:rsid w:val="008E016E"/>
    <w:rsid w:val="008E52D6"/>
    <w:rsid w:val="008F720C"/>
    <w:rsid w:val="009056E3"/>
    <w:rsid w:val="009119D7"/>
    <w:rsid w:val="00917906"/>
    <w:rsid w:val="00934DA0"/>
    <w:rsid w:val="0093515E"/>
    <w:rsid w:val="009368FD"/>
    <w:rsid w:val="009402E4"/>
    <w:rsid w:val="00941B4B"/>
    <w:rsid w:val="009472B8"/>
    <w:rsid w:val="00951FF9"/>
    <w:rsid w:val="009639EC"/>
    <w:rsid w:val="00971AB8"/>
    <w:rsid w:val="00973733"/>
    <w:rsid w:val="009737FA"/>
    <w:rsid w:val="00984559"/>
    <w:rsid w:val="009855C8"/>
    <w:rsid w:val="009A0C62"/>
    <w:rsid w:val="009A2494"/>
    <w:rsid w:val="009C4878"/>
    <w:rsid w:val="009D24C4"/>
    <w:rsid w:val="009D536C"/>
    <w:rsid w:val="009E1FB5"/>
    <w:rsid w:val="009E2B0C"/>
    <w:rsid w:val="009E4FA1"/>
    <w:rsid w:val="009E527A"/>
    <w:rsid w:val="009E5948"/>
    <w:rsid w:val="009E62D0"/>
    <w:rsid w:val="009E6335"/>
    <w:rsid w:val="009F48C6"/>
    <w:rsid w:val="00A05D01"/>
    <w:rsid w:val="00A179F4"/>
    <w:rsid w:val="00A25955"/>
    <w:rsid w:val="00A27DF4"/>
    <w:rsid w:val="00A30ED5"/>
    <w:rsid w:val="00A35D17"/>
    <w:rsid w:val="00A40D6D"/>
    <w:rsid w:val="00A45710"/>
    <w:rsid w:val="00A47B6E"/>
    <w:rsid w:val="00A52DDA"/>
    <w:rsid w:val="00A53DA3"/>
    <w:rsid w:val="00A54D70"/>
    <w:rsid w:val="00A568D6"/>
    <w:rsid w:val="00A56BCC"/>
    <w:rsid w:val="00A6028E"/>
    <w:rsid w:val="00A61DCC"/>
    <w:rsid w:val="00A67821"/>
    <w:rsid w:val="00A71748"/>
    <w:rsid w:val="00A828D1"/>
    <w:rsid w:val="00A86337"/>
    <w:rsid w:val="00A92A0A"/>
    <w:rsid w:val="00A938C7"/>
    <w:rsid w:val="00A9418F"/>
    <w:rsid w:val="00AA2952"/>
    <w:rsid w:val="00AA5F77"/>
    <w:rsid w:val="00AB350A"/>
    <w:rsid w:val="00AB44C4"/>
    <w:rsid w:val="00AB66CA"/>
    <w:rsid w:val="00AC77FE"/>
    <w:rsid w:val="00AD13C4"/>
    <w:rsid w:val="00AE25A4"/>
    <w:rsid w:val="00AE3697"/>
    <w:rsid w:val="00AF0CAF"/>
    <w:rsid w:val="00AF3DBB"/>
    <w:rsid w:val="00B07934"/>
    <w:rsid w:val="00B10E35"/>
    <w:rsid w:val="00B27F3C"/>
    <w:rsid w:val="00B302E8"/>
    <w:rsid w:val="00B365F6"/>
    <w:rsid w:val="00B477FC"/>
    <w:rsid w:val="00B502F8"/>
    <w:rsid w:val="00B50F23"/>
    <w:rsid w:val="00B52655"/>
    <w:rsid w:val="00B52C26"/>
    <w:rsid w:val="00B53DD5"/>
    <w:rsid w:val="00B54AE4"/>
    <w:rsid w:val="00B5594C"/>
    <w:rsid w:val="00B61D18"/>
    <w:rsid w:val="00B645EB"/>
    <w:rsid w:val="00B65233"/>
    <w:rsid w:val="00B7003F"/>
    <w:rsid w:val="00B72C5E"/>
    <w:rsid w:val="00B775A8"/>
    <w:rsid w:val="00B80904"/>
    <w:rsid w:val="00B82FD7"/>
    <w:rsid w:val="00B93E89"/>
    <w:rsid w:val="00B94588"/>
    <w:rsid w:val="00B979B0"/>
    <w:rsid w:val="00BA139D"/>
    <w:rsid w:val="00BB4469"/>
    <w:rsid w:val="00BB7388"/>
    <w:rsid w:val="00BC44E7"/>
    <w:rsid w:val="00BC57D8"/>
    <w:rsid w:val="00BC65EE"/>
    <w:rsid w:val="00BC6DB6"/>
    <w:rsid w:val="00BD103A"/>
    <w:rsid w:val="00BD5564"/>
    <w:rsid w:val="00BE252C"/>
    <w:rsid w:val="00BE2CB7"/>
    <w:rsid w:val="00BE3E8B"/>
    <w:rsid w:val="00BF2030"/>
    <w:rsid w:val="00BF26A5"/>
    <w:rsid w:val="00BF4510"/>
    <w:rsid w:val="00BF5650"/>
    <w:rsid w:val="00BF7486"/>
    <w:rsid w:val="00C00131"/>
    <w:rsid w:val="00C10296"/>
    <w:rsid w:val="00C10FE1"/>
    <w:rsid w:val="00C135EB"/>
    <w:rsid w:val="00C17553"/>
    <w:rsid w:val="00C33C0A"/>
    <w:rsid w:val="00C3589F"/>
    <w:rsid w:val="00C36DBA"/>
    <w:rsid w:val="00C42B15"/>
    <w:rsid w:val="00C43AB7"/>
    <w:rsid w:val="00C50A9E"/>
    <w:rsid w:val="00C52741"/>
    <w:rsid w:val="00C5324D"/>
    <w:rsid w:val="00C5468D"/>
    <w:rsid w:val="00C57911"/>
    <w:rsid w:val="00C634CE"/>
    <w:rsid w:val="00C72709"/>
    <w:rsid w:val="00C83359"/>
    <w:rsid w:val="00C87D11"/>
    <w:rsid w:val="00C928D9"/>
    <w:rsid w:val="00C943C9"/>
    <w:rsid w:val="00C9795A"/>
    <w:rsid w:val="00CA0662"/>
    <w:rsid w:val="00CA67EB"/>
    <w:rsid w:val="00CA6D13"/>
    <w:rsid w:val="00CB2AA3"/>
    <w:rsid w:val="00CB467D"/>
    <w:rsid w:val="00CD23BD"/>
    <w:rsid w:val="00CD5EDE"/>
    <w:rsid w:val="00CF19CE"/>
    <w:rsid w:val="00D00796"/>
    <w:rsid w:val="00D11AB7"/>
    <w:rsid w:val="00D11C3F"/>
    <w:rsid w:val="00D12338"/>
    <w:rsid w:val="00D16EAC"/>
    <w:rsid w:val="00D220C6"/>
    <w:rsid w:val="00D27E3F"/>
    <w:rsid w:val="00D30BF8"/>
    <w:rsid w:val="00D31155"/>
    <w:rsid w:val="00D35281"/>
    <w:rsid w:val="00D46F30"/>
    <w:rsid w:val="00D47C7B"/>
    <w:rsid w:val="00D50535"/>
    <w:rsid w:val="00D51BE7"/>
    <w:rsid w:val="00D52A6A"/>
    <w:rsid w:val="00D61ACB"/>
    <w:rsid w:val="00D61AD2"/>
    <w:rsid w:val="00D67A5F"/>
    <w:rsid w:val="00D72CE7"/>
    <w:rsid w:val="00D74198"/>
    <w:rsid w:val="00D769AD"/>
    <w:rsid w:val="00D81C3F"/>
    <w:rsid w:val="00D82291"/>
    <w:rsid w:val="00D83B31"/>
    <w:rsid w:val="00D85348"/>
    <w:rsid w:val="00D9088E"/>
    <w:rsid w:val="00D939E1"/>
    <w:rsid w:val="00DA0C40"/>
    <w:rsid w:val="00DB3AE4"/>
    <w:rsid w:val="00DC675C"/>
    <w:rsid w:val="00DD0A7A"/>
    <w:rsid w:val="00DD1E2E"/>
    <w:rsid w:val="00DD2D81"/>
    <w:rsid w:val="00DD323E"/>
    <w:rsid w:val="00DE210E"/>
    <w:rsid w:val="00DE5D4C"/>
    <w:rsid w:val="00DE7DA6"/>
    <w:rsid w:val="00E00735"/>
    <w:rsid w:val="00E011DC"/>
    <w:rsid w:val="00E01533"/>
    <w:rsid w:val="00E0283D"/>
    <w:rsid w:val="00E0301E"/>
    <w:rsid w:val="00E122D2"/>
    <w:rsid w:val="00E13EE3"/>
    <w:rsid w:val="00E23490"/>
    <w:rsid w:val="00E249E4"/>
    <w:rsid w:val="00E24E3D"/>
    <w:rsid w:val="00E2670D"/>
    <w:rsid w:val="00E34E6C"/>
    <w:rsid w:val="00E352CD"/>
    <w:rsid w:val="00E40574"/>
    <w:rsid w:val="00E419B2"/>
    <w:rsid w:val="00E43322"/>
    <w:rsid w:val="00E43563"/>
    <w:rsid w:val="00E43FC9"/>
    <w:rsid w:val="00E511F4"/>
    <w:rsid w:val="00E56448"/>
    <w:rsid w:val="00E64D90"/>
    <w:rsid w:val="00E65AF2"/>
    <w:rsid w:val="00E72AD1"/>
    <w:rsid w:val="00E8298B"/>
    <w:rsid w:val="00E85AB2"/>
    <w:rsid w:val="00E9236D"/>
    <w:rsid w:val="00E92E4C"/>
    <w:rsid w:val="00EA321D"/>
    <w:rsid w:val="00EA6587"/>
    <w:rsid w:val="00EB0D34"/>
    <w:rsid w:val="00EB0F85"/>
    <w:rsid w:val="00EB39AD"/>
    <w:rsid w:val="00EB5501"/>
    <w:rsid w:val="00EC393C"/>
    <w:rsid w:val="00EC4973"/>
    <w:rsid w:val="00EC5A67"/>
    <w:rsid w:val="00ED379C"/>
    <w:rsid w:val="00ED6286"/>
    <w:rsid w:val="00ED67F3"/>
    <w:rsid w:val="00ED7306"/>
    <w:rsid w:val="00EE16BE"/>
    <w:rsid w:val="00EE5C8A"/>
    <w:rsid w:val="00EF09B5"/>
    <w:rsid w:val="00EF09F2"/>
    <w:rsid w:val="00EF0BE3"/>
    <w:rsid w:val="00F00046"/>
    <w:rsid w:val="00F022E7"/>
    <w:rsid w:val="00F0417F"/>
    <w:rsid w:val="00F14589"/>
    <w:rsid w:val="00F148E8"/>
    <w:rsid w:val="00F14C31"/>
    <w:rsid w:val="00F20A53"/>
    <w:rsid w:val="00F21AB1"/>
    <w:rsid w:val="00F22EA2"/>
    <w:rsid w:val="00F22FBF"/>
    <w:rsid w:val="00F3020E"/>
    <w:rsid w:val="00F3267D"/>
    <w:rsid w:val="00F344C3"/>
    <w:rsid w:val="00F4099E"/>
    <w:rsid w:val="00F42719"/>
    <w:rsid w:val="00F42D56"/>
    <w:rsid w:val="00F43713"/>
    <w:rsid w:val="00F440CE"/>
    <w:rsid w:val="00F50DC5"/>
    <w:rsid w:val="00F55C81"/>
    <w:rsid w:val="00F55F40"/>
    <w:rsid w:val="00F70FAB"/>
    <w:rsid w:val="00F75009"/>
    <w:rsid w:val="00F82D3F"/>
    <w:rsid w:val="00F90ADB"/>
    <w:rsid w:val="00F940CC"/>
    <w:rsid w:val="00F94630"/>
    <w:rsid w:val="00F979D4"/>
    <w:rsid w:val="00FA0B98"/>
    <w:rsid w:val="00FA22F5"/>
    <w:rsid w:val="00FA3DEB"/>
    <w:rsid w:val="00FA513D"/>
    <w:rsid w:val="00FA6923"/>
    <w:rsid w:val="00FB4B09"/>
    <w:rsid w:val="00FC479D"/>
    <w:rsid w:val="00FC70CD"/>
    <w:rsid w:val="00FD35BF"/>
    <w:rsid w:val="00FD42DF"/>
    <w:rsid w:val="00FD4B03"/>
    <w:rsid w:val="00FE215B"/>
    <w:rsid w:val="00FE3998"/>
    <w:rsid w:val="00FE4813"/>
    <w:rsid w:val="00FE4E7F"/>
    <w:rsid w:val="00FF3AA4"/>
    <w:rsid w:val="02FF5E45"/>
    <w:rsid w:val="03B804CE"/>
    <w:rsid w:val="0754675F"/>
    <w:rsid w:val="078D7EC3"/>
    <w:rsid w:val="0FFD49DB"/>
    <w:rsid w:val="10B262A5"/>
    <w:rsid w:val="115C1106"/>
    <w:rsid w:val="13C94AAD"/>
    <w:rsid w:val="158242C4"/>
    <w:rsid w:val="170209AC"/>
    <w:rsid w:val="18624A54"/>
    <w:rsid w:val="1CE81E71"/>
    <w:rsid w:val="1DDD564C"/>
    <w:rsid w:val="1EA062D6"/>
    <w:rsid w:val="1EC73863"/>
    <w:rsid w:val="212958D0"/>
    <w:rsid w:val="215F4227"/>
    <w:rsid w:val="27B91ECD"/>
    <w:rsid w:val="2C6923FD"/>
    <w:rsid w:val="2DCD42C6"/>
    <w:rsid w:val="31AD68E8"/>
    <w:rsid w:val="33BA4981"/>
    <w:rsid w:val="3ABE3914"/>
    <w:rsid w:val="40B76E3C"/>
    <w:rsid w:val="415A73C9"/>
    <w:rsid w:val="451A1B5E"/>
    <w:rsid w:val="461477CA"/>
    <w:rsid w:val="46875502"/>
    <w:rsid w:val="4C107D48"/>
    <w:rsid w:val="4DAE7818"/>
    <w:rsid w:val="4EF676C9"/>
    <w:rsid w:val="4F1E452A"/>
    <w:rsid w:val="53BB5D38"/>
    <w:rsid w:val="546E7D01"/>
    <w:rsid w:val="582F4FA6"/>
    <w:rsid w:val="58D26AB1"/>
    <w:rsid w:val="5BA84B60"/>
    <w:rsid w:val="5DD33D75"/>
    <w:rsid w:val="5F3833E6"/>
    <w:rsid w:val="5FFB256E"/>
    <w:rsid w:val="613A3445"/>
    <w:rsid w:val="63623A3E"/>
    <w:rsid w:val="648A1DEC"/>
    <w:rsid w:val="64DB5D06"/>
    <w:rsid w:val="65526121"/>
    <w:rsid w:val="67183D31"/>
    <w:rsid w:val="687708E0"/>
    <w:rsid w:val="690C7683"/>
    <w:rsid w:val="694E2FC0"/>
    <w:rsid w:val="6AF17C50"/>
    <w:rsid w:val="6BB43DF4"/>
    <w:rsid w:val="701E2184"/>
    <w:rsid w:val="70B60DD1"/>
    <w:rsid w:val="750139B7"/>
    <w:rsid w:val="78CE2999"/>
    <w:rsid w:val="7AC55372"/>
    <w:rsid w:val="7D657644"/>
    <w:rsid w:val="7E5F5E4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99"/>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toc 1"/>
    <w:basedOn w:val="1"/>
    <w:next w:val="1"/>
    <w:qFormat/>
    <w:locked/>
    <w:uiPriority w:val="0"/>
  </w:style>
  <w:style w:type="paragraph" w:styleId="14">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5">
    <w:name w:val="annotation subject"/>
    <w:basedOn w:val="4"/>
    <w:next w:val="4"/>
    <w:link w:val="30"/>
    <w:semiHidden/>
    <w:qFormat/>
    <w:uiPriority w:val="99"/>
    <w:rPr>
      <w:b/>
      <w:bCs/>
    </w:rPr>
  </w:style>
  <w:style w:type="table" w:styleId="17">
    <w:name w:val="Table Grid"/>
    <w:basedOn w:val="16"/>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Emphasis"/>
    <w:basedOn w:val="18"/>
    <w:qFormat/>
    <w:locked/>
    <w:uiPriority w:val="20"/>
    <w:rPr>
      <w:i/>
      <w:iCs/>
    </w:rPr>
  </w:style>
  <w:style w:type="character" w:styleId="20">
    <w:name w:val="annotation reference"/>
    <w:basedOn w:val="18"/>
    <w:semiHidden/>
    <w:qFormat/>
    <w:uiPriority w:val="99"/>
    <w:rPr>
      <w:rFonts w:cs="Times New Roman"/>
      <w:sz w:val="21"/>
    </w:rPr>
  </w:style>
  <w:style w:type="character" w:customStyle="1" w:styleId="21">
    <w:name w:val="标题 2 字符"/>
    <w:basedOn w:val="18"/>
    <w:link w:val="3"/>
    <w:qFormat/>
    <w:locked/>
    <w:uiPriority w:val="99"/>
    <w:rPr>
      <w:rFonts w:ascii="Arial" w:hAnsi="Arial" w:eastAsia="黑体" w:cs="Times New Roman"/>
      <w:b/>
      <w:sz w:val="20"/>
    </w:rPr>
  </w:style>
  <w:style w:type="character" w:customStyle="1" w:styleId="22">
    <w:name w:val="纯文本 字符"/>
    <w:basedOn w:val="18"/>
    <w:link w:val="7"/>
    <w:qFormat/>
    <w:locked/>
    <w:uiPriority w:val="99"/>
    <w:rPr>
      <w:rFonts w:ascii="宋体" w:hAnsi="Courier New" w:eastAsia="宋体" w:cs="Times New Roman"/>
      <w:sz w:val="21"/>
    </w:rPr>
  </w:style>
  <w:style w:type="character" w:customStyle="1" w:styleId="23">
    <w:name w:val="正文文本缩进 字符"/>
    <w:basedOn w:val="18"/>
    <w:link w:val="6"/>
    <w:qFormat/>
    <w:locked/>
    <w:uiPriority w:val="99"/>
    <w:rPr>
      <w:rFonts w:ascii="Times New Roman" w:hAnsi="Times New Roman" w:eastAsia="宋体" w:cs="Times New Roman"/>
      <w:sz w:val="24"/>
    </w:rPr>
  </w:style>
  <w:style w:type="character" w:customStyle="1" w:styleId="24">
    <w:name w:val="日期 字符"/>
    <w:basedOn w:val="18"/>
    <w:link w:val="8"/>
    <w:qFormat/>
    <w:locked/>
    <w:uiPriority w:val="99"/>
    <w:rPr>
      <w:rFonts w:ascii="Times New Roman" w:hAnsi="Times New Roman" w:eastAsia="宋体" w:cs="Times New Roman"/>
      <w:sz w:val="24"/>
    </w:rPr>
  </w:style>
  <w:style w:type="paragraph" w:customStyle="1" w:styleId="25">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8"/>
    <w:link w:val="9"/>
    <w:qFormat/>
    <w:locked/>
    <w:uiPriority w:val="99"/>
    <w:rPr>
      <w:rFonts w:ascii="Times New Roman" w:hAnsi="Times New Roman" w:eastAsia="宋体" w:cs="Times New Roman"/>
      <w:sz w:val="24"/>
    </w:rPr>
  </w:style>
  <w:style w:type="character" w:customStyle="1" w:styleId="27">
    <w:name w:val="页眉 字符"/>
    <w:basedOn w:val="18"/>
    <w:link w:val="12"/>
    <w:semiHidden/>
    <w:qFormat/>
    <w:locked/>
    <w:uiPriority w:val="99"/>
    <w:rPr>
      <w:rFonts w:ascii="Times New Roman" w:hAnsi="Times New Roman" w:eastAsia="宋体" w:cs="Times New Roman"/>
      <w:sz w:val="18"/>
    </w:rPr>
  </w:style>
  <w:style w:type="character" w:customStyle="1" w:styleId="28">
    <w:name w:val="页脚 字符"/>
    <w:basedOn w:val="18"/>
    <w:link w:val="11"/>
    <w:qFormat/>
    <w:locked/>
    <w:uiPriority w:val="99"/>
    <w:rPr>
      <w:rFonts w:ascii="Times New Roman" w:hAnsi="Times New Roman" w:eastAsia="宋体" w:cs="Times New Roman"/>
      <w:sz w:val="18"/>
    </w:rPr>
  </w:style>
  <w:style w:type="character" w:customStyle="1" w:styleId="29">
    <w:name w:val="批注文字 字符"/>
    <w:basedOn w:val="18"/>
    <w:link w:val="4"/>
    <w:semiHidden/>
    <w:qFormat/>
    <w:locked/>
    <w:uiPriority w:val="99"/>
    <w:rPr>
      <w:rFonts w:ascii="Times New Roman" w:hAnsi="Times New Roman" w:cs="Times New Roman"/>
      <w:sz w:val="24"/>
    </w:rPr>
  </w:style>
  <w:style w:type="character" w:customStyle="1" w:styleId="30">
    <w:name w:val="批注主题 字符"/>
    <w:basedOn w:val="29"/>
    <w:link w:val="15"/>
    <w:semiHidden/>
    <w:qFormat/>
    <w:locked/>
    <w:uiPriority w:val="99"/>
    <w:rPr>
      <w:rFonts w:ascii="Times New Roman" w:hAnsi="Times New Roman" w:cs="Times New Roman"/>
      <w:b/>
      <w:sz w:val="24"/>
    </w:rPr>
  </w:style>
  <w:style w:type="character" w:customStyle="1" w:styleId="31">
    <w:name w:val="批注框文本 字符"/>
    <w:basedOn w:val="18"/>
    <w:link w:val="10"/>
    <w:semiHidden/>
    <w:qFormat/>
    <w:locked/>
    <w:uiPriority w:val="99"/>
    <w:rPr>
      <w:rFonts w:ascii="Times New Roman" w:hAnsi="Times New Roman" w:cs="Times New Roman"/>
      <w:sz w:val="18"/>
    </w:rPr>
  </w:style>
  <w:style w:type="character" w:customStyle="1" w:styleId="32">
    <w:name w:val="正文文本 字符"/>
    <w:basedOn w:val="18"/>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8"/>
    <w:link w:val="2"/>
    <w:qFormat/>
    <w:uiPriority w:val="0"/>
    <w:rPr>
      <w:rFonts w:ascii="Times New Roman" w:hAnsi="Times New Roman"/>
      <w:b/>
      <w:bCs/>
      <w:kern w:val="44"/>
      <w:sz w:val="44"/>
      <w:szCs w:val="44"/>
    </w:rPr>
  </w:style>
  <w:style w:type="character" w:customStyle="1" w:styleId="37">
    <w:name w:val="font51"/>
    <w:basedOn w:val="18"/>
    <w:qFormat/>
    <w:uiPriority w:val="0"/>
    <w:rPr>
      <w:rFonts w:ascii="Calibri" w:hAnsi="Calibri" w:cs="Calibri"/>
      <w:b/>
      <w:bCs/>
      <w:color w:val="000000"/>
      <w:sz w:val="24"/>
      <w:szCs w:val="24"/>
      <w:u w:val="none"/>
    </w:rPr>
  </w:style>
  <w:style w:type="character" w:customStyle="1" w:styleId="38">
    <w:name w:val="font31"/>
    <w:basedOn w:val="18"/>
    <w:qFormat/>
    <w:uiPriority w:val="0"/>
    <w:rPr>
      <w:rFonts w:hint="eastAsia" w:ascii="宋体" w:hAnsi="宋体" w:eastAsia="宋体" w:cs="宋体"/>
      <w:b/>
      <w:bCs/>
      <w:color w:val="000000"/>
      <w:sz w:val="24"/>
      <w:szCs w:val="24"/>
      <w:u w:val="none"/>
    </w:rPr>
  </w:style>
  <w:style w:type="character" w:customStyle="1" w:styleId="39">
    <w:name w:val="font21"/>
    <w:basedOn w:val="18"/>
    <w:qFormat/>
    <w:uiPriority w:val="0"/>
    <w:rPr>
      <w:rFonts w:hint="eastAsia" w:ascii="宋体" w:hAnsi="宋体" w:eastAsia="宋体" w:cs="宋体"/>
      <w:color w:val="000000"/>
      <w:sz w:val="24"/>
      <w:szCs w:val="24"/>
      <w:u w:val="none"/>
    </w:rPr>
  </w:style>
  <w:style w:type="character" w:customStyle="1" w:styleId="40">
    <w:name w:val="font11"/>
    <w:basedOn w:val="18"/>
    <w:qFormat/>
    <w:uiPriority w:val="0"/>
    <w:rPr>
      <w:rFonts w:hint="default" w:ascii="Courier New" w:hAnsi="Courier New" w:cs="Courier New"/>
      <w:color w:val="000000"/>
      <w:sz w:val="24"/>
      <w:szCs w:val="24"/>
      <w:u w:val="none"/>
    </w:rPr>
  </w:style>
  <w:style w:type="character" w:customStyle="1" w:styleId="41">
    <w:name w:val="font61"/>
    <w:basedOn w:val="18"/>
    <w:qFormat/>
    <w:uiPriority w:val="0"/>
    <w:rPr>
      <w:rFonts w:hint="default" w:ascii="Calibri" w:hAnsi="Calibri" w:cs="Calibri"/>
      <w:color w:val="000000"/>
      <w:sz w:val="24"/>
      <w:szCs w:val="24"/>
      <w:u w:val="none"/>
    </w:rPr>
  </w:style>
  <w:style w:type="paragraph" w:customStyle="1" w:styleId="42">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E3A0B76-4643-4414-BEB9-A188126CF19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5685</Words>
  <Characters>6199</Characters>
  <Lines>53</Lines>
  <Paragraphs>14</Paragraphs>
  <TotalTime>0</TotalTime>
  <ScaleCrop>false</ScaleCrop>
  <LinksUpToDate>false</LinksUpToDate>
  <CharactersWithSpaces>6742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2019-05-15T01:14:00Z</dcterms:created>
  <dc:creator>qiuxc</dc:creator>
  <cp:lastModifiedBy>微信用户</cp:lastModifiedBy>
  <cp:lastPrinted>2016-01-18T07:21:00Z</cp:lastPrinted>
  <dcterms:modified xsi:type="dcterms:W3CDTF">2023-05-06T00:53:30Z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FAE4B45D9DC64E43911EAE01FAB71EE3_12</vt:lpwstr>
  </property>
</Properties>
</file>