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宋体"/>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720" w:firstLineChars="2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OG02电工柜（电线电缆）询价采购项目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w:t>
      </w:r>
      <w:r>
        <w:rPr>
          <w:rFonts w:hint="eastAsia" w:hAnsi="宋体" w:cstheme="minorBidi"/>
          <w:b/>
          <w:bCs/>
          <w:kern w:val="0"/>
          <w:sz w:val="32"/>
          <w:szCs w:val="22"/>
          <w:u w:val="none"/>
          <w:lang w:val="en-US" w:eastAsia="zh-CN" w:bidi="ar-SA"/>
        </w:rPr>
        <w:t>5</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u w:val="single"/>
          <w:lang w:val="en-US" w:eastAsia="zh-CN"/>
        </w:rPr>
        <w:t>OG02电工柜（电线电缆）</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OG02电工柜（电线电缆）采购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GX-2023-0</w:t>
      </w:r>
      <w:r>
        <w:rPr>
          <w:rFonts w:hint="eastAsia" w:ascii="仿宋_GB2312" w:eastAsia="仿宋_GB2312"/>
          <w:sz w:val="24"/>
          <w:lang w:val="en-US" w:eastAsia="zh-CN"/>
        </w:rPr>
        <w:t>9</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eastAsia" w:ascii="仿宋_GB2312" w:eastAsia="仿宋_GB2312"/>
          <w:sz w:val="24"/>
        </w:rPr>
      </w:pPr>
      <w:r>
        <w:rPr>
          <w:rFonts w:hint="eastAsia" w:ascii="仿宋_GB2312" w:eastAsia="仿宋_GB2312"/>
          <w:sz w:val="24"/>
        </w:rPr>
        <w:t>成都奥格光学玻璃有限公司拟采购</w:t>
      </w:r>
      <w:r>
        <w:rPr>
          <w:rFonts w:hint="eastAsia" w:ascii="仿宋_GB2312" w:eastAsia="仿宋_GB2312"/>
          <w:sz w:val="24"/>
          <w:u w:val="single"/>
          <w:lang w:val="en-US" w:eastAsia="zh-CN"/>
        </w:rPr>
        <w:t>OG02电工柜（电线电缆）</w:t>
      </w:r>
      <w:r>
        <w:rPr>
          <w:rFonts w:hint="eastAsia" w:ascii="仿宋_GB2312" w:eastAsia="仿宋_GB2312"/>
          <w:sz w:val="24"/>
        </w:rPr>
        <w:t>，主要包括货款，税款，运输费，详见询价采购文件第四部分技术响应。</w:t>
      </w:r>
    </w:p>
    <w:p>
      <w:pPr>
        <w:numPr>
          <w:ilvl w:val="0"/>
          <w:numId w:val="0"/>
        </w:numPr>
        <w:spacing w:line="440" w:lineRule="exact"/>
        <w:ind w:firstLine="240" w:firstLineChars="1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1.数量：</w:t>
      </w:r>
    </w:p>
    <w:tbl>
      <w:tblPr>
        <w:tblStyle w:val="9"/>
        <w:tblW w:w="95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15"/>
        <w:gridCol w:w="3120"/>
        <w:gridCol w:w="810"/>
        <w:gridCol w:w="1191"/>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物资名称</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型号及规格</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数量</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单位</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铜芯塑料绝缘高温软线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BVR-105-16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1800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整圈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铜芯塑料绝缘软导线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BVR-16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黄绿双色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铜芯塑料绝缘高温软线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BVR-105-120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400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铜芯塑料绝缘高温软线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BVR-105-150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铜芯塑料绝缘高温软线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BVR-105-70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400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铜芯塑料绝缘软线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BVR-50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left"/>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铜芯塑料绝缘高温软线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BVR-105-25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300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铜芯护套线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RVV-5*2.5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300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铜芯护套线</w:t>
            </w:r>
          </w:p>
        </w:tc>
        <w:tc>
          <w:tcPr>
            <w:tcW w:w="31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RVV-3*2.5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200</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textAlignment w:val="bottom"/>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米</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Autospacing="0"/>
              <w:ind w:left="0" w:right="0"/>
              <w:jc w:val="center"/>
              <w:rPr>
                <w:rFonts w:hint="eastAsia" w:ascii="仿宋_GB2312" w:hAnsi="Times New Roman" w:eastAsia="仿宋_GB2312" w:cs="Times New Roman"/>
                <w:kern w:val="2"/>
                <w:sz w:val="24"/>
                <w:szCs w:val="24"/>
                <w:lang w:val="en-US" w:eastAsia="zh-CN" w:bidi="ar-SA"/>
              </w:rPr>
            </w:pPr>
          </w:p>
        </w:tc>
      </w:tr>
    </w:tbl>
    <w:p>
      <w:pPr>
        <w:pStyle w:val="3"/>
        <w:numPr>
          <w:ilvl w:val="0"/>
          <w:numId w:val="0"/>
        </w:numPr>
        <w:rPr>
          <w:rFonts w:hint="eastAsia"/>
          <w:lang w:val="en-US" w:eastAsia="zh-CN"/>
        </w:rPr>
      </w:pP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2.交货地点：成都市龙泉驿区成龙大道三段530号；</w:t>
      </w:r>
    </w:p>
    <w:p>
      <w:pPr>
        <w:pStyle w:val="4"/>
        <w:spacing w:after="0" w:line="460" w:lineRule="exact"/>
        <w:ind w:left="0" w:leftChars="0"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3.交货期：合同签订后12天内交货并安装调试完毕。</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6"/>
        <w:tabs>
          <w:tab w:val="left" w:pos="2340"/>
        </w:tabs>
        <w:spacing w:line="460" w:lineRule="exact"/>
        <w:ind w:left="103"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autoSpaceDE w:val="0"/>
        <w:autoSpaceDN w:val="0"/>
        <w:adjustRightInd w:val="0"/>
        <w:spacing w:line="460" w:lineRule="exact"/>
        <w:ind w:firstLine="512" w:firstLineChars="200"/>
        <w:rPr>
          <w:rFonts w:ascii="仿宋_GB2312" w:eastAsia="仿宋_GB2312"/>
          <w:sz w:val="24"/>
        </w:rPr>
      </w:pPr>
      <w:r>
        <w:rPr>
          <w:rFonts w:hint="eastAsia" w:ascii="仿宋_GB2312" w:hAnsi="楷体" w:eastAsia="仿宋_GB2312"/>
          <w:bCs/>
          <w:spacing w:val="8"/>
          <w:sz w:val="24"/>
        </w:rPr>
        <w:t>（二）</w:t>
      </w:r>
      <w:r>
        <w:rPr>
          <w:rFonts w:hint="eastAsia" w:ascii="仿宋_GB2312" w:hAnsi="??" w:eastAsia="仿宋_GB2312"/>
          <w:spacing w:val="15"/>
          <w:sz w:val="24"/>
        </w:rPr>
        <w:t>供应商</w:t>
      </w:r>
      <w:r>
        <w:rPr>
          <w:rFonts w:hint="eastAsia" w:ascii="仿宋_GB2312" w:eastAsia="仿宋_GB2312"/>
          <w:sz w:val="24"/>
        </w:rPr>
        <w:t>必须</w:t>
      </w:r>
      <w:r>
        <w:rPr>
          <w:rFonts w:hint="eastAsia" w:ascii="仿宋_GB2312" w:hAnsi="??" w:eastAsia="仿宋_GB2312"/>
          <w:sz w:val="24"/>
        </w:rPr>
        <w:t>具备并提供齐全的生产资质</w:t>
      </w:r>
      <w:r>
        <w:rPr>
          <w:rFonts w:hint="eastAsia" w:ascii="仿宋_GB2312" w:eastAsia="仿宋_GB2312"/>
          <w:sz w:val="24"/>
        </w:rPr>
        <w:t>；</w:t>
      </w:r>
    </w:p>
    <w:p>
      <w:pPr>
        <w:autoSpaceDE w:val="0"/>
        <w:autoSpaceDN w:val="0"/>
        <w:adjustRightInd w:val="0"/>
        <w:spacing w:line="460" w:lineRule="exact"/>
        <w:ind w:firstLine="480" w:firstLineChars="200"/>
        <w:rPr>
          <w:rFonts w:ascii="仿宋_GB2312" w:eastAsia="仿宋_GB2312"/>
          <w:sz w:val="24"/>
        </w:rPr>
      </w:pPr>
      <w:r>
        <w:rPr>
          <w:rFonts w:hint="eastAsia" w:ascii="仿宋_GB2312" w:eastAsia="仿宋_GB2312"/>
          <w:sz w:val="24"/>
        </w:rPr>
        <w:t>（三）</w:t>
      </w:r>
      <w:r>
        <w:rPr>
          <w:rFonts w:hint="eastAsia" w:ascii="仿宋_GB2312" w:hAnsi="宋体" w:eastAsia="仿宋_GB2312"/>
          <w:sz w:val="24"/>
        </w:rPr>
        <w:t>在中国境内注册并具有独立法人资格、注册资金不低于人民币</w:t>
      </w:r>
      <w:r>
        <w:rPr>
          <w:rFonts w:hint="eastAsia" w:ascii="仿宋_GB2312" w:hAnsi="宋体" w:eastAsia="仿宋_GB2312"/>
          <w:color w:val="auto"/>
          <w:sz w:val="24"/>
        </w:rPr>
        <w:t>1亿元（含1亿元）</w:t>
      </w:r>
      <w:r>
        <w:rPr>
          <w:rFonts w:hint="eastAsia" w:ascii="仿宋_GB2312" w:hAnsi="宋体" w:eastAsia="仿宋_GB2312"/>
          <w:sz w:val="24"/>
        </w:rPr>
        <w:t>的专业电线线缆生产企业；</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5</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17</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17</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5日</w:t>
      </w:r>
      <w:r>
        <w:rPr>
          <w:rFonts w:hint="eastAsia" w:ascii="仿宋_GB2312" w:eastAsia="仿宋_GB2312"/>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spacing w:line="500" w:lineRule="exact"/>
        <w:jc w:val="both"/>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5"/>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5"/>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u w:val="single"/>
                <w:lang w:val="en-US" w:eastAsia="zh-CN"/>
              </w:rPr>
              <w:t>OG02电工柜（电线电缆）</w:t>
            </w:r>
            <w:r>
              <w:rPr>
                <w:rFonts w:hint="eastAsia" w:ascii="仿宋_GB2312" w:eastAsia="仿宋_GB2312"/>
                <w:sz w:val="24"/>
                <w:lang w:val="en-US" w:eastAsia="zh-CN"/>
              </w:rPr>
              <w:t>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5"/>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资质条件：在中国境内注册并具有独立法人资格、注册资金不低于人民</w:t>
            </w:r>
            <w:r>
              <w:rPr>
                <w:rFonts w:hint="eastAsia" w:ascii="仿宋_GB2312" w:hAnsi="宋体" w:eastAsia="仿宋_GB2312"/>
                <w:color w:val="auto"/>
                <w:kern w:val="2"/>
              </w:rPr>
              <w:t>币1亿元（含1亿元）具备生产资质的的专</w:t>
            </w:r>
            <w:r>
              <w:rPr>
                <w:rFonts w:hint="eastAsia" w:ascii="仿宋_GB2312" w:hAnsi="宋体" w:eastAsia="仿宋_GB2312"/>
                <w:kern w:val="2"/>
              </w:rPr>
              <w:t>业电线线缆生产企业。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5"/>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5"/>
              <w:keepNext w:val="0"/>
              <w:keepLines w:val="0"/>
              <w:suppressLineNumbers w:val="0"/>
              <w:spacing w:before="0" w:beforeAutospacing="0" w:afterAutospacing="0"/>
              <w:ind w:left="0" w:right="0" w:firstLine="1440" w:firstLineChars="600"/>
              <w:jc w:val="both"/>
              <w:rPr>
                <w:rFonts w:hint="default" w:ascii="仿宋_GB2312" w:eastAsia="仿宋_GB2312" w:cs="仿宋_GB2312"/>
                <w:kern w:val="2"/>
              </w:rPr>
            </w:pPr>
            <w:r>
              <w:rPr>
                <w:rFonts w:hint="eastAsia" w:ascii="仿宋_GB2312" w:eastAsia="仿宋_GB2312"/>
                <w:kern w:val="2"/>
                <w:sz w:val="24"/>
                <w:u w:val="single"/>
                <w:lang w:val="en-US" w:eastAsia="zh-CN"/>
              </w:rPr>
              <w:t>OG02电工柜（电线电缆）</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w:t>
            </w:r>
            <w:r>
              <w:rPr>
                <w:rFonts w:hint="eastAsia" w:ascii="仿宋_GB2312" w:eastAsia="仿宋_GB2312" w:cs="仿宋_GB2312"/>
                <w:color w:val="auto"/>
                <w:kern w:val="2"/>
                <w:sz w:val="24"/>
                <w:u w:val="single"/>
              </w:rPr>
              <w:t>20</w:t>
            </w:r>
            <w:r>
              <w:rPr>
                <w:rFonts w:hint="eastAsia" w:ascii="仿宋_GB2312" w:eastAsia="仿宋_GB2312" w:cs="仿宋_GB2312"/>
                <w:color w:val="auto"/>
                <w:kern w:val="2"/>
                <w:sz w:val="24"/>
                <w:u w:val="single"/>
                <w:lang w:val="en-US" w:eastAsia="zh-CN"/>
              </w:rPr>
              <w:t>23</w:t>
            </w:r>
            <w:r>
              <w:rPr>
                <w:rFonts w:hint="eastAsia" w:ascii="仿宋_GB2312" w:eastAsia="仿宋_GB2312" w:cs="仿宋_GB2312"/>
                <w:color w:val="auto"/>
                <w:kern w:val="2"/>
                <w:sz w:val="24"/>
                <w:u w:val="single"/>
              </w:rPr>
              <w:t>年</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月</w:t>
            </w:r>
            <w:r>
              <w:rPr>
                <w:rFonts w:hint="eastAsia" w:ascii="仿宋_GB2312" w:eastAsia="仿宋_GB2312" w:cs="仿宋_GB2312"/>
                <w:color w:val="auto"/>
                <w:kern w:val="2"/>
                <w:sz w:val="24"/>
                <w:u w:val="single"/>
                <w:lang w:val="en-US" w:eastAsia="zh-CN"/>
              </w:rPr>
              <w:t>17</w:t>
            </w:r>
            <w:r>
              <w:rPr>
                <w:rFonts w:hint="eastAsia" w:ascii="仿宋_GB2312" w:eastAsia="仿宋_GB2312" w:cs="仿宋_GB2312"/>
                <w:color w:val="auto"/>
                <w:kern w:val="2"/>
                <w:sz w:val="24"/>
                <w:u w:val="single"/>
              </w:rPr>
              <w:t>日1</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：00</w:t>
            </w:r>
            <w:r>
              <w:rPr>
                <w:rFonts w:hint="eastAsia" w:ascii="仿宋_GB2312" w:eastAsia="仿宋_GB2312" w:cs="仿宋_GB2312"/>
                <w:color w:val="auto"/>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13</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5"/>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5"/>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5"/>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（一）法人代表授权委托书原件（格式见附件一）；</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（二）报价一览表（附件二）；</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（三）供应商基本情况表（附件三）；</w:t>
      </w:r>
    </w:p>
    <w:p>
      <w:pPr>
        <w:bidi w:val="0"/>
        <w:ind w:firstLine="480" w:firstLineChars="200"/>
        <w:rPr>
          <w:rFonts w:hint="eastAsia" w:ascii="仿宋_GB2312" w:eastAsia="仿宋_GB2312"/>
          <w:color w:val="auto"/>
          <w:sz w:val="24"/>
          <w:lang w:eastAsia="zh-CN"/>
        </w:rPr>
      </w:pPr>
      <w:r>
        <w:rPr>
          <w:rFonts w:hint="eastAsia" w:ascii="仿宋_GB2312" w:eastAsia="仿宋_GB2312"/>
          <w:b w:val="0"/>
          <w:bCs/>
          <w:color w:val="auto"/>
          <w:sz w:val="24"/>
        </w:rPr>
        <w:t>（四）</w:t>
      </w:r>
      <w:r>
        <w:rPr>
          <w:rFonts w:hint="eastAsia" w:ascii="仿宋_GB2312" w:eastAsia="仿宋_GB2312"/>
          <w:color w:val="auto"/>
          <w:sz w:val="24"/>
        </w:rPr>
        <w:t>承诺函（附件</w:t>
      </w:r>
      <w:r>
        <w:rPr>
          <w:rFonts w:hint="eastAsia" w:ascii="仿宋_GB2312" w:eastAsia="仿宋_GB2312"/>
          <w:color w:val="auto"/>
          <w:sz w:val="24"/>
          <w:lang w:val="en-US" w:eastAsia="zh-CN"/>
        </w:rPr>
        <w:t>四</w:t>
      </w:r>
      <w:r>
        <w:rPr>
          <w:rFonts w:hint="eastAsia" w:ascii="仿宋_GB2312" w:eastAsia="仿宋_GB2312"/>
          <w:color w:val="auto"/>
          <w:sz w:val="24"/>
        </w:rPr>
        <w:t>）</w:t>
      </w:r>
      <w:r>
        <w:rPr>
          <w:rFonts w:hint="eastAsia" w:ascii="仿宋_GB2312" w:eastAsia="仿宋_GB2312"/>
          <w:color w:val="auto"/>
          <w:sz w:val="24"/>
          <w:lang w:eastAsia="zh-CN"/>
        </w:rPr>
        <w:t>。</w:t>
      </w:r>
    </w:p>
    <w:p>
      <w:pPr>
        <w:spacing w:line="480" w:lineRule="exact"/>
        <w:ind w:firstLine="482" w:firstLineChars="200"/>
        <w:rPr>
          <w:rFonts w:ascii="仿宋_GB2312" w:eastAsia="仿宋_GB2312"/>
          <w:b/>
          <w:color w:val="FF0000"/>
          <w:sz w:val="24"/>
        </w:rPr>
      </w:pP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u w:val="single"/>
        </w:rPr>
        <w:t>20</w:t>
      </w:r>
      <w:r>
        <w:rPr>
          <w:rFonts w:hint="eastAsia" w:ascii="仿宋_GB2312" w:eastAsia="仿宋_GB2312"/>
          <w:color w:val="auto"/>
          <w:sz w:val="24"/>
          <w:u w:val="single"/>
        </w:rPr>
        <w:t>2</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年</w:t>
      </w:r>
      <w:r>
        <w:rPr>
          <w:rFonts w:hint="eastAsia" w:ascii="仿宋_GB2312" w:eastAsia="仿宋_GB2312"/>
          <w:color w:val="auto"/>
          <w:sz w:val="24"/>
          <w:u w:val="single"/>
          <w:lang w:val="en-US" w:eastAsia="zh-CN"/>
        </w:rPr>
        <w:t>5</w:t>
      </w:r>
      <w:r>
        <w:rPr>
          <w:rFonts w:hint="eastAsia" w:ascii="仿宋_GB2312" w:eastAsia="仿宋_GB2312"/>
          <w:color w:val="auto"/>
          <w:sz w:val="24"/>
          <w:u w:val="single"/>
        </w:rPr>
        <w:t>月</w:t>
      </w:r>
      <w:r>
        <w:rPr>
          <w:rFonts w:hint="eastAsia" w:ascii="仿宋_GB2312" w:eastAsia="仿宋_GB2312"/>
          <w:color w:val="auto"/>
          <w:sz w:val="24"/>
          <w:u w:val="single"/>
          <w:lang w:val="en-US" w:eastAsia="zh-CN"/>
        </w:rPr>
        <w:t>17</w:t>
      </w:r>
      <w:r>
        <w:rPr>
          <w:rFonts w:hint="eastAsia" w:ascii="仿宋_GB2312" w:eastAsia="仿宋_GB2312"/>
          <w:color w:val="auto"/>
          <w:sz w:val="24"/>
          <w:u w:val="single"/>
        </w:rPr>
        <w:t>日</w:t>
      </w:r>
      <w:r>
        <w:rPr>
          <w:rFonts w:hint="eastAsia" w:ascii="仿宋_GB2312" w:eastAsia="仿宋_GB2312"/>
          <w:color w:val="auto"/>
          <w:sz w:val="24"/>
          <w:u w:val="single"/>
          <w:lang w:val="en-US" w:eastAsia="zh-CN"/>
        </w:rPr>
        <w:t>15</w:t>
      </w:r>
      <w:r>
        <w:rPr>
          <w:rFonts w:hint="eastAsia" w:ascii="仿宋_GB2312" w:eastAsia="仿宋_GB2312"/>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left="1200" w:leftChars="218" w:hanging="720" w:hangingChars="3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w:t>
      </w:r>
      <w:r>
        <w:rPr>
          <w:rFonts w:hint="eastAsia" w:ascii="仿宋_GB2312" w:eastAsia="仿宋_GB2312"/>
          <w:sz w:val="24"/>
          <w:lang w:val="en-US" w:eastAsia="zh-CN"/>
        </w:rPr>
        <w:t>成都光明光电股份有限公司</w:t>
      </w:r>
      <w:r>
        <w:rPr>
          <w:rFonts w:hint="eastAsia" w:ascii="仿宋_GB2312" w:eastAsia="仿宋_GB2312"/>
          <w:sz w:val="24"/>
        </w:rPr>
        <w:t>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pStyle w:val="17"/>
        <w:ind w:firstLine="482" w:firstLineChars="0"/>
        <w:jc w:val="center"/>
        <w:rPr>
          <w:rFonts w:hint="eastAsia" w:ascii="宋体" w:hAnsi="宋体"/>
          <w:b/>
          <w:sz w:val="36"/>
          <w:szCs w:val="36"/>
        </w:rPr>
      </w:pPr>
      <w:r>
        <w:rPr>
          <w:rFonts w:hint="eastAsia"/>
          <w:sz w:val="32"/>
        </w:rPr>
        <w:t>第三部分</w:t>
      </w:r>
      <w:r>
        <w:rPr>
          <w:sz w:val="32"/>
        </w:rPr>
        <w:t xml:space="preserve">  </w:t>
      </w:r>
      <w:r>
        <w:rPr>
          <w:rFonts w:hint="eastAsia" w:ascii="宋体" w:hAnsi="宋体"/>
          <w:b/>
          <w:sz w:val="36"/>
          <w:szCs w:val="36"/>
        </w:rPr>
        <w:t>采购合同</w:t>
      </w:r>
    </w:p>
    <w:p>
      <w:pPr>
        <w:jc w:val="center"/>
        <w:rPr>
          <w:sz w:val="32"/>
        </w:rPr>
      </w:pPr>
    </w:p>
    <w:p>
      <w:pPr>
        <w:spacing w:line="460" w:lineRule="exact"/>
        <w:rPr>
          <w:rFonts w:hint="eastAsia" w:ascii="仿宋" w:hAnsi="仿宋" w:eastAsia="仿宋" w:cs="仿宋"/>
          <w:sz w:val="24"/>
        </w:rPr>
      </w:pPr>
      <w:r>
        <w:rPr>
          <w:rFonts w:hint="eastAsia" w:ascii="仿宋" w:hAnsi="仿宋" w:eastAsia="仿宋" w:cs="仿宋"/>
          <w:sz w:val="24"/>
        </w:rPr>
        <w:t xml:space="preserve">采购单位（全称）： </w:t>
      </w:r>
      <w:r>
        <w:rPr>
          <w:rFonts w:hint="eastAsia" w:ascii="仿宋" w:hAnsi="仿宋" w:eastAsia="仿宋" w:cs="仿宋"/>
          <w:sz w:val="24"/>
          <w:u w:val="single"/>
        </w:rPr>
        <w:t xml:space="preserve">                              </w:t>
      </w:r>
      <w:r>
        <w:rPr>
          <w:rFonts w:hint="eastAsia" w:ascii="仿宋" w:hAnsi="仿宋" w:eastAsia="仿宋" w:cs="仿宋"/>
          <w:sz w:val="24"/>
        </w:rPr>
        <w:t>（简称甲方）</w:t>
      </w:r>
    </w:p>
    <w:p>
      <w:pPr>
        <w:spacing w:line="460" w:lineRule="exact"/>
        <w:rPr>
          <w:rFonts w:hint="eastAsia" w:ascii="仿宋" w:hAnsi="仿宋" w:eastAsia="仿宋" w:cs="仿宋"/>
          <w:sz w:val="24"/>
        </w:rPr>
      </w:pPr>
      <w:r>
        <w:rPr>
          <w:rFonts w:hint="eastAsia" w:ascii="仿宋" w:hAnsi="仿宋" w:eastAsia="仿宋" w:cs="仿宋"/>
          <w:sz w:val="24"/>
        </w:rPr>
        <w:t>成交供应商（全称）：</w:t>
      </w:r>
      <w:r>
        <w:rPr>
          <w:rFonts w:hint="eastAsia" w:ascii="仿宋" w:hAnsi="仿宋" w:eastAsia="仿宋" w:cs="仿宋"/>
          <w:sz w:val="24"/>
          <w:u w:val="single"/>
        </w:rPr>
        <w:t xml:space="preserve">                             </w:t>
      </w:r>
      <w:r>
        <w:rPr>
          <w:rFonts w:hint="eastAsia" w:ascii="仿宋" w:hAnsi="仿宋" w:eastAsia="仿宋" w:cs="仿宋"/>
          <w:sz w:val="24"/>
        </w:rPr>
        <w:t>（简称乙方）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依照《中华人民共和国民法典》及其他有关法律、行政法规，遵循平等、自愿、公平和诚实信用的原则，双方</w:t>
      </w:r>
      <w:r>
        <w:rPr>
          <w:rFonts w:hint="eastAsia" w:ascii="仿宋" w:hAnsi="仿宋" w:eastAsia="仿宋" w:cs="仿宋"/>
          <w:bCs/>
          <w:sz w:val="24"/>
        </w:rPr>
        <w:t>就</w:t>
      </w:r>
      <w:r>
        <w:rPr>
          <w:rFonts w:hint="eastAsia" w:ascii="仿宋_GB2312" w:eastAsia="仿宋_GB2312"/>
          <w:sz w:val="24"/>
          <w:u w:val="single"/>
          <w:lang w:val="en-US" w:eastAsia="zh-CN"/>
        </w:rPr>
        <w:t>OG02电工柜（电线电缆）</w:t>
      </w:r>
      <w:r>
        <w:rPr>
          <w:rFonts w:hint="eastAsia" w:ascii="仿宋" w:hAnsi="仿宋" w:eastAsia="仿宋" w:cs="仿宋"/>
          <w:bCs/>
          <w:sz w:val="24"/>
        </w:rPr>
        <w:t>采购项目相关</w:t>
      </w:r>
      <w:r>
        <w:rPr>
          <w:rFonts w:hint="eastAsia" w:ascii="仿宋" w:hAnsi="仿宋" w:eastAsia="仿宋" w:cs="仿宋"/>
          <w:sz w:val="24"/>
        </w:rPr>
        <w:t>事项协商一致，达成如下合同条款：</w:t>
      </w:r>
    </w:p>
    <w:p>
      <w:pPr>
        <w:snapToGrid w:val="0"/>
        <w:spacing w:before="160" w:line="460" w:lineRule="exact"/>
        <w:ind w:firstLine="482" w:firstLineChars="200"/>
        <w:rPr>
          <w:rFonts w:hint="eastAsia" w:ascii="仿宋" w:hAnsi="仿宋" w:eastAsia="仿宋" w:cs="仿宋"/>
          <w:b/>
          <w:sz w:val="24"/>
        </w:rPr>
      </w:pPr>
      <w:r>
        <w:rPr>
          <w:rFonts w:hint="eastAsia" w:ascii="仿宋" w:hAnsi="仿宋" w:eastAsia="仿宋" w:cs="仿宋"/>
          <w:b/>
          <w:sz w:val="24"/>
        </w:rPr>
        <w:t>一、乙方向甲方提供总价值为</w:t>
      </w:r>
      <w:r>
        <w:rPr>
          <w:rFonts w:hint="eastAsia" w:ascii="仿宋" w:hAnsi="仿宋" w:eastAsia="仿宋" w:cs="仿宋"/>
          <w:b/>
          <w:sz w:val="24"/>
          <w:u w:val="single"/>
        </w:rPr>
        <w:t xml:space="preserve">             </w:t>
      </w:r>
      <w:r>
        <w:rPr>
          <w:rFonts w:hint="eastAsia" w:ascii="仿宋" w:hAnsi="仿宋" w:eastAsia="仿宋" w:cs="仿宋"/>
          <w:b/>
          <w:sz w:val="24"/>
        </w:rPr>
        <w:t>元的标的（含</w:t>
      </w:r>
      <w:r>
        <w:rPr>
          <w:rFonts w:hint="eastAsia" w:ascii="仿宋" w:hAnsi="仿宋" w:eastAsia="仿宋" w:cs="仿宋"/>
          <w:b/>
          <w:sz w:val="24"/>
          <w:u w:val="single"/>
        </w:rPr>
        <w:t xml:space="preserve">  13%  </w:t>
      </w:r>
      <w:r>
        <w:rPr>
          <w:rFonts w:hint="eastAsia" w:ascii="仿宋" w:hAnsi="仿宋" w:eastAsia="仿宋" w:cs="仿宋"/>
          <w:b/>
          <w:sz w:val="24"/>
        </w:rPr>
        <w:t>税）。</w:t>
      </w:r>
    </w:p>
    <w:p>
      <w:pPr>
        <w:snapToGrid w:val="0"/>
        <w:spacing w:before="160" w:line="460" w:lineRule="exact"/>
        <w:ind w:firstLine="3213" w:firstLineChars="1000"/>
        <w:rPr>
          <w:rFonts w:hint="eastAsia" w:ascii="仿宋" w:hAnsi="仿宋" w:eastAsia="仿宋" w:cs="仿宋"/>
          <w:b/>
          <w:sz w:val="32"/>
          <w:szCs w:val="32"/>
        </w:rPr>
      </w:pPr>
      <w:r>
        <w:rPr>
          <w:rFonts w:hint="eastAsia" w:ascii="仿宋" w:hAnsi="仿宋" w:eastAsia="仿宋" w:cs="仿宋"/>
          <w:b/>
          <w:sz w:val="32"/>
          <w:szCs w:val="32"/>
        </w:rPr>
        <w:t>标 的 清 单</w:t>
      </w:r>
    </w:p>
    <w:tbl>
      <w:tblPr>
        <w:tblStyle w:val="9"/>
        <w:tblW w:w="0" w:type="auto"/>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975"/>
        <w:gridCol w:w="1200"/>
        <w:gridCol w:w="170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375" w:type="dxa"/>
            <w:noWrap w:val="0"/>
            <w:vAlign w:val="top"/>
          </w:tcPr>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货物的名称</w:t>
            </w:r>
          </w:p>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及品牌.规格.型号</w:t>
            </w: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单位</w:t>
            </w: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jc w:val="center"/>
              <w:rPr>
                <w:rFonts w:hint="eastAsia" w:ascii="仿宋" w:hAnsi="仿宋" w:eastAsia="仿宋" w:cs="仿宋"/>
                <w:kern w:val="0"/>
                <w:sz w:val="24"/>
              </w:rPr>
            </w:pPr>
            <w:r>
              <w:rPr>
                <w:rFonts w:hint="eastAsia" w:ascii="仿宋" w:hAnsi="仿宋" w:eastAsia="仿宋" w:cs="仿宋"/>
                <w:kern w:val="0"/>
                <w:sz w:val="24"/>
              </w:rPr>
              <w:t>数量</w:t>
            </w: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单价（元）</w:t>
            </w: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4" w:type="dxa"/>
            <w:gridSpan w:val="5"/>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合计人民币金额（大写）：                            （￥：   元）</w:t>
            </w:r>
          </w:p>
        </w:tc>
      </w:tr>
    </w:tbl>
    <w:p>
      <w:pPr>
        <w:spacing w:line="460" w:lineRule="exact"/>
        <w:rPr>
          <w:rFonts w:hint="eastAsia" w:ascii="仿宋" w:hAnsi="仿宋" w:eastAsia="仿宋" w:cs="仿宋"/>
          <w:sz w:val="24"/>
        </w:rPr>
      </w:pPr>
      <w:r>
        <w:rPr>
          <w:rFonts w:hint="eastAsia" w:ascii="仿宋" w:hAnsi="仿宋" w:eastAsia="仿宋" w:cs="仿宋"/>
          <w:sz w:val="24"/>
        </w:rPr>
        <w:t xml:space="preserve">        注：可另附清单。</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二、交货时间、地点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（一）采购合同签订后  </w:t>
      </w:r>
      <w:r>
        <w:rPr>
          <w:rFonts w:hint="eastAsia" w:ascii="仿宋" w:hAnsi="仿宋" w:eastAsia="仿宋" w:cs="仿宋"/>
          <w:sz w:val="24"/>
          <w:lang w:val="en-US" w:eastAsia="zh-CN"/>
        </w:rPr>
        <w:t>12</w:t>
      </w:r>
      <w:r>
        <w:rPr>
          <w:rFonts w:hint="eastAsia" w:ascii="仿宋" w:hAnsi="仿宋" w:eastAsia="仿宋" w:cs="仿宋"/>
          <w:sz w:val="24"/>
        </w:rPr>
        <w:t xml:space="preserve">  天内全部交付。</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（二）交货地点：</w:t>
      </w:r>
      <w:r>
        <w:rPr>
          <w:rFonts w:hint="eastAsia" w:ascii="仿宋" w:hAnsi="仿宋" w:eastAsia="仿宋" w:cs="仿宋"/>
          <w:sz w:val="24"/>
          <w:u w:val="single"/>
        </w:rPr>
        <w:t xml:space="preserve">      采购方指定位置              </w:t>
      </w:r>
      <w:r>
        <w:rPr>
          <w:rFonts w:hint="eastAsia" w:ascii="仿宋" w:hAnsi="仿宋" w:eastAsia="仿宋" w:cs="仿宋"/>
          <w:sz w:val="24"/>
        </w:rPr>
        <w:t xml:space="preserve"> 。</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三、质量技术标准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四、运输方式及费用</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由乙方视情况自定运输方式，费用自负。甲方负责到厂后卸货和就位。</w:t>
      </w:r>
    </w:p>
    <w:p>
      <w:pPr>
        <w:numPr>
          <w:ilvl w:val="0"/>
          <w:numId w:val="1"/>
        </w:num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验收</w:t>
      </w:r>
    </w:p>
    <w:p>
      <w:pPr>
        <w:spacing w:line="460" w:lineRule="exact"/>
        <w:ind w:firstLine="480" w:firstLineChars="200"/>
        <w:rPr>
          <w:rFonts w:ascii="仿宋_GB2312" w:hAnsi="宋体" w:eastAsia="仿宋_GB2312"/>
          <w:kern w:val="0"/>
          <w:sz w:val="24"/>
        </w:rPr>
      </w:pPr>
      <w:r>
        <w:rPr>
          <w:rFonts w:hint="eastAsia" w:ascii="仿宋_GB2312" w:eastAsia="仿宋_GB2312"/>
          <w:sz w:val="24"/>
        </w:rPr>
        <w:t>（一）</w:t>
      </w:r>
      <w:r>
        <w:rPr>
          <w:rFonts w:hint="eastAsia" w:ascii="仿宋_GB2312" w:hAnsi="宋体" w:eastAsia="仿宋_GB2312"/>
          <w:kern w:val="0"/>
          <w:sz w:val="24"/>
        </w:rPr>
        <w:t>在货物送达采购单位</w:t>
      </w:r>
      <w:r>
        <w:rPr>
          <w:rFonts w:hint="eastAsia" w:ascii="仿宋_GB2312" w:hAnsi="宋体" w:eastAsia="仿宋_GB2312"/>
          <w:color w:val="000000"/>
          <w:sz w:val="24"/>
          <w:u w:val="single"/>
          <w:lang w:val="en-US" w:eastAsia="zh-CN"/>
        </w:rPr>
        <w:t>7</w:t>
      </w:r>
      <w:r>
        <w:rPr>
          <w:rFonts w:ascii="仿宋_GB2312" w:hAnsi="宋体" w:eastAsia="仿宋_GB2312"/>
          <w:color w:val="000000"/>
          <w:sz w:val="24"/>
          <w:u w:val="single"/>
        </w:rPr>
        <w:t xml:space="preserve">  </w:t>
      </w:r>
      <w:r>
        <w:rPr>
          <w:rFonts w:hint="eastAsia" w:ascii="仿宋_GB2312" w:hAnsi="宋体" w:eastAsia="仿宋_GB2312"/>
          <w:kern w:val="0"/>
          <w:sz w:val="24"/>
        </w:rPr>
        <w:t>日内，甲方根据技术要求组织验收，验收内容包括：型号、规格、数量、外观质量、及货物包装是否完好，所提供货物的装箱清单、原厂合格证是否齐全。货物最终验收后，乙方应对由于设计、工艺或材料的缺陷而发生的任何不足或故障负责，并承担由此引起的一切后果。</w:t>
      </w:r>
    </w:p>
    <w:p>
      <w:pPr>
        <w:spacing w:line="460" w:lineRule="exact"/>
        <w:ind w:firstLine="480" w:firstLineChars="200"/>
        <w:rPr>
          <w:rFonts w:ascii="仿宋_GB2312" w:hAnsi="宋体" w:eastAsia="仿宋_GB2312"/>
          <w:kern w:val="0"/>
          <w:sz w:val="24"/>
        </w:rPr>
      </w:pPr>
      <w:r>
        <w:rPr>
          <w:rFonts w:hint="eastAsia" w:ascii="仿宋_GB2312" w:hAnsi="宋体" w:eastAsia="仿宋_GB2312"/>
          <w:kern w:val="0"/>
          <w:sz w:val="24"/>
        </w:rPr>
        <w:t>（二）甲方应按签订采购合同约定时间组织验收。</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kern w:val="0"/>
          <w:sz w:val="24"/>
        </w:rPr>
        <w:t>（三）</w:t>
      </w:r>
      <w:r>
        <w:rPr>
          <w:rFonts w:hint="eastAsia" w:ascii="仿宋_GB2312" w:eastAsia="仿宋_GB2312"/>
          <w:sz w:val="24"/>
        </w:rPr>
        <w:t>甲方在验收中，如发现有与合同规定不符的，应在</w:t>
      </w:r>
      <w:r>
        <w:rPr>
          <w:rFonts w:ascii="仿宋_GB2312" w:hAnsi="宋体" w:eastAsia="仿宋_GB2312"/>
          <w:color w:val="000000"/>
          <w:sz w:val="24"/>
          <w:u w:val="single"/>
        </w:rPr>
        <w:t xml:space="preserve">  </w:t>
      </w:r>
      <w:r>
        <w:rPr>
          <w:rFonts w:hint="eastAsia" w:ascii="仿宋_GB2312" w:hAnsi="宋体" w:eastAsia="仿宋_GB2312"/>
          <w:color w:val="000000"/>
          <w:sz w:val="24"/>
          <w:u w:val="single"/>
        </w:rPr>
        <w:t>10</w:t>
      </w:r>
      <w:r>
        <w:rPr>
          <w:rFonts w:ascii="仿宋_GB2312" w:hAnsi="宋体" w:eastAsia="仿宋_GB2312"/>
          <w:color w:val="000000"/>
          <w:sz w:val="24"/>
          <w:u w:val="single"/>
        </w:rPr>
        <w:t xml:space="preserve">  </w:t>
      </w:r>
      <w:r>
        <w:rPr>
          <w:rFonts w:hint="eastAsia" w:ascii="仿宋_GB2312" w:hAnsi="宋体" w:eastAsia="仿宋_GB2312"/>
          <w:color w:val="000000"/>
          <w:sz w:val="24"/>
        </w:rPr>
        <w:t>天内向乙方提出书面意见，不签发验收单。乙方在接到甲方书面意见后，应在</w:t>
      </w:r>
      <w:r>
        <w:rPr>
          <w:rFonts w:ascii="仿宋_GB2312" w:hAnsi="宋体" w:eastAsia="仿宋_GB2312"/>
          <w:color w:val="000000"/>
          <w:sz w:val="24"/>
          <w:u w:val="single"/>
        </w:rPr>
        <w:t xml:space="preserve"> </w:t>
      </w:r>
      <w:r>
        <w:rPr>
          <w:rFonts w:hint="eastAsia" w:ascii="仿宋_GB2312" w:hAnsi="宋体" w:eastAsia="仿宋_GB2312"/>
          <w:color w:val="000000"/>
          <w:sz w:val="24"/>
          <w:u w:val="single"/>
        </w:rPr>
        <w:t>10</w:t>
      </w:r>
      <w:r>
        <w:rPr>
          <w:rFonts w:ascii="仿宋_GB2312" w:hAnsi="宋体" w:eastAsia="仿宋_GB2312"/>
          <w:color w:val="000000"/>
          <w:sz w:val="24"/>
          <w:u w:val="single"/>
        </w:rPr>
        <w:t xml:space="preserve">  </w:t>
      </w:r>
      <w:r>
        <w:rPr>
          <w:rFonts w:hint="eastAsia" w:ascii="仿宋_GB2312" w:hAnsi="宋体" w:eastAsia="仿宋_GB2312"/>
          <w:color w:val="000000"/>
          <w:sz w:val="24"/>
        </w:rPr>
        <w:t>天内予以处理，并将处理结果以书面形式告知甲方。</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bCs/>
          <w:sz w:val="24"/>
        </w:rPr>
        <w:t>六、付款方式</w:t>
      </w:r>
    </w:p>
    <w:p>
      <w:pPr>
        <w:spacing w:line="460" w:lineRule="exact"/>
        <w:ind w:firstLine="480" w:firstLineChars="200"/>
        <w:rPr>
          <w:rFonts w:hint="eastAsia" w:ascii="仿宋_GB2312" w:hAnsi="宋体" w:eastAsia="仿宋_GB2312"/>
          <w:color w:val="000000"/>
          <w:sz w:val="24"/>
        </w:rPr>
      </w:pPr>
      <w:r>
        <w:rPr>
          <w:rFonts w:hint="eastAsia" w:ascii="仿宋_GB2312" w:hAnsi="宋体" w:eastAsia="仿宋_GB2312"/>
          <w:color w:val="000000"/>
          <w:sz w:val="24"/>
        </w:rPr>
        <w:t>货物验收合格并收到增值税专用发票后</w:t>
      </w:r>
      <w:r>
        <w:rPr>
          <w:rFonts w:hint="eastAsia" w:ascii="仿宋_GB2312" w:hAnsi="宋体" w:eastAsia="仿宋_GB2312"/>
          <w:color w:val="000000"/>
          <w:sz w:val="24"/>
          <w:lang w:val="en-US" w:eastAsia="zh-CN"/>
        </w:rPr>
        <w:t>3</w:t>
      </w:r>
      <w:r>
        <w:rPr>
          <w:rFonts w:hint="eastAsia" w:ascii="仿宋_GB2312" w:hAnsi="宋体" w:eastAsia="仿宋_GB2312"/>
          <w:color w:val="000000"/>
          <w:sz w:val="24"/>
        </w:rPr>
        <w:t>0天内支付货款（</w:t>
      </w:r>
      <w:r>
        <w:rPr>
          <w:rFonts w:hint="eastAsia" w:ascii="仿宋_GB2312" w:hAnsi="宋体" w:eastAsia="仿宋_GB2312"/>
          <w:color w:val="000000"/>
          <w:sz w:val="24"/>
          <w:lang w:val="zh-CN"/>
        </w:rPr>
        <w:t>银行转账（电汇）、银行承兑汇票、兵装财务银行承兑汇票、中兵保兑单等</w:t>
      </w:r>
      <w:r>
        <w:rPr>
          <w:rFonts w:hint="eastAsia" w:ascii="仿宋_GB2312" w:hAnsi="宋体" w:eastAsia="仿宋_GB2312"/>
          <w:color w:val="000000"/>
          <w:sz w:val="24"/>
        </w:rPr>
        <w:t>）。</w:t>
      </w:r>
    </w:p>
    <w:p>
      <w:pPr>
        <w:spacing w:line="460" w:lineRule="exact"/>
        <w:ind w:right="-73" w:firstLine="472" w:firstLineChars="196"/>
        <w:rPr>
          <w:rFonts w:hint="eastAsia" w:ascii="仿宋" w:hAnsi="仿宋" w:eastAsia="仿宋" w:cs="仿宋"/>
          <w:b/>
          <w:sz w:val="24"/>
        </w:rPr>
      </w:pPr>
      <w:r>
        <w:rPr>
          <w:rFonts w:hint="eastAsia" w:ascii="仿宋" w:hAnsi="仿宋" w:eastAsia="仿宋" w:cs="仿宋"/>
          <w:b/>
          <w:sz w:val="24"/>
        </w:rPr>
        <w:t>七、售后服务</w:t>
      </w:r>
      <w:bookmarkStart w:id="2" w:name="_GoBack"/>
      <w:bookmarkEnd w:id="2"/>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八、违约条款</w:t>
      </w:r>
    </w:p>
    <w:p>
      <w:pPr>
        <w:spacing w:line="460" w:lineRule="exact"/>
        <w:ind w:firstLine="480" w:firstLineChars="200"/>
        <w:rPr>
          <w:rFonts w:hint="eastAsia" w:ascii="仿宋" w:hAnsi="仿宋" w:eastAsia="仿宋" w:cs="仿宋"/>
          <w:b/>
          <w:sz w:val="24"/>
        </w:rPr>
      </w:pPr>
      <w:r>
        <w:rPr>
          <w:rFonts w:hint="eastAsia" w:ascii="仿宋" w:hAnsi="仿宋" w:eastAsia="仿宋" w:cs="仿宋"/>
          <w:sz w:val="24"/>
        </w:rPr>
        <w:t>（一）乙方不按期完成合同约定的内容，应向甲方支付违约金，除甲方或不可抗力造成原因外，每延迟交付一天，按合同总价款的0.5%支付违约金，违约金可直接从货款中扣除; 延期超过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10</w:t>
      </w:r>
      <w:r>
        <w:rPr>
          <w:rFonts w:hint="eastAsia" w:ascii="仿宋" w:hAnsi="仿宋" w:eastAsia="仿宋" w:cs="仿宋"/>
          <w:sz w:val="24"/>
          <w:u w:val="single"/>
        </w:rPr>
        <w:t xml:space="preserve"> </w:t>
      </w:r>
      <w:r>
        <w:rPr>
          <w:rFonts w:hint="eastAsia" w:ascii="仿宋" w:hAnsi="仿宋" w:eastAsia="仿宋" w:cs="仿宋"/>
          <w:sz w:val="24"/>
        </w:rPr>
        <w:t xml:space="preserve">日，甲方有权强制解除合同，追回预付款并赔偿带来的一切损失。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（二）乙方所供产品品种、型号、规格、花色、质量不符合规定的，由其负责包换或包修，并承担修理、调换或退货而支付的实际费用。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（四）本项目不得转让分包，如有发生，无条件清理退场，所造成的一切损失由乙方负责。</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九、知识产权</w:t>
      </w:r>
    </w:p>
    <w:p>
      <w:pPr>
        <w:pStyle w:val="7"/>
        <w:spacing w:line="460" w:lineRule="exact"/>
        <w:ind w:left="0" w:leftChars="0" w:firstLine="440" w:firstLineChars="200"/>
        <w:rPr>
          <w:rFonts w:hint="eastAsia" w:ascii="仿宋" w:hAnsi="仿宋" w:eastAsia="仿宋" w:cs="仿宋"/>
        </w:rPr>
      </w:pPr>
      <w:r>
        <w:rPr>
          <w:rFonts w:hint="eastAsia" w:ascii="仿宋" w:hAnsi="仿宋" w:eastAsia="仿宋" w:cs="仿宋"/>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十、合同生效及审核</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本合同经甲方、乙方签字盖章后生效，合同签订的内容不能超出询价采购文件和报价文件的实质性内容。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十一、合同的组成部分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本合同条款、供应商确认通知书、询价文件、报价文件构成合同的组成部分。 </w:t>
      </w:r>
    </w:p>
    <w:p>
      <w:pPr>
        <w:spacing w:line="460" w:lineRule="exact"/>
        <w:ind w:firstLine="482" w:firstLineChars="200"/>
        <w:rPr>
          <w:rFonts w:hint="eastAsia" w:ascii="仿宋" w:hAnsi="仿宋" w:eastAsia="仿宋" w:cs="仿宋"/>
          <w:sz w:val="24"/>
        </w:rPr>
      </w:pPr>
      <w:r>
        <w:rPr>
          <w:rFonts w:hint="eastAsia" w:ascii="仿宋" w:hAnsi="仿宋" w:eastAsia="仿宋" w:cs="仿宋"/>
          <w:b/>
          <w:sz w:val="24"/>
        </w:rPr>
        <w:t>十二</w:t>
      </w:r>
      <w:r>
        <w:rPr>
          <w:rFonts w:hint="eastAsia" w:ascii="仿宋" w:hAnsi="仿宋" w:eastAsia="仿宋" w:cs="仿宋"/>
          <w:sz w:val="24"/>
        </w:rPr>
        <w:t>、本合同一式</w:t>
      </w:r>
      <w:r>
        <w:rPr>
          <w:rFonts w:hint="eastAsia" w:ascii="仿宋" w:hAnsi="仿宋" w:eastAsia="仿宋" w:cs="仿宋"/>
          <w:sz w:val="24"/>
          <w:lang w:val="en-US" w:eastAsia="zh-CN"/>
        </w:rPr>
        <w:t>叁</w:t>
      </w:r>
      <w:r>
        <w:rPr>
          <w:rFonts w:hint="eastAsia" w:ascii="仿宋" w:hAnsi="仿宋" w:eastAsia="仿宋" w:cs="仿宋"/>
          <w:sz w:val="24"/>
        </w:rPr>
        <w:t>份，以中文书写，甲方、乙方各执</w:t>
      </w:r>
      <w:r>
        <w:rPr>
          <w:rFonts w:hint="eastAsia" w:ascii="仿宋" w:hAnsi="仿宋" w:eastAsia="仿宋" w:cs="仿宋"/>
          <w:sz w:val="24"/>
          <w:lang w:val="en-US" w:eastAsia="zh-CN"/>
        </w:rPr>
        <w:t>贰</w:t>
      </w:r>
      <w:r>
        <w:rPr>
          <w:rFonts w:hint="eastAsia" w:ascii="仿宋" w:hAnsi="仿宋" w:eastAsia="仿宋" w:cs="仿宋"/>
          <w:sz w:val="24"/>
        </w:rPr>
        <w:t>份、一份。</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sz w:val="24"/>
        </w:rPr>
        <w:t>十三、</w:t>
      </w:r>
      <w:r>
        <w:rPr>
          <w:rFonts w:hint="eastAsia" w:ascii="仿宋" w:hAnsi="仿宋" w:eastAsia="仿宋" w:cs="仿宋"/>
          <w:sz w:val="24"/>
        </w:rPr>
        <w:t>本合同一切未尽事宜，按合同法有关规定执行，无相关规定的，由甲乙双方协商解决。</w:t>
      </w:r>
    </w:p>
    <w:p>
      <w:pPr>
        <w:spacing w:line="460" w:lineRule="exact"/>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r>
        <w:rPr>
          <w:rFonts w:hint="eastAsia" w:ascii="仿宋" w:hAnsi="仿宋" w:eastAsia="仿宋" w:cs="仿宋"/>
          <w:sz w:val="24"/>
        </w:rPr>
        <w:t>（盖章）    乙方：</w:t>
      </w:r>
      <w:r>
        <w:rPr>
          <w:rFonts w:hint="eastAsia" w:ascii="仿宋" w:hAnsi="仿宋" w:eastAsia="仿宋" w:cs="仿宋"/>
          <w:sz w:val="24"/>
          <w:u w:val="single"/>
        </w:rPr>
        <w:t xml:space="preserve">                         </w:t>
      </w:r>
      <w:r>
        <w:rPr>
          <w:rFonts w:hint="eastAsia" w:ascii="仿宋" w:hAnsi="仿宋" w:eastAsia="仿宋" w:cs="仿宋"/>
          <w:sz w:val="24"/>
        </w:rPr>
        <w:t xml:space="preserve">（盖章）       </w:t>
      </w:r>
    </w:p>
    <w:p>
      <w:pPr>
        <w:widowControl/>
        <w:snapToGrid w:val="0"/>
        <w:spacing w:before="19" w:line="460" w:lineRule="exact"/>
        <w:rPr>
          <w:rFonts w:hint="eastAsia" w:ascii="仿宋" w:hAnsi="仿宋" w:eastAsia="仿宋" w:cs="仿宋"/>
          <w:sz w:val="24"/>
          <w:u w:val="single"/>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u w:val="single"/>
        </w:rPr>
        <w:t xml:space="preserve">                </w:t>
      </w:r>
      <w:r>
        <w:rPr>
          <w:rFonts w:hint="eastAsia" w:ascii="仿宋" w:hAnsi="仿宋" w:eastAsia="仿宋" w:cs="仿宋"/>
          <w:sz w:val="24"/>
        </w:rPr>
        <w:t xml:space="preserve">                  联系人：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w:t>
      </w: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b/>
          <w:sz w:val="32"/>
          <w:szCs w:val="32"/>
        </w:rPr>
      </w:pPr>
      <w:r>
        <w:rPr>
          <w:rFonts w:hint="eastAsia" w:ascii="仿宋" w:hAnsi="仿宋" w:eastAsia="仿宋" w:cs="仿宋"/>
          <w:sz w:val="24"/>
        </w:rPr>
        <w:t>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                   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pStyle w:val="3"/>
        <w:rPr>
          <w:rFonts w:hint="default"/>
          <w:lang w:val="en-US" w:eastAsia="zh-CN"/>
        </w:rPr>
      </w:pPr>
    </w:p>
    <w:p>
      <w:pPr>
        <w:numPr>
          <w:ilvl w:val="0"/>
          <w:numId w:val="2"/>
        </w:numPr>
        <w:rPr>
          <w:rFonts w:ascii="Calibri" w:hAnsi="Calibri"/>
          <w:sz w:val="28"/>
          <w:szCs w:val="28"/>
        </w:rPr>
      </w:pPr>
      <w:r>
        <w:rPr>
          <w:rFonts w:hint="eastAsia" w:ascii="Calibri" w:hAnsi="Calibri"/>
          <w:sz w:val="28"/>
          <w:szCs w:val="28"/>
        </w:rPr>
        <w:t>电力电缆技术要求</w:t>
      </w:r>
    </w:p>
    <w:p>
      <w:pPr>
        <w:numPr>
          <w:ilvl w:val="1"/>
          <w:numId w:val="2"/>
        </w:numPr>
        <w:rPr>
          <w:rFonts w:ascii="Calibri" w:hAnsi="Calibri"/>
          <w:sz w:val="28"/>
          <w:szCs w:val="28"/>
        </w:rPr>
      </w:pPr>
      <w:r>
        <w:rPr>
          <w:rFonts w:hint="eastAsia" w:ascii="Calibri" w:hAnsi="Calibri"/>
          <w:sz w:val="28"/>
          <w:szCs w:val="28"/>
        </w:rPr>
        <w:t>电缆结构</w:t>
      </w:r>
    </w:p>
    <w:p>
      <w:pPr>
        <w:ind w:left="735"/>
        <w:rPr>
          <w:rFonts w:ascii="Calibri" w:hAnsi="Calibri"/>
          <w:sz w:val="28"/>
          <w:szCs w:val="28"/>
        </w:rPr>
      </w:pPr>
      <w:r>
        <w:rPr>
          <w:rFonts w:hint="eastAsia" w:ascii="Calibri" w:hAnsi="Calibri"/>
          <w:sz w:val="28"/>
          <w:szCs w:val="28"/>
        </w:rPr>
        <w:t>电缆结构出符合GB/T 12706.2和GB/T 12706.3的规定外，还应满足以下要求。</w:t>
      </w:r>
    </w:p>
    <w:p>
      <w:pPr>
        <w:numPr>
          <w:ilvl w:val="2"/>
          <w:numId w:val="2"/>
        </w:numPr>
        <w:rPr>
          <w:rFonts w:ascii="Calibri" w:hAnsi="Calibri"/>
          <w:sz w:val="28"/>
          <w:szCs w:val="28"/>
        </w:rPr>
      </w:pPr>
      <w:r>
        <w:rPr>
          <w:rFonts w:hint="eastAsia" w:ascii="Calibri" w:hAnsi="Calibri"/>
          <w:sz w:val="28"/>
          <w:szCs w:val="28"/>
        </w:rPr>
        <w:t>导体</w:t>
      </w:r>
    </w:p>
    <w:p>
      <w:pPr>
        <w:ind w:left="720" w:firstLine="420"/>
        <w:rPr>
          <w:rFonts w:ascii="Calibri" w:hAnsi="Calibri"/>
          <w:sz w:val="28"/>
          <w:szCs w:val="28"/>
        </w:rPr>
      </w:pPr>
      <w:r>
        <w:rPr>
          <w:rFonts w:hint="eastAsia" w:ascii="Calibri" w:hAnsi="Calibri"/>
          <w:sz w:val="28"/>
          <w:szCs w:val="28"/>
        </w:rPr>
        <w:t>导体表面应光洁、无油污、无损伤屏蔽及绝缘的毛刺、锐边，无凸起或断裂的单线。导体应为圆形并校核紧压，紧压系数不小于0.9.</w:t>
      </w:r>
    </w:p>
    <w:p>
      <w:pPr>
        <w:numPr>
          <w:ilvl w:val="2"/>
          <w:numId w:val="2"/>
        </w:numPr>
        <w:rPr>
          <w:rFonts w:ascii="Calibri" w:hAnsi="Calibri"/>
          <w:sz w:val="28"/>
          <w:szCs w:val="28"/>
        </w:rPr>
      </w:pPr>
      <w:r>
        <w:rPr>
          <w:rFonts w:hint="eastAsia" w:ascii="Calibri" w:hAnsi="Calibri"/>
          <w:sz w:val="28"/>
          <w:szCs w:val="28"/>
        </w:rPr>
        <w:t>绝缘</w:t>
      </w:r>
    </w:p>
    <w:p>
      <w:pPr>
        <w:ind w:left="1440"/>
        <w:rPr>
          <w:rFonts w:ascii="Calibri" w:hAnsi="Calibri"/>
          <w:sz w:val="28"/>
          <w:szCs w:val="28"/>
        </w:rPr>
      </w:pPr>
      <w:r>
        <w:rPr>
          <w:rFonts w:hint="eastAsia" w:ascii="Calibri" w:hAnsi="Calibri"/>
          <w:sz w:val="28"/>
          <w:szCs w:val="28"/>
        </w:rPr>
        <w:t>0.6/1KV电缆绝缘厚度参见GB/T 12706.1-2008中规定，绝缘厚度平均值不应小于标称值，任一点最小测量厚度应不小于标称值的95%。任一断面的偏心率【（最大测量厚度-最小测量厚度）/最大测量厚度】应大于10%。</w:t>
      </w:r>
    </w:p>
    <w:p>
      <w:pPr>
        <w:ind w:left="1440"/>
        <w:rPr>
          <w:rFonts w:ascii="Calibri" w:hAnsi="Calibri"/>
          <w:sz w:val="28"/>
          <w:szCs w:val="28"/>
        </w:rPr>
      </w:pPr>
      <w:r>
        <w:rPr>
          <w:rFonts w:hint="eastAsia" w:ascii="Calibri" w:hAnsi="Calibri"/>
          <w:sz w:val="28"/>
          <w:szCs w:val="28"/>
        </w:rPr>
        <w:t>电缆的绝缘偏心率应符合下式规定</w:t>
      </w:r>
    </w:p>
    <w:p>
      <w:pPr>
        <w:ind w:left="1440"/>
        <w:rPr>
          <w:rFonts w:ascii="Calibri" w:hAnsi="Calibri"/>
          <w:sz w:val="28"/>
          <w:szCs w:val="28"/>
        </w:rPr>
      </w:pPr>
      <w:r>
        <w:rPr>
          <w:rFonts w:hint="eastAsia" w:ascii="Calibri" w:hAnsi="Calibri"/>
          <w:sz w:val="28"/>
          <w:szCs w:val="28"/>
        </w:rPr>
        <w:t>（t</w:t>
      </w:r>
      <w:r>
        <w:rPr>
          <w:rFonts w:hint="eastAsia" w:ascii="Calibri" w:hAnsi="Calibri"/>
          <w:sz w:val="28"/>
          <w:szCs w:val="28"/>
          <w:vertAlign w:val="subscript"/>
        </w:rPr>
        <w:t>max</w:t>
      </w:r>
      <w:r>
        <w:rPr>
          <w:rFonts w:hint="eastAsia" w:ascii="Calibri" w:hAnsi="Calibri"/>
          <w:sz w:val="28"/>
          <w:szCs w:val="28"/>
        </w:rPr>
        <w:t>-t</w:t>
      </w:r>
      <w:r>
        <w:rPr>
          <w:rFonts w:hint="eastAsia" w:ascii="Calibri" w:hAnsi="Calibri"/>
          <w:sz w:val="28"/>
          <w:szCs w:val="28"/>
          <w:vertAlign w:val="subscript"/>
        </w:rPr>
        <w:t>min</w:t>
      </w:r>
      <w:r>
        <w:rPr>
          <w:rFonts w:hint="eastAsia" w:ascii="Calibri" w:hAnsi="Calibri"/>
          <w:sz w:val="28"/>
          <w:szCs w:val="28"/>
        </w:rPr>
        <w:t>）/t</w:t>
      </w:r>
      <w:r>
        <w:rPr>
          <w:rFonts w:hint="eastAsia" w:ascii="Calibri" w:hAnsi="Calibri"/>
          <w:sz w:val="28"/>
          <w:szCs w:val="28"/>
          <w:vertAlign w:val="subscript"/>
        </w:rPr>
        <w:t xml:space="preserve">max </w:t>
      </w:r>
      <w:r>
        <w:rPr>
          <w:rFonts w:hint="eastAsia" w:ascii="宋体" w:hAnsi="宋体"/>
          <w:sz w:val="28"/>
          <w:szCs w:val="28"/>
        </w:rPr>
        <w:t>≤</w:t>
      </w:r>
      <w:r>
        <w:rPr>
          <w:rFonts w:hint="eastAsia" w:ascii="Calibri" w:hAnsi="Calibri"/>
          <w:sz w:val="28"/>
          <w:szCs w:val="28"/>
        </w:rPr>
        <w:t>10%</w:t>
      </w:r>
    </w:p>
    <w:p>
      <w:pPr>
        <w:ind w:left="1440"/>
        <w:rPr>
          <w:rFonts w:ascii="Calibri" w:hAnsi="Calibri"/>
          <w:sz w:val="28"/>
          <w:szCs w:val="28"/>
        </w:rPr>
      </w:pPr>
      <w:r>
        <w:rPr>
          <w:rFonts w:hint="eastAsia" w:ascii="Calibri" w:hAnsi="Calibri"/>
          <w:sz w:val="28"/>
          <w:szCs w:val="28"/>
        </w:rPr>
        <w:t>式中:</w:t>
      </w:r>
    </w:p>
    <w:p>
      <w:pPr>
        <w:ind w:left="1440"/>
        <w:rPr>
          <w:rFonts w:ascii="Calibri" w:hAnsi="Calibri"/>
          <w:sz w:val="28"/>
          <w:szCs w:val="28"/>
        </w:rPr>
      </w:pPr>
      <w:r>
        <w:rPr>
          <w:rFonts w:hint="eastAsia" w:ascii="Calibri" w:hAnsi="Calibri"/>
          <w:sz w:val="28"/>
          <w:szCs w:val="28"/>
        </w:rPr>
        <w:t>t</w:t>
      </w:r>
      <w:r>
        <w:rPr>
          <w:rFonts w:hint="eastAsia" w:ascii="Calibri" w:hAnsi="Calibri"/>
          <w:sz w:val="28"/>
          <w:szCs w:val="28"/>
          <w:vertAlign w:val="subscript"/>
        </w:rPr>
        <w:t>max-</w:t>
      </w:r>
      <w:r>
        <w:rPr>
          <w:rFonts w:hint="eastAsia" w:ascii="Calibri" w:hAnsi="Calibri"/>
          <w:sz w:val="28"/>
          <w:szCs w:val="28"/>
        </w:rPr>
        <w:t>--绝缘最大厚度，mm</w:t>
      </w:r>
    </w:p>
    <w:p>
      <w:pPr>
        <w:ind w:left="1440"/>
        <w:rPr>
          <w:rFonts w:ascii="Calibri" w:hAnsi="Calibri"/>
          <w:sz w:val="28"/>
          <w:szCs w:val="28"/>
        </w:rPr>
      </w:pPr>
      <w:r>
        <w:rPr>
          <w:rFonts w:hint="eastAsia" w:ascii="Calibri" w:hAnsi="Calibri"/>
          <w:sz w:val="28"/>
          <w:szCs w:val="28"/>
        </w:rPr>
        <w:t>t</w:t>
      </w:r>
      <w:r>
        <w:rPr>
          <w:rFonts w:hint="eastAsia" w:ascii="Calibri" w:hAnsi="Calibri"/>
          <w:sz w:val="28"/>
          <w:szCs w:val="28"/>
          <w:vertAlign w:val="subscript"/>
        </w:rPr>
        <w:t>min</w:t>
      </w:r>
      <w:r>
        <w:rPr>
          <w:rFonts w:hint="eastAsia" w:ascii="Calibri" w:hAnsi="Calibri"/>
          <w:sz w:val="28"/>
          <w:szCs w:val="28"/>
        </w:rPr>
        <w:t>---绝缘最小厚度，mm</w:t>
      </w:r>
    </w:p>
    <w:p>
      <w:pPr>
        <w:ind w:left="1440"/>
        <w:rPr>
          <w:rFonts w:ascii="Calibri" w:hAnsi="Calibri"/>
          <w:sz w:val="28"/>
          <w:szCs w:val="28"/>
        </w:rPr>
      </w:pPr>
      <w:r>
        <w:rPr>
          <w:rFonts w:hint="eastAsia" w:ascii="Calibri" w:hAnsi="Calibri"/>
          <w:sz w:val="28"/>
          <w:szCs w:val="28"/>
        </w:rPr>
        <w:t>t</w:t>
      </w:r>
      <w:r>
        <w:rPr>
          <w:rFonts w:hint="eastAsia" w:ascii="Calibri" w:hAnsi="Calibri"/>
          <w:sz w:val="28"/>
          <w:szCs w:val="28"/>
          <w:vertAlign w:val="subscript"/>
        </w:rPr>
        <w:t>n-</w:t>
      </w:r>
      <w:r>
        <w:rPr>
          <w:rFonts w:hint="eastAsia" w:ascii="Calibri" w:hAnsi="Calibri"/>
          <w:sz w:val="28"/>
          <w:szCs w:val="28"/>
        </w:rPr>
        <w:t>--绝缘标称厚度，mm</w:t>
      </w:r>
    </w:p>
    <w:p>
      <w:pPr>
        <w:numPr>
          <w:ilvl w:val="2"/>
          <w:numId w:val="2"/>
        </w:numPr>
        <w:rPr>
          <w:rFonts w:ascii="Calibri" w:hAnsi="Calibri"/>
          <w:sz w:val="28"/>
          <w:szCs w:val="28"/>
        </w:rPr>
      </w:pPr>
      <w:r>
        <w:rPr>
          <w:rFonts w:hint="eastAsia" w:ascii="Calibri" w:hAnsi="Calibri"/>
          <w:sz w:val="28"/>
          <w:szCs w:val="28"/>
        </w:rPr>
        <w:t>内衬层及填充</w:t>
      </w:r>
    </w:p>
    <w:p>
      <w:pPr>
        <w:ind w:left="1440"/>
        <w:rPr>
          <w:rFonts w:ascii="Calibri" w:hAnsi="Calibri"/>
          <w:sz w:val="28"/>
          <w:szCs w:val="28"/>
        </w:rPr>
      </w:pPr>
      <w:r>
        <w:rPr>
          <w:rFonts w:hint="eastAsia" w:ascii="Calibri" w:hAnsi="Calibri"/>
          <w:sz w:val="28"/>
          <w:szCs w:val="28"/>
        </w:rPr>
        <w:t>缆芯采用与电缆运行温度相适应的非吸湿性聚丙烯撕裂填充，应紧密无缝隙，并保证在成品电缆段附加老化试验后不粉化。三芯成缆后外形应圆整。</w:t>
      </w:r>
    </w:p>
    <w:p>
      <w:pPr>
        <w:ind w:left="1440"/>
        <w:rPr>
          <w:rFonts w:ascii="Calibri" w:hAnsi="Calibri"/>
          <w:sz w:val="28"/>
          <w:szCs w:val="28"/>
        </w:rPr>
      </w:pPr>
      <w:r>
        <w:rPr>
          <w:rFonts w:hint="eastAsia" w:ascii="Calibri" w:hAnsi="Calibri"/>
          <w:sz w:val="28"/>
          <w:szCs w:val="28"/>
        </w:rPr>
        <w:t>隔离套采用挤包型。隔离套厚度平均值应不小于标称值，任一点最小厚度不限于标称值80%。</w:t>
      </w:r>
    </w:p>
    <w:p>
      <w:pPr>
        <w:numPr>
          <w:ilvl w:val="2"/>
          <w:numId w:val="2"/>
        </w:numPr>
        <w:rPr>
          <w:rFonts w:ascii="Calibri" w:hAnsi="Calibri"/>
          <w:sz w:val="28"/>
          <w:szCs w:val="28"/>
        </w:rPr>
      </w:pPr>
      <w:r>
        <w:rPr>
          <w:rFonts w:hint="eastAsia" w:ascii="Calibri" w:hAnsi="Calibri"/>
          <w:sz w:val="28"/>
          <w:szCs w:val="28"/>
        </w:rPr>
        <w:t>外护套</w:t>
      </w:r>
    </w:p>
    <w:p>
      <w:pPr>
        <w:ind w:left="1440"/>
        <w:rPr>
          <w:rFonts w:ascii="Calibri" w:hAnsi="Calibri"/>
          <w:sz w:val="28"/>
          <w:szCs w:val="28"/>
        </w:rPr>
      </w:pPr>
      <w:r>
        <w:rPr>
          <w:rFonts w:hint="eastAsia" w:ascii="Calibri" w:hAnsi="Calibri"/>
          <w:sz w:val="28"/>
          <w:szCs w:val="28"/>
        </w:rPr>
        <w:t>外护套应采用聚氯乙烯料挤包。电缆外护套标称厚度t</w:t>
      </w:r>
      <w:r>
        <w:rPr>
          <w:rFonts w:hint="eastAsia" w:ascii="Calibri" w:hAnsi="Calibri"/>
          <w:sz w:val="28"/>
          <w:szCs w:val="28"/>
          <w:vertAlign w:val="subscript"/>
        </w:rPr>
        <w:t>s</w:t>
      </w:r>
      <w:r>
        <w:rPr>
          <w:rFonts w:hint="eastAsia" w:ascii="Calibri" w:hAnsi="Calibri"/>
          <w:sz w:val="28"/>
          <w:szCs w:val="28"/>
        </w:rPr>
        <w:t>（以mm计）按下式计算：</w:t>
      </w:r>
    </w:p>
    <w:p>
      <w:pPr>
        <w:ind w:left="1440"/>
        <w:rPr>
          <w:rFonts w:ascii="Calibri" w:hAnsi="Calibri"/>
          <w:sz w:val="28"/>
          <w:szCs w:val="28"/>
        </w:rPr>
      </w:pPr>
      <w:r>
        <w:rPr>
          <w:rFonts w:hint="eastAsia" w:ascii="Calibri" w:hAnsi="Calibri"/>
          <w:sz w:val="28"/>
          <w:szCs w:val="28"/>
        </w:rPr>
        <w:t>t</w:t>
      </w:r>
      <w:r>
        <w:rPr>
          <w:rFonts w:hint="eastAsia" w:ascii="Calibri" w:hAnsi="Calibri"/>
          <w:sz w:val="28"/>
          <w:szCs w:val="28"/>
          <w:vertAlign w:val="subscript"/>
        </w:rPr>
        <w:t>s</w:t>
      </w:r>
      <w:r>
        <w:rPr>
          <w:rFonts w:hint="eastAsia" w:ascii="Calibri" w:hAnsi="Calibri"/>
          <w:sz w:val="28"/>
          <w:szCs w:val="28"/>
        </w:rPr>
        <w:t>=0.035D+1.0</w:t>
      </w:r>
    </w:p>
    <w:p>
      <w:pPr>
        <w:ind w:left="1440"/>
        <w:rPr>
          <w:rFonts w:ascii="Calibri" w:hAnsi="Calibri"/>
          <w:sz w:val="28"/>
          <w:szCs w:val="28"/>
        </w:rPr>
      </w:pPr>
      <w:r>
        <w:rPr>
          <w:rFonts w:hint="eastAsia" w:ascii="Calibri" w:hAnsi="Calibri"/>
          <w:sz w:val="28"/>
          <w:szCs w:val="28"/>
        </w:rPr>
        <w:t>式中：</w:t>
      </w:r>
    </w:p>
    <w:p>
      <w:pPr>
        <w:ind w:left="1440"/>
        <w:rPr>
          <w:rFonts w:ascii="Calibri" w:hAnsi="Calibri"/>
          <w:sz w:val="28"/>
          <w:szCs w:val="28"/>
        </w:rPr>
      </w:pPr>
      <w:r>
        <w:rPr>
          <w:rFonts w:hint="eastAsia" w:ascii="Calibri" w:hAnsi="Calibri"/>
          <w:sz w:val="28"/>
          <w:szCs w:val="28"/>
        </w:rPr>
        <w:t>D----挤包护套前电缆的假设直径，参见GB/T 12076.1和GB/T 12076.3具体规定。</w:t>
      </w:r>
    </w:p>
    <w:p>
      <w:pPr>
        <w:ind w:left="1440"/>
        <w:rPr>
          <w:rFonts w:ascii="Calibri" w:hAnsi="Calibri"/>
          <w:sz w:val="28"/>
          <w:szCs w:val="28"/>
        </w:rPr>
      </w:pPr>
      <w:r>
        <w:rPr>
          <w:rFonts w:hint="eastAsia" w:ascii="Calibri" w:hAnsi="Calibri"/>
          <w:sz w:val="28"/>
          <w:szCs w:val="28"/>
        </w:rPr>
        <w:t>外护套厚度平均值应小于标称值，任一点最小厚度不应小于标称值的90%。外护套应经受GB/T 3048.10规定的火花试验。</w:t>
      </w:r>
    </w:p>
    <w:p>
      <w:pPr>
        <w:numPr>
          <w:ilvl w:val="2"/>
          <w:numId w:val="2"/>
        </w:numPr>
        <w:rPr>
          <w:rFonts w:ascii="Calibri" w:hAnsi="Calibri"/>
          <w:sz w:val="28"/>
          <w:szCs w:val="28"/>
        </w:rPr>
      </w:pPr>
      <w:r>
        <w:rPr>
          <w:rFonts w:hint="eastAsia" w:ascii="Calibri" w:hAnsi="Calibri"/>
          <w:sz w:val="28"/>
          <w:szCs w:val="28"/>
        </w:rPr>
        <w:t>电缆不圆度</w:t>
      </w:r>
    </w:p>
    <w:p>
      <w:pPr>
        <w:ind w:left="1440"/>
        <w:rPr>
          <w:rFonts w:ascii="Calibri" w:hAnsi="Calibri"/>
          <w:sz w:val="28"/>
          <w:szCs w:val="28"/>
        </w:rPr>
      </w:pPr>
      <w:r>
        <w:rPr>
          <w:rFonts w:hint="eastAsia" w:ascii="Calibri" w:hAnsi="Calibri"/>
          <w:sz w:val="28"/>
          <w:szCs w:val="28"/>
        </w:rPr>
        <w:t>电缆不圆度应不大于10%。</w:t>
      </w:r>
    </w:p>
    <w:p>
      <w:pPr>
        <w:ind w:left="1440"/>
        <w:rPr>
          <w:rFonts w:ascii="Calibri" w:hAnsi="Calibri"/>
          <w:sz w:val="28"/>
          <w:szCs w:val="28"/>
        </w:rPr>
      </w:pPr>
      <w:r>
        <w:rPr>
          <w:rFonts w:hint="eastAsia" w:ascii="Calibri" w:hAnsi="Calibri"/>
          <w:sz w:val="28"/>
          <w:szCs w:val="28"/>
        </w:rPr>
        <w:t>电缆不圆度的计算公式为：</w:t>
      </w:r>
    </w:p>
    <w:p>
      <w:pPr>
        <w:ind w:left="1440"/>
        <w:rPr>
          <w:rFonts w:ascii="Calibri" w:hAnsi="Calibri"/>
          <w:sz w:val="28"/>
          <w:szCs w:val="28"/>
        </w:rPr>
      </w:pPr>
      <w:r>
        <w:rPr>
          <w:rFonts w:hint="eastAsia" w:ascii="Calibri" w:hAnsi="Calibri"/>
          <w:sz w:val="28"/>
          <w:szCs w:val="28"/>
        </w:rPr>
        <w:t>电缆不圆度=（电缆最大外径-电缆最小外径）/电缆最大外径*100%</w:t>
      </w:r>
    </w:p>
    <w:p>
      <w:pPr>
        <w:numPr>
          <w:ilvl w:val="2"/>
          <w:numId w:val="2"/>
        </w:numPr>
        <w:rPr>
          <w:rFonts w:ascii="Calibri" w:hAnsi="Calibri"/>
          <w:sz w:val="28"/>
          <w:szCs w:val="28"/>
        </w:rPr>
      </w:pPr>
      <w:r>
        <w:rPr>
          <w:rFonts w:hint="eastAsia" w:ascii="Calibri" w:hAnsi="Calibri"/>
          <w:sz w:val="28"/>
          <w:szCs w:val="28"/>
        </w:rPr>
        <w:t>密封</w:t>
      </w:r>
    </w:p>
    <w:p>
      <w:pPr>
        <w:ind w:left="1440"/>
        <w:rPr>
          <w:rFonts w:ascii="Calibri" w:hAnsi="Calibri"/>
          <w:sz w:val="28"/>
          <w:szCs w:val="28"/>
        </w:rPr>
      </w:pPr>
      <w:r>
        <w:rPr>
          <w:rFonts w:hint="eastAsia" w:ascii="Calibri" w:hAnsi="Calibri"/>
          <w:sz w:val="28"/>
          <w:szCs w:val="28"/>
        </w:rPr>
        <w:t>电缆两端应用防水密封套封闭，封闭套和电缆的重叠长度不小于200mm。在运输、储存、敷设过程中保证点按密封不失效。</w:t>
      </w:r>
    </w:p>
    <w:p>
      <w:pPr>
        <w:rPr>
          <w:rFonts w:ascii="Calibri" w:hAnsi="Calibri"/>
          <w:sz w:val="28"/>
          <w:szCs w:val="28"/>
        </w:rPr>
      </w:pPr>
      <w:r>
        <w:rPr>
          <w:rFonts w:hint="eastAsia" w:ascii="Calibri" w:hAnsi="Calibri"/>
          <w:sz w:val="28"/>
          <w:szCs w:val="28"/>
        </w:rPr>
        <w:t xml:space="preserve">     1.1.7   技术参数性能保证值</w:t>
      </w:r>
    </w:p>
    <w:p>
      <w:pPr>
        <w:ind w:left="1820" w:hanging="1820" w:hangingChars="650"/>
        <w:rPr>
          <w:rFonts w:ascii="Calibri" w:hAnsi="Calibri"/>
          <w:sz w:val="28"/>
          <w:szCs w:val="28"/>
        </w:rPr>
      </w:pPr>
      <w:r>
        <w:rPr>
          <w:rFonts w:hint="eastAsia" w:ascii="Calibri" w:hAnsi="Calibri"/>
          <w:sz w:val="28"/>
          <w:szCs w:val="28"/>
        </w:rPr>
        <w:t xml:space="preserve">             供方应认真填写下表一、表二中0.6/1KV电缆相关供方保证值，不能空格，也不能以“响应”两字代替。不允许改动需方要求值。如有偏差，请填写技术偏差表 “供方保证值应与型式试验报告相符”。</w:t>
      </w:r>
    </w:p>
    <w:p>
      <w:pPr>
        <w:ind w:left="1820" w:hanging="1820" w:hangingChars="650"/>
        <w:rPr>
          <w:rFonts w:ascii="Calibri" w:hAnsi="Calibri"/>
          <w:sz w:val="28"/>
          <w:szCs w:val="28"/>
        </w:rPr>
      </w:pPr>
    </w:p>
    <w:tbl>
      <w:tblPr>
        <w:tblStyle w:val="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778"/>
        <w:gridCol w:w="1793"/>
        <w:gridCol w:w="905"/>
        <w:gridCol w:w="2084"/>
        <w:gridCol w:w="1030"/>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6"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序号</w:t>
            </w:r>
          </w:p>
        </w:tc>
        <w:tc>
          <w:tcPr>
            <w:tcW w:w="2571" w:type="dxa"/>
            <w:gridSpan w:val="2"/>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项目</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单位</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标准参数值</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供方保证值</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1</w:t>
            </w:r>
          </w:p>
        </w:tc>
        <w:tc>
          <w:tcPr>
            <w:tcW w:w="2571" w:type="dxa"/>
            <w:gridSpan w:val="2"/>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电缆型号</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3114" w:type="dxa"/>
            <w:gridSpan w:val="2"/>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BVR-105/RVV</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2</w:t>
            </w:r>
          </w:p>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铜导体</w:t>
            </w: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材料</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铜</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材料生产厂及牌号</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w:t>
            </w:r>
            <w:r>
              <w:rPr>
                <w:rFonts w:hint="eastAsia" w:ascii="Calibri" w:hAnsi="Calibri"/>
                <w:kern w:val="2"/>
                <w:sz w:val="28"/>
                <w:szCs w:val="28"/>
                <w:lang w:val="en-US" w:eastAsia="zh-CN"/>
              </w:rPr>
              <w:t>16</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C-1</w:t>
            </w:r>
            <w:r>
              <w:rPr>
                <w:rFonts w:hint="eastAsia" w:ascii="Calibri" w:hAnsi="Calibri"/>
                <w:kern w:val="2"/>
                <w:sz w:val="28"/>
                <w:szCs w:val="28"/>
                <w:lang w:val="en-US" w:eastAsia="zh-CN"/>
              </w:rPr>
              <w:t>2</w:t>
            </w:r>
            <w:r>
              <w:rPr>
                <w:rFonts w:hint="eastAsia" w:ascii="Calibri" w:hAnsi="Calibri"/>
                <w:kern w:val="2"/>
                <w:sz w:val="28"/>
                <w:szCs w:val="28"/>
              </w:rPr>
              <w:t>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C-1</w:t>
            </w:r>
            <w:r>
              <w:rPr>
                <w:rFonts w:hint="eastAsia" w:ascii="Calibri" w:hAnsi="Calibri"/>
                <w:kern w:val="2"/>
                <w:sz w:val="28"/>
                <w:szCs w:val="28"/>
                <w:lang w:val="en-US" w:eastAsia="zh-CN"/>
              </w:rPr>
              <w:t>5</w:t>
            </w:r>
            <w:r>
              <w:rPr>
                <w:rFonts w:hint="eastAsia" w:ascii="Calibri" w:hAnsi="Calibri"/>
                <w:kern w:val="2"/>
                <w:sz w:val="28"/>
                <w:szCs w:val="28"/>
              </w:rPr>
              <w:t>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w:t>
            </w:r>
            <w:r>
              <w:rPr>
                <w:rFonts w:hint="eastAsia" w:ascii="Calibri" w:hAnsi="Calibri"/>
                <w:kern w:val="2"/>
                <w:sz w:val="28"/>
                <w:szCs w:val="28"/>
                <w:lang w:val="en-US" w:eastAsia="zh-CN"/>
              </w:rPr>
              <w:t>70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w:t>
            </w:r>
            <w:r>
              <w:rPr>
                <w:rFonts w:hint="eastAsia" w:ascii="Calibri" w:hAnsi="Calibri"/>
                <w:kern w:val="2"/>
                <w:sz w:val="28"/>
                <w:szCs w:val="28"/>
                <w:lang w:val="en-US" w:eastAsia="zh-CN"/>
              </w:rPr>
              <w:t>25</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RVV-5*2.5</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RVV-3*</w:t>
            </w:r>
            <w:r>
              <w:rPr>
                <w:rFonts w:hint="eastAsia" w:ascii="Calibri" w:hAnsi="Calibri"/>
                <w:kern w:val="2"/>
                <w:sz w:val="28"/>
                <w:szCs w:val="28"/>
                <w:lang w:val="en-US" w:eastAsia="zh-CN"/>
              </w:rPr>
              <w:t>2.5</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w:t>
            </w:r>
            <w:r>
              <w:rPr>
                <w:rFonts w:hint="eastAsia" w:ascii="Calibri" w:hAnsi="Calibri"/>
                <w:kern w:val="2"/>
                <w:sz w:val="28"/>
                <w:szCs w:val="28"/>
                <w:lang w:val="en-US" w:eastAsia="zh-CN"/>
              </w:rPr>
              <w:t>50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cstheme="minorBidi"/>
                <w:kern w:val="2"/>
                <w:sz w:val="28"/>
                <w:szCs w:val="28"/>
                <w:lang w:val="en-US" w:eastAsia="zh-CN" w:bidi="ar-SA"/>
              </w:rPr>
            </w:pPr>
            <w:r>
              <w:rPr>
                <w:rFonts w:hint="eastAsia" w:ascii="Calibri" w:hAnsi="Calibri"/>
                <w:kern w:val="2"/>
                <w:sz w:val="28"/>
                <w:szCs w:val="28"/>
              </w:rPr>
              <w:t>BVR-</w:t>
            </w:r>
            <w:r>
              <w:rPr>
                <w:rFonts w:hint="eastAsia" w:ascii="Calibri" w:hAnsi="Calibri"/>
                <w:kern w:val="2"/>
                <w:sz w:val="28"/>
                <w:szCs w:val="28"/>
                <w:lang w:val="en-US" w:eastAsia="zh-CN"/>
              </w:rPr>
              <w:t>16</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eastAsia" w:ascii="Calibri" w:hAnsi="Calibri" w:eastAsia="微软雅黑" w:cstheme="minorBidi"/>
                <w:kern w:val="2"/>
                <w:sz w:val="28"/>
                <w:szCs w:val="28"/>
                <w:lang w:val="en-US" w:eastAsia="zh-CN" w:bidi="ar-SA"/>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结构型式</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圆形紧压</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紧压系数</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宋体" w:hAnsi="宋体"/>
                <w:kern w:val="2"/>
                <w:sz w:val="28"/>
                <w:szCs w:val="28"/>
              </w:rPr>
              <w:t>≥</w:t>
            </w:r>
            <w:r>
              <w:rPr>
                <w:rFonts w:hint="eastAsia" w:ascii="Calibri" w:hAnsi="Calibri"/>
                <w:kern w:val="2"/>
                <w:sz w:val="28"/>
                <w:szCs w:val="28"/>
              </w:rPr>
              <w:t>0.9</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3</w:t>
            </w:r>
          </w:p>
        </w:tc>
        <w:tc>
          <w:tcPr>
            <w:tcW w:w="778"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绝缘</w:t>
            </w: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材料生产厂及牌号</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最薄电厚度不小于标称值</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90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偏心度</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10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4</w:t>
            </w:r>
          </w:p>
        </w:tc>
        <w:tc>
          <w:tcPr>
            <w:tcW w:w="778"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填充层</w:t>
            </w: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填充材料</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5</w:t>
            </w:r>
          </w:p>
        </w:tc>
        <w:tc>
          <w:tcPr>
            <w:tcW w:w="778"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隔离套</w:t>
            </w: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挤包材料</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6</w:t>
            </w:r>
          </w:p>
        </w:tc>
        <w:tc>
          <w:tcPr>
            <w:tcW w:w="778"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内衬层</w:t>
            </w: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材料</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7</w:t>
            </w:r>
          </w:p>
        </w:tc>
        <w:tc>
          <w:tcPr>
            <w:tcW w:w="778" w:type="dxa"/>
            <w:vMerge w:val="restart"/>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外护套</w:t>
            </w: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材料</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default" w:ascii="Calibri" w:hAnsi="Calibri"/>
                <w:kern w:val="2"/>
                <w:sz w:val="28"/>
                <w:szCs w:val="28"/>
              </w:rPr>
              <w:t>P</w:t>
            </w:r>
            <w:r>
              <w:rPr>
                <w:rFonts w:hint="eastAsia" w:ascii="Calibri" w:hAnsi="Calibri"/>
                <w:kern w:val="2"/>
                <w:sz w:val="28"/>
                <w:szCs w:val="28"/>
              </w:rPr>
              <w:t>vc</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材料生产厂及牌号</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颜色</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黑色</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6"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778" w:type="dxa"/>
            <w:vMerge w:val="continue"/>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c>
          <w:tcPr>
            <w:tcW w:w="1793"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最薄点厚度不小于标称值</w:t>
            </w:r>
          </w:p>
        </w:tc>
        <w:tc>
          <w:tcPr>
            <w:tcW w:w="9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w:t>
            </w:r>
          </w:p>
        </w:tc>
        <w:tc>
          <w:tcPr>
            <w:tcW w:w="2084"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80</w:t>
            </w:r>
          </w:p>
        </w:tc>
        <w:tc>
          <w:tcPr>
            <w:tcW w:w="1030"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供方填写</w:t>
            </w:r>
          </w:p>
        </w:tc>
        <w:tc>
          <w:tcPr>
            <w:tcW w:w="782"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bl>
    <w:p>
      <w:pPr>
        <w:ind w:left="1820" w:hanging="1820" w:hangingChars="650"/>
        <w:jc w:val="center"/>
        <w:rPr>
          <w:rFonts w:ascii="Calibri" w:hAnsi="Calibri"/>
          <w:sz w:val="28"/>
          <w:szCs w:val="28"/>
        </w:rPr>
      </w:pPr>
      <w:r>
        <w:rPr>
          <w:rFonts w:hint="eastAsia" w:ascii="Calibri" w:hAnsi="Calibri"/>
          <w:sz w:val="28"/>
          <w:szCs w:val="28"/>
        </w:rPr>
        <w:t>表一  0.6/1kv挤包绝缘电力电缆结构参数表</w:t>
      </w:r>
    </w:p>
    <w:p>
      <w:pPr>
        <w:rPr>
          <w:rFonts w:ascii="Calibri" w:hAnsi="Calibri"/>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727"/>
        <w:gridCol w:w="1481"/>
        <w:gridCol w:w="1348"/>
        <w:gridCol w:w="1183"/>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序号</w:t>
            </w:r>
          </w:p>
        </w:tc>
        <w:tc>
          <w:tcPr>
            <w:tcW w:w="1727"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项目</w:t>
            </w:r>
          </w:p>
        </w:tc>
        <w:tc>
          <w:tcPr>
            <w:tcW w:w="1481"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单位</w:t>
            </w: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标准参数值</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供方保证值</w:t>
            </w:r>
          </w:p>
        </w:tc>
        <w:tc>
          <w:tcPr>
            <w:tcW w:w="2105"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restart"/>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1</w:t>
            </w:r>
          </w:p>
        </w:tc>
        <w:tc>
          <w:tcPr>
            <w:tcW w:w="1727"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电缆型号</w:t>
            </w:r>
          </w:p>
        </w:tc>
        <w:tc>
          <w:tcPr>
            <w:tcW w:w="1481"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BVR-105</w:t>
            </w: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电缆规格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restart"/>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restart"/>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w:t>
            </w:r>
            <w:r>
              <w:rPr>
                <w:rFonts w:hint="eastAsia" w:ascii="Calibri" w:hAnsi="Calibri"/>
                <w:kern w:val="2"/>
                <w:sz w:val="28"/>
                <w:szCs w:val="28"/>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w:t>
            </w:r>
            <w:r>
              <w:rPr>
                <w:rFonts w:hint="eastAsia" w:ascii="Calibri" w:hAnsi="Calibri"/>
                <w:kern w:val="2"/>
                <w:sz w:val="28"/>
                <w:szCs w:val="28"/>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BVR-105</w:t>
            </w:r>
            <w:r>
              <w:rPr>
                <w:rFonts w:hint="eastAsia" w:ascii="Calibri" w:hAnsi="Calibri"/>
                <w:kern w:val="2"/>
                <w:sz w:val="28"/>
                <w:szCs w:val="28"/>
                <w:vertAlign w:val="superscript"/>
              </w:rPr>
              <w:t>0</w:t>
            </w:r>
            <w:r>
              <w:rPr>
                <w:rFonts w:hint="eastAsia" w:ascii="Calibri" w:hAnsi="Calibri"/>
                <w:kern w:val="2"/>
                <w:sz w:val="28"/>
                <w:szCs w:val="28"/>
              </w:rPr>
              <w:t>C-</w:t>
            </w:r>
            <w:r>
              <w:rPr>
                <w:rFonts w:hint="eastAsia" w:ascii="Calibri" w:hAnsi="Calibri"/>
                <w:kern w:val="2"/>
                <w:sz w:val="28"/>
                <w:szCs w:val="2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RVV-5*2.5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RVV-3*</w:t>
            </w:r>
            <w:r>
              <w:rPr>
                <w:rFonts w:hint="eastAsia" w:ascii="Calibri" w:hAnsi="Calibri"/>
                <w:kern w:val="2"/>
                <w:sz w:val="28"/>
                <w:szCs w:val="28"/>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RVV-3*4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kern w:val="2"/>
                <w:sz w:val="28"/>
                <w:szCs w:val="28"/>
                <w:lang w:val="en-US" w:eastAsia="zh-CN"/>
              </w:rPr>
            </w:pPr>
            <w:r>
              <w:rPr>
                <w:rFonts w:hint="eastAsia" w:ascii="Calibri" w:hAnsi="Calibri"/>
                <w:kern w:val="2"/>
                <w:sz w:val="28"/>
                <w:szCs w:val="28"/>
              </w:rPr>
              <w:t>BVR</w:t>
            </w:r>
            <w:r>
              <w:rPr>
                <w:rFonts w:hint="eastAsia" w:ascii="Calibri" w:hAnsi="Calibri"/>
                <w:kern w:val="2"/>
                <w:sz w:val="28"/>
                <w:szCs w:val="2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eastAsia" w:ascii="Calibri" w:hAnsi="Calibri" w:eastAsia="微软雅黑" w:cstheme="minorBidi"/>
                <w:kern w:val="2"/>
                <w:sz w:val="28"/>
                <w:szCs w:val="28"/>
                <w:lang w:val="en-US" w:eastAsia="zh-CN" w:bidi="ar-SA"/>
              </w:rPr>
            </w:pPr>
            <w:r>
              <w:rPr>
                <w:rFonts w:hint="eastAsia" w:ascii="Calibri" w:hAnsi="Calibri"/>
                <w:kern w:val="2"/>
                <w:sz w:val="28"/>
                <w:szCs w:val="28"/>
              </w:rPr>
              <w:t>供方填写</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eastAsia" w:ascii="Calibri" w:hAnsi="Calibri" w:eastAsia="微软雅黑" w:cstheme="minorBidi"/>
                <w:kern w:val="2"/>
                <w:sz w:val="28"/>
                <w:szCs w:val="28"/>
                <w:lang w:val="en-US" w:eastAsia="zh-CN" w:bidi="ar-SA"/>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eastAsia="微软雅黑" w:cstheme="minorBidi"/>
                <w:kern w:val="2"/>
                <w:sz w:val="28"/>
                <w:szCs w:val="28"/>
                <w:lang w:val="en-US" w:eastAsia="zh-CN" w:bidi="ar-SA"/>
              </w:rPr>
            </w:pPr>
            <w:r>
              <w:rPr>
                <w:rFonts w:hint="eastAsia" w:ascii="Calibri" w:hAnsi="Calibri"/>
                <w:kern w:val="2"/>
                <w:sz w:val="28"/>
                <w:szCs w:val="28"/>
              </w:rPr>
              <w:t>BVR</w:t>
            </w:r>
            <w:r>
              <w:rPr>
                <w:rFonts w:hint="eastAsia" w:ascii="Calibri" w:hAnsi="Calibri"/>
                <w:kern w:val="2"/>
                <w:sz w:val="28"/>
                <w:szCs w:val="28"/>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restart"/>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2</w:t>
            </w:r>
          </w:p>
        </w:tc>
        <w:tc>
          <w:tcPr>
            <w:tcW w:w="1727" w:type="dxa"/>
            <w:vMerge w:val="restart"/>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导体温度</w:t>
            </w:r>
          </w:p>
        </w:tc>
        <w:tc>
          <w:tcPr>
            <w:tcW w:w="1481" w:type="dxa"/>
            <w:vMerge w:val="restart"/>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vertAlign w:val="superscript"/>
              </w:rPr>
              <w:t>0</w:t>
            </w:r>
            <w:r>
              <w:rPr>
                <w:rFonts w:hint="eastAsia" w:ascii="Calibri" w:hAnsi="Calibri"/>
                <w:kern w:val="2"/>
                <w:sz w:val="28"/>
                <w:szCs w:val="28"/>
              </w:rPr>
              <w:t>C</w:t>
            </w: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90/105</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正常运行时最高允许温度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727"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481" w:type="dxa"/>
            <w:vMerge w:val="continue"/>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lang w:val="en-US" w:eastAsia="zh-CN"/>
              </w:rPr>
              <w:t>1</w:t>
            </w:r>
            <w:r>
              <w:rPr>
                <w:rFonts w:hint="eastAsia" w:ascii="Calibri" w:hAnsi="Calibri"/>
                <w:kern w:val="2"/>
                <w:sz w:val="28"/>
                <w:szCs w:val="28"/>
              </w:rPr>
              <w:t>50</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r>
              <w:rPr>
                <w:rFonts w:hint="eastAsia" w:ascii="Calibri" w:hAnsi="Calibri"/>
                <w:kern w:val="2"/>
                <w:sz w:val="28"/>
                <w:szCs w:val="28"/>
              </w:rPr>
              <w:t>短路时最高允许温度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3</w:t>
            </w:r>
          </w:p>
        </w:tc>
        <w:tc>
          <w:tcPr>
            <w:tcW w:w="1727"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出厂工频电压试验</w:t>
            </w:r>
          </w:p>
        </w:tc>
        <w:tc>
          <w:tcPr>
            <w:tcW w:w="1481"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KV/min</w:t>
            </w: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3.5/5</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4</w:t>
            </w:r>
          </w:p>
        </w:tc>
        <w:tc>
          <w:tcPr>
            <w:tcW w:w="1727"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电缆敷设时允许环境温度</w:t>
            </w:r>
          </w:p>
        </w:tc>
        <w:tc>
          <w:tcPr>
            <w:tcW w:w="1481"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vertAlign w:val="superscript"/>
              </w:rPr>
              <w:t>0</w:t>
            </w:r>
            <w:r>
              <w:rPr>
                <w:rFonts w:hint="eastAsia" w:ascii="Calibri" w:hAnsi="Calibri"/>
                <w:kern w:val="2"/>
                <w:sz w:val="28"/>
                <w:szCs w:val="28"/>
              </w:rPr>
              <w:t>C</w:t>
            </w: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宋体" w:hAnsi="宋体"/>
                <w:kern w:val="2"/>
                <w:sz w:val="28"/>
                <w:szCs w:val="28"/>
              </w:rPr>
              <w:t>≥0</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5</w:t>
            </w:r>
          </w:p>
        </w:tc>
        <w:tc>
          <w:tcPr>
            <w:tcW w:w="1727"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电缆在正常使用条件下的寿命</w:t>
            </w:r>
          </w:p>
        </w:tc>
        <w:tc>
          <w:tcPr>
            <w:tcW w:w="1481"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年</w:t>
            </w:r>
          </w:p>
        </w:tc>
        <w:tc>
          <w:tcPr>
            <w:tcW w:w="1348"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宋体" w:hAnsi="宋体"/>
                <w:kern w:val="2"/>
                <w:sz w:val="28"/>
                <w:szCs w:val="28"/>
              </w:rPr>
              <w:t>≥30</w:t>
            </w:r>
          </w:p>
        </w:tc>
        <w:tc>
          <w:tcPr>
            <w:tcW w:w="1183" w:type="dxa"/>
            <w:shd w:val="clear" w:color="auto" w:fill="auto"/>
            <w:noWrap w:val="0"/>
            <w:vAlign w:val="top"/>
          </w:tcPr>
          <w:p>
            <w:pPr>
              <w:keepNext w:val="0"/>
              <w:keepLines w:val="0"/>
              <w:widowControl/>
              <w:suppressLineNumbers w:val="0"/>
              <w:spacing w:before="0" w:beforeAutospacing="0" w:afterAutospacing="0"/>
              <w:ind w:left="0" w:right="0"/>
              <w:rPr>
                <w:rFonts w:hint="default" w:ascii="Calibri" w:hAnsi="Calibri"/>
                <w:kern w:val="2"/>
                <w:sz w:val="28"/>
                <w:szCs w:val="28"/>
              </w:rPr>
            </w:pPr>
            <w:r>
              <w:rPr>
                <w:rFonts w:hint="eastAsia" w:ascii="Calibri" w:hAnsi="Calibri"/>
                <w:kern w:val="2"/>
                <w:sz w:val="28"/>
                <w:szCs w:val="28"/>
              </w:rPr>
              <w:t>供方填写</w:t>
            </w:r>
          </w:p>
        </w:tc>
        <w:tc>
          <w:tcPr>
            <w:tcW w:w="2105" w:type="dxa"/>
            <w:shd w:val="clear" w:color="auto" w:fill="auto"/>
            <w:noWrap w:val="0"/>
            <w:vAlign w:val="center"/>
          </w:tcPr>
          <w:p>
            <w:pPr>
              <w:keepNext w:val="0"/>
              <w:keepLines w:val="0"/>
              <w:widowControl/>
              <w:suppressLineNumbers w:val="0"/>
              <w:spacing w:before="0" w:beforeAutospacing="0" w:afterAutospacing="0"/>
              <w:ind w:left="0" w:right="0"/>
              <w:jc w:val="center"/>
              <w:rPr>
                <w:rFonts w:hint="default" w:ascii="Calibri" w:hAnsi="Calibri"/>
                <w:kern w:val="2"/>
                <w:sz w:val="28"/>
                <w:szCs w:val="28"/>
              </w:rPr>
            </w:pPr>
          </w:p>
        </w:tc>
      </w:tr>
    </w:tbl>
    <w:p>
      <w:pPr>
        <w:jc w:val="center"/>
        <w:rPr>
          <w:rFonts w:ascii="Calibri" w:hAnsi="Calibri"/>
          <w:sz w:val="28"/>
          <w:szCs w:val="28"/>
        </w:rPr>
      </w:pPr>
      <w:r>
        <w:rPr>
          <w:rFonts w:hint="eastAsia" w:ascii="Calibri" w:hAnsi="Calibri"/>
          <w:sz w:val="28"/>
          <w:szCs w:val="28"/>
        </w:rPr>
        <w:t>表二  0.6/1kv挤包绝缘电力电缆技术参数表</w:t>
      </w:r>
    </w:p>
    <w:p>
      <w:pPr>
        <w:rPr>
          <w:rFonts w:ascii="Calibri" w:hAnsi="Calibri"/>
          <w:sz w:val="28"/>
          <w:szCs w:val="28"/>
        </w:rPr>
      </w:pPr>
    </w:p>
    <w:p>
      <w:pPr>
        <w:spacing w:line="220" w:lineRule="atLeast"/>
      </w:pPr>
    </w:p>
    <w:p>
      <w:pPr>
        <w:pStyle w:val="3"/>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hint="eastAsia" w:ascii="黑体" w:hAnsi="华文中宋" w:eastAsia="黑体"/>
          <w:bCs/>
          <w:sz w:val="32"/>
          <w:szCs w:val="32"/>
        </w:rPr>
      </w:pPr>
      <w:r>
        <w:rPr>
          <w:rFonts w:hint="eastAsia" w:ascii="黑体" w:hAnsi="华文中宋" w:eastAsia="黑体"/>
          <w:bCs/>
          <w:sz w:val="32"/>
          <w:szCs w:val="32"/>
        </w:rPr>
        <w:t>报  价 一 览 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kern w:val="2"/>
                <w:sz w:val="24"/>
                <w:szCs w:val="24"/>
              </w:rPr>
            </w:pPr>
            <w:r>
              <w:rPr>
                <w:rFonts w:hint="eastAsia" w:ascii="仿宋" w:hAnsi="仿宋" w:eastAsia="仿宋" w:cs="仿宋"/>
                <w:kern w:val="2"/>
                <w:sz w:val="24"/>
                <w:szCs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w:t>
            </w:r>
            <w:r>
              <w:rPr>
                <w:rFonts w:hint="eastAsia" w:ascii="仿宋" w:hAnsi="仿宋" w:eastAsia="仿宋" w:cs="仿宋"/>
                <w:bCs/>
                <w:kern w:val="2"/>
                <w:sz w:val="24"/>
                <w:szCs w:val="24"/>
                <w:u w:val="single"/>
              </w:rPr>
              <w:t xml:space="preserve">                                               </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人民币（大写）：</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万</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仟</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圆</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角</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供货时间及</w:t>
            </w:r>
          </w:p>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备 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bl>
    <w:p>
      <w:pPr>
        <w:spacing w:line="500" w:lineRule="exact"/>
        <w:ind w:firstLine="240" w:firstLineChars="100"/>
        <w:rPr>
          <w:rFonts w:hint="eastAsia" w:ascii="仿宋" w:hAnsi="仿宋" w:eastAsia="仿宋" w:cs="仿宋"/>
          <w:sz w:val="24"/>
          <w:szCs w:val="24"/>
        </w:rPr>
      </w:pPr>
    </w:p>
    <w:p>
      <w:pPr>
        <w:spacing w:line="500" w:lineRule="exact"/>
        <w:ind w:firstLine="240" w:firstLineChars="100"/>
        <w:rPr>
          <w:rFonts w:hint="eastAsia" w:ascii="仿宋" w:hAnsi="仿宋" w:eastAsia="仿宋" w:cs="仿宋"/>
          <w:sz w:val="24"/>
          <w:szCs w:val="24"/>
          <w:u w:val="single"/>
        </w:rPr>
      </w:pPr>
      <w:r>
        <w:rPr>
          <w:rFonts w:hint="eastAsia" w:ascii="仿宋" w:hAnsi="仿宋" w:eastAsia="仿宋" w:cs="仿宋"/>
          <w:sz w:val="24"/>
          <w:szCs w:val="24"/>
        </w:rPr>
        <w:t>供应商公章：</w:t>
      </w:r>
      <w:r>
        <w:rPr>
          <w:rFonts w:hint="eastAsia" w:ascii="仿宋" w:hAnsi="仿宋" w:eastAsia="仿宋" w:cs="仿宋"/>
          <w:sz w:val="24"/>
          <w:szCs w:val="24"/>
          <w:u w:val="single"/>
        </w:rPr>
        <w:t xml:space="preserve">                    </w:t>
      </w:r>
      <w:r>
        <w:rPr>
          <w:rFonts w:hint="eastAsia" w:ascii="仿宋" w:hAnsi="仿宋" w:eastAsia="仿宋" w:cs="仿宋"/>
          <w:sz w:val="24"/>
          <w:szCs w:val="24"/>
        </w:rPr>
        <w:t>供应商代表签字：</w:t>
      </w:r>
      <w:r>
        <w:rPr>
          <w:rFonts w:hint="eastAsia" w:ascii="仿宋" w:hAnsi="仿宋" w:eastAsia="仿宋" w:cs="仿宋"/>
          <w:sz w:val="24"/>
          <w:szCs w:val="24"/>
          <w:u w:val="single"/>
        </w:rPr>
        <w:t xml:space="preserve">                  </w:t>
      </w:r>
    </w:p>
    <w:p>
      <w:pPr>
        <w:spacing w:line="500" w:lineRule="exact"/>
        <w:rPr>
          <w:rFonts w:hint="eastAsia" w:ascii="仿宋" w:hAnsi="仿宋" w:eastAsia="仿宋" w:cs="仿宋"/>
          <w:b/>
          <w:sz w:val="24"/>
          <w:szCs w:val="24"/>
        </w:rPr>
      </w:pPr>
    </w:p>
    <w:p>
      <w:pPr>
        <w:spacing w:line="500" w:lineRule="exact"/>
        <w:rPr>
          <w:rFonts w:hint="eastAsia" w:ascii="仿宋" w:hAnsi="仿宋" w:eastAsia="仿宋" w:cs="仿宋"/>
          <w:b/>
          <w:sz w:val="30"/>
          <w:szCs w:val="30"/>
        </w:rPr>
      </w:pPr>
    </w:p>
    <w:p>
      <w:pPr>
        <w:spacing w:before="19" w:line="5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p>
    <w:p>
      <w:pPr>
        <w:jc w:val="both"/>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附件三          </w:t>
      </w:r>
      <w:r>
        <w:rPr>
          <w:rFonts w:hint="eastAsia" w:ascii="仿宋" w:hAnsi="仿宋" w:eastAsia="仿宋" w:cs="仿宋"/>
          <w:b/>
          <w:bCs/>
          <w:sz w:val="32"/>
          <w:szCs w:val="32"/>
          <w:lang w:val="en-US" w:eastAsia="zh-CN"/>
        </w:rPr>
        <w:t xml:space="preserve">  </w:t>
      </w:r>
      <w:r>
        <w:rPr>
          <w:rFonts w:hint="eastAsia" w:ascii="仿宋" w:hAnsi="仿宋" w:eastAsia="仿宋" w:cs="仿宋"/>
          <w:bCs/>
          <w:sz w:val="32"/>
          <w:szCs w:val="32"/>
          <w:lang w:val="en-US" w:eastAsia="zh-CN"/>
        </w:rPr>
        <w:t xml:space="preserve">  </w:t>
      </w:r>
      <w:r>
        <w:rPr>
          <w:rFonts w:hint="eastAsia" w:ascii="黑体" w:hAnsi="华文中宋" w:eastAsia="黑体"/>
          <w:bCs/>
          <w:sz w:val="32"/>
          <w:szCs w:val="32"/>
          <w:lang w:val="en-US" w:eastAsia="zh-CN"/>
        </w:rPr>
        <w:t xml:space="preserve"> </w:t>
      </w:r>
      <w:r>
        <w:rPr>
          <w:rFonts w:hint="eastAsia" w:ascii="黑体" w:hAnsi="华文中宋" w:eastAsia="黑体"/>
          <w:bCs/>
          <w:sz w:val="32"/>
          <w:szCs w:val="32"/>
        </w:rPr>
        <w:t>供应商基本情况表</w:t>
      </w: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供应商名称</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注册地址</w:t>
            </w:r>
          </w:p>
        </w:tc>
        <w:tc>
          <w:tcPr>
            <w:tcW w:w="4680" w:type="dxa"/>
            <w:gridSpan w:val="6"/>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邮政编码</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联系方式</w:t>
            </w: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联系人</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传真</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网址</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组织结构</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法定代表人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技术负责人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成立时间</w:t>
            </w:r>
          </w:p>
        </w:tc>
        <w:tc>
          <w:tcPr>
            <w:tcW w:w="2520" w:type="dxa"/>
            <w:gridSpan w:val="3"/>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5040" w:type="dxa"/>
            <w:gridSpan w:val="8"/>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企业资质等级</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其中</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项目经理</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营业执照号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高级职称人员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注册资金</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中级职称人员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开户银行</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初级职称人员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账号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技工</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经营范围</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备注</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bl>
    <w:p>
      <w:pPr>
        <w:bidi w:val="0"/>
        <w:rPr>
          <w:rFonts w:hint="eastAsia" w:ascii="仿宋" w:hAnsi="仿宋" w:eastAsia="仿宋" w:cs="仿宋"/>
          <w:sz w:val="24"/>
          <w:szCs w:val="24"/>
        </w:rPr>
      </w:pP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供应商名称：XXX（盖单位公章）</w:t>
      </w: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法定代表人或授权代表（签字或盖章）：XXX</w:t>
      </w:r>
    </w:p>
    <w:p>
      <w:pPr>
        <w:bidi w:val="0"/>
        <w:ind w:firstLine="240" w:firstLineChars="100"/>
        <w:rPr>
          <w:rFonts w:hint="eastAsia" w:ascii="仿宋" w:hAnsi="仿宋" w:eastAsia="仿宋" w:cs="仿宋"/>
          <w:bCs/>
          <w:sz w:val="24"/>
          <w:szCs w:val="24"/>
        </w:rPr>
      </w:pPr>
      <w:r>
        <w:rPr>
          <w:rFonts w:hint="eastAsia" w:ascii="仿宋" w:hAnsi="仿宋" w:eastAsia="仿宋" w:cs="仿宋"/>
          <w:sz w:val="24"/>
          <w:szCs w:val="24"/>
        </w:rPr>
        <w:t>日  期：XXX年XXX月XXX日</w:t>
      </w:r>
    </w:p>
    <w:p>
      <w:pPr>
        <w:bidi w:val="0"/>
        <w:ind w:firstLine="4560" w:firstLineChars="1900"/>
        <w:rPr>
          <w:rFonts w:hint="eastAsia" w:ascii="仿宋" w:hAnsi="仿宋" w:eastAsia="仿宋" w:cs="仿宋"/>
          <w:sz w:val="24"/>
          <w:szCs w:val="24"/>
        </w:rPr>
      </w:pPr>
    </w:p>
    <w:p>
      <w:pPr>
        <w:bidi w:val="0"/>
        <w:rPr>
          <w:rFonts w:hint="eastAsia" w:ascii="仿宋" w:hAnsi="仿宋" w:eastAsia="仿宋" w:cs="仿宋"/>
          <w:b/>
          <w:bCs/>
          <w:sz w:val="24"/>
          <w:szCs w:val="24"/>
          <w:lang w:val="en-US" w:eastAsia="zh-CN"/>
        </w:rPr>
      </w:pPr>
    </w:p>
    <w:p>
      <w:pPr>
        <w:bidi w:val="0"/>
        <w:rPr>
          <w:rFonts w:hint="eastAsia" w:ascii="宋体" w:hAnsi="宋体" w:cs="Arial"/>
          <w:b/>
          <w:bCs/>
          <w:sz w:val="32"/>
          <w:szCs w:val="32"/>
          <w:lang w:val="en-US" w:eastAsia="zh-CN"/>
        </w:rPr>
      </w:pPr>
    </w:p>
    <w:p>
      <w:pPr>
        <w:bidi w:val="0"/>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附件四                  </w:t>
      </w:r>
      <w:r>
        <w:rPr>
          <w:rFonts w:hint="eastAsia" w:ascii="黑体" w:eastAsia="黑体"/>
          <w:bCs/>
          <w:sz w:val="32"/>
          <w:szCs w:val="32"/>
          <w:lang w:val="en-US" w:eastAsia="zh-CN"/>
        </w:rPr>
        <w:t xml:space="preserve"> </w:t>
      </w:r>
      <w:r>
        <w:rPr>
          <w:rFonts w:hint="eastAsia" w:ascii="仿宋" w:hAnsi="仿宋" w:eastAsia="仿宋" w:cs="仿宋"/>
          <w:bCs/>
          <w:sz w:val="24"/>
          <w:szCs w:val="24"/>
          <w:lang w:val="en-US" w:eastAsia="zh-CN"/>
        </w:rPr>
        <w:t xml:space="preserve"> </w:t>
      </w:r>
      <w:r>
        <w:rPr>
          <w:rFonts w:hint="eastAsia" w:ascii="黑体" w:hAnsi="华文中宋" w:eastAsia="黑体"/>
          <w:bCs/>
          <w:sz w:val="32"/>
          <w:szCs w:val="32"/>
          <w:lang w:val="en-US" w:eastAsia="zh-CN"/>
        </w:rPr>
        <w:t xml:space="preserve"> 承诺函</w:t>
      </w: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我公司作为本次</w:t>
      </w:r>
      <w:r>
        <w:rPr>
          <w:rFonts w:hint="eastAsia" w:ascii="仿宋_GB2312" w:eastAsia="仿宋_GB2312"/>
          <w:sz w:val="24"/>
          <w:u w:val="single"/>
          <w:lang w:val="en-US" w:eastAsia="zh-CN"/>
        </w:rPr>
        <w:t>OG02电工柜</w:t>
      </w:r>
      <w:r>
        <w:rPr>
          <w:rFonts w:hint="eastAsia" w:ascii="仿宋" w:hAnsi="仿宋" w:eastAsia="仿宋" w:cs="仿宋"/>
          <w:sz w:val="24"/>
          <w:szCs w:val="24"/>
        </w:rPr>
        <w:t>询价</w:t>
      </w:r>
      <w:r>
        <w:rPr>
          <w:rFonts w:hint="eastAsia" w:ascii="仿宋" w:hAnsi="仿宋" w:eastAsia="仿宋" w:cs="仿宋"/>
          <w:sz w:val="24"/>
          <w:szCs w:val="24"/>
          <w:lang w:val="en-US" w:eastAsia="zh-CN"/>
        </w:rPr>
        <w:t>采购</w:t>
      </w:r>
      <w:r>
        <w:rPr>
          <w:rFonts w:hint="eastAsia" w:ascii="仿宋" w:hAnsi="仿宋" w:eastAsia="仿宋" w:cs="仿宋"/>
          <w:sz w:val="24"/>
          <w:szCs w:val="24"/>
        </w:rPr>
        <w:t>项目的供应商，根据询价采购文件要求，现郑重承诺如下：</w:t>
      </w:r>
    </w:p>
    <w:p>
      <w:pPr>
        <w:bidi w:val="0"/>
        <w:rPr>
          <w:rFonts w:hint="eastAsia" w:ascii="仿宋" w:hAnsi="仿宋" w:eastAsia="仿宋" w:cs="仿宋"/>
          <w:sz w:val="24"/>
          <w:szCs w:val="24"/>
        </w:rPr>
      </w:pPr>
      <w:r>
        <w:rPr>
          <w:rFonts w:hint="eastAsia" w:ascii="仿宋" w:hAnsi="仿宋" w:eastAsia="仿宋" w:cs="仿宋"/>
          <w:sz w:val="24"/>
          <w:szCs w:val="24"/>
        </w:rPr>
        <w:t>一、具备本项目规定的所有资格条件。</w:t>
      </w:r>
    </w:p>
    <w:p>
      <w:pPr>
        <w:bidi w:val="0"/>
        <w:rPr>
          <w:rFonts w:hint="eastAsia" w:ascii="仿宋" w:hAnsi="仿宋" w:eastAsia="仿宋" w:cs="仿宋"/>
          <w:sz w:val="24"/>
          <w:szCs w:val="24"/>
        </w:rPr>
      </w:pPr>
      <w:r>
        <w:rPr>
          <w:rFonts w:hint="eastAsia" w:ascii="仿宋" w:hAnsi="仿宋" w:eastAsia="仿宋" w:cs="仿宋"/>
          <w:sz w:val="24"/>
          <w:szCs w:val="24"/>
        </w:rPr>
        <w:t>二、对询价采购文件有异议，已经在递交响应文件截止时间届满前依法进行维权救济，不存在对询价采购文件有异议的同时又参加询价以求侥幸成交或者为实现其他非法目的的行为。</w:t>
      </w:r>
    </w:p>
    <w:p>
      <w:pPr>
        <w:bidi w:val="0"/>
        <w:rPr>
          <w:rFonts w:hint="eastAsia" w:ascii="仿宋" w:hAnsi="仿宋" w:eastAsia="仿宋" w:cs="仿宋"/>
          <w:sz w:val="24"/>
          <w:szCs w:val="24"/>
        </w:rPr>
      </w:pPr>
      <w:r>
        <w:rPr>
          <w:rFonts w:hint="eastAsia" w:ascii="仿宋" w:hAnsi="仿宋" w:eastAsia="仿宋" w:cs="仿宋"/>
          <w:sz w:val="24"/>
          <w:szCs w:val="24"/>
        </w:rPr>
        <w:t>三、在参加本次采购活动中，不存在与单位负责人为同一人或者存在直接控股、管理关系的其他供应商参与同一合同项下的采购活动的行为。</w:t>
      </w:r>
    </w:p>
    <w:p>
      <w:pPr>
        <w:bidi w:val="0"/>
        <w:rPr>
          <w:rFonts w:hint="eastAsia" w:ascii="仿宋" w:hAnsi="仿宋" w:eastAsia="仿宋" w:cs="仿宋"/>
          <w:sz w:val="24"/>
          <w:szCs w:val="24"/>
        </w:rPr>
      </w:pPr>
      <w:r>
        <w:rPr>
          <w:rFonts w:hint="eastAsia" w:ascii="仿宋" w:hAnsi="仿宋" w:eastAsia="仿宋" w:cs="仿宋"/>
          <w:sz w:val="24"/>
          <w:szCs w:val="24"/>
        </w:rPr>
        <w:t>四、在参加本次采购活动中，不存在和其他供应商在同一合同项下的采购项目中，同时委托同一个自然人、同一家庭的人员、同一单位的人员作为代理人的行为。</w:t>
      </w:r>
    </w:p>
    <w:p>
      <w:pPr>
        <w:bidi w:val="0"/>
        <w:rPr>
          <w:rFonts w:hint="eastAsia" w:ascii="仿宋" w:hAnsi="仿宋" w:eastAsia="仿宋" w:cs="仿宋"/>
          <w:sz w:val="24"/>
          <w:szCs w:val="24"/>
        </w:rPr>
      </w:pPr>
      <w:r>
        <w:rPr>
          <w:rFonts w:hint="eastAsia" w:ascii="仿宋" w:hAnsi="仿宋" w:eastAsia="仿宋" w:cs="仿宋"/>
          <w:sz w:val="24"/>
          <w:szCs w:val="24"/>
        </w:rPr>
        <w:t>五、响应文件中提供的能够给予我公司带来优惠、好处的任何资料和技术、服务、商务等响应承诺情况都是真实的、有效的、合法的。</w:t>
      </w:r>
    </w:p>
    <w:p>
      <w:pPr>
        <w:bidi w:val="0"/>
        <w:rPr>
          <w:rFonts w:hint="eastAsia" w:ascii="仿宋" w:hAnsi="仿宋" w:eastAsia="仿宋" w:cs="仿宋"/>
          <w:sz w:val="24"/>
          <w:szCs w:val="24"/>
        </w:rPr>
      </w:pPr>
      <w:r>
        <w:rPr>
          <w:rFonts w:hint="eastAsia" w:ascii="仿宋" w:hAnsi="仿宋" w:eastAsia="仿宋" w:cs="仿宋"/>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bidi w:val="0"/>
        <w:rPr>
          <w:rFonts w:hint="eastAsia" w:ascii="仿宋" w:hAnsi="仿宋" w:eastAsia="仿宋" w:cs="仿宋"/>
          <w:sz w:val="24"/>
          <w:szCs w:val="24"/>
        </w:rPr>
      </w:pPr>
      <w:r>
        <w:rPr>
          <w:rFonts w:hint="eastAsia" w:ascii="仿宋" w:hAnsi="仿宋" w:eastAsia="仿宋" w:cs="仿宋"/>
          <w:sz w:val="24"/>
          <w:szCs w:val="24"/>
        </w:rPr>
        <w:t>本公司对上述承诺的内容事项真实性负责。如经查实上述承诺的内容事项存在虚假，我公司愿意接受以提供虚假材料谋取成交的法律责任。</w:t>
      </w:r>
    </w:p>
    <w:p>
      <w:pPr>
        <w:bidi w:val="0"/>
        <w:rPr>
          <w:rFonts w:hint="eastAsia" w:ascii="仿宋" w:hAnsi="仿宋" w:eastAsia="仿宋" w:cs="仿宋"/>
          <w:sz w:val="24"/>
          <w:szCs w:val="24"/>
        </w:rPr>
      </w:pP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法定代表人签字或者加盖个人私章：XXXX</w:t>
      </w:r>
    </w:p>
    <w:p>
      <w:pPr>
        <w:bidi w:val="0"/>
        <w:rPr>
          <w:rFonts w:hint="eastAsia" w:ascii="仿宋" w:hAnsi="仿宋" w:eastAsia="仿宋" w:cs="仿宋"/>
          <w:sz w:val="24"/>
          <w:szCs w:val="24"/>
        </w:rPr>
      </w:pPr>
      <w:r>
        <w:rPr>
          <w:rFonts w:hint="eastAsia" w:ascii="仿宋" w:hAnsi="仿宋" w:eastAsia="仿宋" w:cs="仿宋"/>
          <w:sz w:val="24"/>
          <w:szCs w:val="24"/>
        </w:rPr>
        <w:t>授权代表签字：XXXX</w:t>
      </w:r>
    </w:p>
    <w:p>
      <w:pPr>
        <w:bidi w:val="0"/>
        <w:rPr>
          <w:rFonts w:hint="eastAsia" w:ascii="仿宋" w:hAnsi="仿宋" w:eastAsia="仿宋" w:cs="仿宋"/>
          <w:sz w:val="24"/>
          <w:szCs w:val="24"/>
        </w:rPr>
      </w:pPr>
      <w:r>
        <w:rPr>
          <w:rFonts w:hint="eastAsia" w:ascii="仿宋" w:hAnsi="仿宋" w:eastAsia="仿宋" w:cs="仿宋"/>
          <w:sz w:val="24"/>
          <w:szCs w:val="24"/>
        </w:rPr>
        <w:t>供应商名称：XXXX（盖章）</w:t>
      </w:r>
    </w:p>
    <w:p>
      <w:pPr>
        <w:bidi w:val="0"/>
        <w:rPr>
          <w:rFonts w:hint="eastAsia" w:ascii="仿宋" w:hAnsi="仿宋" w:eastAsia="仿宋" w:cs="仿宋"/>
          <w:sz w:val="24"/>
          <w:szCs w:val="24"/>
        </w:rPr>
      </w:pPr>
      <w:r>
        <w:rPr>
          <w:rFonts w:hint="eastAsia" w:ascii="仿宋" w:hAnsi="仿宋" w:eastAsia="仿宋" w:cs="仿宋"/>
          <w:sz w:val="24"/>
          <w:szCs w:val="24"/>
        </w:rPr>
        <w:t>日    期：XXX年XXX月XXX日</w:t>
      </w:r>
    </w:p>
    <w:p>
      <w:pPr>
        <w:jc w:val="center"/>
        <w:rPr>
          <w:rFonts w:hint="eastAsia" w:ascii="宋体" w:hAnsi="宋体"/>
          <w:bCs/>
          <w:sz w:val="24"/>
          <w:szCs w:val="24"/>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spacing w:line="500" w:lineRule="exact"/>
        <w:rPr>
          <w:rFonts w:hint="eastAsia" w:ascii="宋体" w:hAnsi="宋体"/>
          <w:b/>
          <w:sz w:val="30"/>
          <w:szCs w:val="30"/>
        </w:rPr>
      </w:pPr>
      <w:r>
        <w:rPr>
          <w:b/>
          <w:sz w:val="32"/>
          <w:szCs w:val="32"/>
        </w:rPr>
        <w:br w:type="page"/>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14</w: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044F51"/>
    <w:multiLevelType w:val="singleLevel"/>
    <w:tmpl w:val="DB044F51"/>
    <w:lvl w:ilvl="0" w:tentative="0">
      <w:start w:val="5"/>
      <w:numFmt w:val="chineseCounting"/>
      <w:suff w:val="nothing"/>
      <w:lvlText w:val="%1、"/>
      <w:lvlJc w:val="left"/>
      <w:rPr>
        <w:rFonts w:hint="eastAsia"/>
      </w:rPr>
    </w:lvl>
  </w:abstractNum>
  <w:abstractNum w:abstractNumId="1">
    <w:nsid w:val="0E475F03"/>
    <w:multiLevelType w:val="multilevel"/>
    <w:tmpl w:val="0E475F03"/>
    <w:lvl w:ilvl="0" w:tentative="0">
      <w:start w:val="1"/>
      <w:numFmt w:val="decimal"/>
      <w:lvlText w:val="%1."/>
      <w:lvlJc w:val="left"/>
      <w:pPr>
        <w:ind w:left="360" w:hanging="360"/>
      </w:pPr>
      <w:rPr>
        <w:rFonts w:hint="default"/>
      </w:rPr>
    </w:lvl>
    <w:lvl w:ilvl="1" w:tentative="0">
      <w:start w:val="1"/>
      <w:numFmt w:val="decimal"/>
      <w:isLgl/>
      <w:lvlText w:val="%1.%2"/>
      <w:lvlJc w:val="left"/>
      <w:pPr>
        <w:ind w:left="735" w:hanging="375"/>
      </w:pPr>
      <w:rPr>
        <w:rFonts w:hint="default"/>
      </w:rPr>
    </w:lvl>
    <w:lvl w:ilvl="2" w:tentative="0">
      <w:start w:val="1"/>
      <w:numFmt w:val="decimal"/>
      <w:isLgl/>
      <w:lvlText w:val="%1.%2.%3"/>
      <w:lvlJc w:val="left"/>
      <w:pPr>
        <w:ind w:left="1440" w:hanging="720"/>
      </w:pPr>
      <w:rPr>
        <w:rFonts w:hint="default"/>
      </w:rPr>
    </w:lvl>
    <w:lvl w:ilvl="3" w:tentative="0">
      <w:start w:val="1"/>
      <w:numFmt w:val="decimal"/>
      <w:isLgl/>
      <w:lvlText w:val="%1.%2.%3.%4"/>
      <w:lvlJc w:val="left"/>
      <w:pPr>
        <w:ind w:left="1800" w:hanging="720"/>
      </w:pPr>
      <w:rPr>
        <w:rFonts w:hint="default"/>
      </w:rPr>
    </w:lvl>
    <w:lvl w:ilvl="4" w:tentative="0">
      <w:start w:val="1"/>
      <w:numFmt w:val="decimal"/>
      <w:isLgl/>
      <w:lvlText w:val="%1.%2.%3.%4.%5"/>
      <w:lvlJc w:val="left"/>
      <w:pPr>
        <w:ind w:left="2520" w:hanging="1080"/>
      </w:pPr>
      <w:rPr>
        <w:rFonts w:hint="default"/>
      </w:rPr>
    </w:lvl>
    <w:lvl w:ilvl="5" w:tentative="0">
      <w:start w:val="1"/>
      <w:numFmt w:val="decimal"/>
      <w:isLgl/>
      <w:lvlText w:val="%1.%2.%3.%4.%5.%6"/>
      <w:lvlJc w:val="left"/>
      <w:pPr>
        <w:ind w:left="2880" w:hanging="1080"/>
      </w:pPr>
      <w:rPr>
        <w:rFonts w:hint="default"/>
      </w:rPr>
    </w:lvl>
    <w:lvl w:ilvl="6" w:tentative="0">
      <w:start w:val="1"/>
      <w:numFmt w:val="decimal"/>
      <w:isLgl/>
      <w:lvlText w:val="%1.%2.%3.%4.%5.%6.%7"/>
      <w:lvlJc w:val="left"/>
      <w:pPr>
        <w:ind w:left="3240" w:hanging="1080"/>
      </w:pPr>
      <w:rPr>
        <w:rFonts w:hint="default"/>
      </w:rPr>
    </w:lvl>
    <w:lvl w:ilvl="7" w:tentative="0">
      <w:start w:val="1"/>
      <w:numFmt w:val="decimal"/>
      <w:isLgl/>
      <w:lvlText w:val="%1.%2.%3.%4.%5.%6.%7.%8"/>
      <w:lvlJc w:val="left"/>
      <w:pPr>
        <w:ind w:left="3960" w:hanging="1440"/>
      </w:pPr>
      <w:rPr>
        <w:rFonts w:hint="default"/>
      </w:rPr>
    </w:lvl>
    <w:lvl w:ilvl="8" w:tentative="0">
      <w:start w:val="1"/>
      <w:numFmt w:val="decimal"/>
      <w:isLgl/>
      <w:lvlText w:val="%1.%2.%3.%4.%5.%6.%7.%8.%9"/>
      <w:lvlJc w:val="left"/>
      <w:pPr>
        <w:ind w:left="4320" w:hanging="144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RmNjY2ODVmMWFlZDBhODAyZjg1Y2Y4NzEwY2I1NjYifQ=="/>
  </w:docVars>
  <w:rsids>
    <w:rsidRoot w:val="00172A27"/>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48CD"/>
    <w:rsid w:val="00C4540D"/>
    <w:rsid w:val="00C927C9"/>
    <w:rsid w:val="00D302F4"/>
    <w:rsid w:val="00D31D50"/>
    <w:rsid w:val="00DE750C"/>
    <w:rsid w:val="00E10223"/>
    <w:rsid w:val="00E4376E"/>
    <w:rsid w:val="00EF582F"/>
    <w:rsid w:val="00F155DD"/>
    <w:rsid w:val="00FA6ADB"/>
    <w:rsid w:val="014A3B14"/>
    <w:rsid w:val="01763266"/>
    <w:rsid w:val="01BE5DEA"/>
    <w:rsid w:val="02144BFA"/>
    <w:rsid w:val="027143C1"/>
    <w:rsid w:val="02736B92"/>
    <w:rsid w:val="02B04EBD"/>
    <w:rsid w:val="02F43C68"/>
    <w:rsid w:val="03404029"/>
    <w:rsid w:val="0341667A"/>
    <w:rsid w:val="034F000F"/>
    <w:rsid w:val="0400509F"/>
    <w:rsid w:val="05563D80"/>
    <w:rsid w:val="057A0F66"/>
    <w:rsid w:val="0587295E"/>
    <w:rsid w:val="05DE7F94"/>
    <w:rsid w:val="061E126E"/>
    <w:rsid w:val="0633598F"/>
    <w:rsid w:val="06826059"/>
    <w:rsid w:val="06CD64B7"/>
    <w:rsid w:val="075535DC"/>
    <w:rsid w:val="08394D85"/>
    <w:rsid w:val="09C545F1"/>
    <w:rsid w:val="09C917B0"/>
    <w:rsid w:val="0A3E6DFF"/>
    <w:rsid w:val="0A5A6AD4"/>
    <w:rsid w:val="0A620AA0"/>
    <w:rsid w:val="0B4235F7"/>
    <w:rsid w:val="0CEA34BE"/>
    <w:rsid w:val="0D1036FE"/>
    <w:rsid w:val="0E895060"/>
    <w:rsid w:val="0EB21FBD"/>
    <w:rsid w:val="10A63060"/>
    <w:rsid w:val="10C77611"/>
    <w:rsid w:val="10CF5391"/>
    <w:rsid w:val="1110733D"/>
    <w:rsid w:val="11686DBE"/>
    <w:rsid w:val="12D302B4"/>
    <w:rsid w:val="12E3738C"/>
    <w:rsid w:val="147B530D"/>
    <w:rsid w:val="15BE6ABD"/>
    <w:rsid w:val="165D6CEA"/>
    <w:rsid w:val="17ED57D0"/>
    <w:rsid w:val="18193A21"/>
    <w:rsid w:val="183945CA"/>
    <w:rsid w:val="1A4533A6"/>
    <w:rsid w:val="1A92240F"/>
    <w:rsid w:val="1ACB4904"/>
    <w:rsid w:val="1DA63635"/>
    <w:rsid w:val="1E0D5CDA"/>
    <w:rsid w:val="1E76128E"/>
    <w:rsid w:val="1E7F11F2"/>
    <w:rsid w:val="1EDB762C"/>
    <w:rsid w:val="1EDC1743"/>
    <w:rsid w:val="203E7FC7"/>
    <w:rsid w:val="21012606"/>
    <w:rsid w:val="21525AB7"/>
    <w:rsid w:val="21725FEC"/>
    <w:rsid w:val="219D741E"/>
    <w:rsid w:val="22235254"/>
    <w:rsid w:val="22AA72EE"/>
    <w:rsid w:val="233147B9"/>
    <w:rsid w:val="23F52C20"/>
    <w:rsid w:val="246E7F53"/>
    <w:rsid w:val="26F50BF6"/>
    <w:rsid w:val="27E46E52"/>
    <w:rsid w:val="27FC39A7"/>
    <w:rsid w:val="288E4162"/>
    <w:rsid w:val="2B745F53"/>
    <w:rsid w:val="2C397BF0"/>
    <w:rsid w:val="2C953A72"/>
    <w:rsid w:val="2CE21D7A"/>
    <w:rsid w:val="2D785E30"/>
    <w:rsid w:val="2DF87D3F"/>
    <w:rsid w:val="2E4F7C8B"/>
    <w:rsid w:val="2F6973D6"/>
    <w:rsid w:val="303339A4"/>
    <w:rsid w:val="305B594B"/>
    <w:rsid w:val="30FA0482"/>
    <w:rsid w:val="31870C9D"/>
    <w:rsid w:val="32F4689E"/>
    <w:rsid w:val="33BE5592"/>
    <w:rsid w:val="33EA7980"/>
    <w:rsid w:val="34D80DC2"/>
    <w:rsid w:val="3590276F"/>
    <w:rsid w:val="35DA5B0F"/>
    <w:rsid w:val="37284E0F"/>
    <w:rsid w:val="37A93AEF"/>
    <w:rsid w:val="38321708"/>
    <w:rsid w:val="39F712C4"/>
    <w:rsid w:val="3A595F4B"/>
    <w:rsid w:val="3AFA4F70"/>
    <w:rsid w:val="3B195DC2"/>
    <w:rsid w:val="3B2F420F"/>
    <w:rsid w:val="3C13226C"/>
    <w:rsid w:val="3C85162B"/>
    <w:rsid w:val="3D2915C6"/>
    <w:rsid w:val="3D9C2824"/>
    <w:rsid w:val="3EF45B57"/>
    <w:rsid w:val="3FE029B5"/>
    <w:rsid w:val="405014B2"/>
    <w:rsid w:val="40A50A25"/>
    <w:rsid w:val="41144439"/>
    <w:rsid w:val="41153D55"/>
    <w:rsid w:val="4153527B"/>
    <w:rsid w:val="42B17BD4"/>
    <w:rsid w:val="4403252A"/>
    <w:rsid w:val="46D15777"/>
    <w:rsid w:val="471C3E9C"/>
    <w:rsid w:val="47D85991"/>
    <w:rsid w:val="48DD7BF7"/>
    <w:rsid w:val="49A92CC0"/>
    <w:rsid w:val="49B541A2"/>
    <w:rsid w:val="49EC030E"/>
    <w:rsid w:val="49F677A7"/>
    <w:rsid w:val="4AF3130C"/>
    <w:rsid w:val="4B0A29A6"/>
    <w:rsid w:val="4C3856D5"/>
    <w:rsid w:val="4D1B6B8E"/>
    <w:rsid w:val="4D202E4B"/>
    <w:rsid w:val="4D3B2D43"/>
    <w:rsid w:val="4D9A55A1"/>
    <w:rsid w:val="4E3D7F6A"/>
    <w:rsid w:val="51166470"/>
    <w:rsid w:val="51AE7DE7"/>
    <w:rsid w:val="53937832"/>
    <w:rsid w:val="55FA184D"/>
    <w:rsid w:val="561B26B0"/>
    <w:rsid w:val="57BC7EBF"/>
    <w:rsid w:val="58ED1AB7"/>
    <w:rsid w:val="590209C6"/>
    <w:rsid w:val="597A115C"/>
    <w:rsid w:val="5A8E6F6F"/>
    <w:rsid w:val="5AD634AF"/>
    <w:rsid w:val="5B2D7DA1"/>
    <w:rsid w:val="5BC44ABA"/>
    <w:rsid w:val="5BD31FAA"/>
    <w:rsid w:val="5C0276AD"/>
    <w:rsid w:val="5C4307BC"/>
    <w:rsid w:val="5CAE686A"/>
    <w:rsid w:val="5CCC3412"/>
    <w:rsid w:val="5D73645E"/>
    <w:rsid w:val="5E627AB6"/>
    <w:rsid w:val="5ECE5416"/>
    <w:rsid w:val="5F13239F"/>
    <w:rsid w:val="5FD8114B"/>
    <w:rsid w:val="60340051"/>
    <w:rsid w:val="61390E6A"/>
    <w:rsid w:val="617A62F9"/>
    <w:rsid w:val="61BF491E"/>
    <w:rsid w:val="61DA485D"/>
    <w:rsid w:val="62110CC0"/>
    <w:rsid w:val="6253185F"/>
    <w:rsid w:val="63437B17"/>
    <w:rsid w:val="639B507A"/>
    <w:rsid w:val="64D12873"/>
    <w:rsid w:val="65675E96"/>
    <w:rsid w:val="65DA5751"/>
    <w:rsid w:val="65FB5072"/>
    <w:rsid w:val="660B00D3"/>
    <w:rsid w:val="683665CE"/>
    <w:rsid w:val="68860A0A"/>
    <w:rsid w:val="68E73F70"/>
    <w:rsid w:val="6AAE2DBB"/>
    <w:rsid w:val="6AFE4916"/>
    <w:rsid w:val="6C48088C"/>
    <w:rsid w:val="6D2518FB"/>
    <w:rsid w:val="6ECC4D0C"/>
    <w:rsid w:val="700B106A"/>
    <w:rsid w:val="71E800C7"/>
    <w:rsid w:val="73287839"/>
    <w:rsid w:val="74913C6D"/>
    <w:rsid w:val="74B4129C"/>
    <w:rsid w:val="75017395"/>
    <w:rsid w:val="75C500C8"/>
    <w:rsid w:val="76806F4A"/>
    <w:rsid w:val="775A2638"/>
    <w:rsid w:val="7762781D"/>
    <w:rsid w:val="77BD10F1"/>
    <w:rsid w:val="788245B4"/>
    <w:rsid w:val="78F07987"/>
    <w:rsid w:val="7BDD144B"/>
    <w:rsid w:val="7BE93476"/>
    <w:rsid w:val="7D93521C"/>
    <w:rsid w:val="7DD13FA4"/>
    <w:rsid w:val="7E4F279B"/>
    <w:rsid w:val="7E5771AC"/>
    <w:rsid w:val="7E6C6CF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11"/>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w:basedOn w:val="1"/>
    <w:qFormat/>
    <w:uiPriority w:val="99"/>
    <w:pPr>
      <w:spacing w:after="120"/>
    </w:pPr>
    <w:rPr>
      <w:kern w:val="0"/>
      <w:sz w:val="24"/>
    </w:rPr>
  </w:style>
  <w:style w:type="paragraph" w:styleId="4">
    <w:name w:val="Body Text Indent"/>
    <w:basedOn w:val="1"/>
    <w:link w:val="13"/>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2"/>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4"/>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Body Text Indent 2"/>
    <w:basedOn w:val="1"/>
    <w:qFormat/>
    <w:uiPriority w:val="0"/>
    <w:pPr>
      <w:spacing w:after="120" w:line="480" w:lineRule="auto"/>
      <w:ind w:left="420" w:leftChars="200"/>
    </w:pPr>
  </w:style>
  <w:style w:type="paragraph" w:styleId="8">
    <w:name w:val="footer"/>
    <w:basedOn w:val="1"/>
    <w:link w:val="16"/>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character" w:customStyle="1" w:styleId="11">
    <w:name w:val="标题 2 Char"/>
    <w:basedOn w:val="10"/>
    <w:link w:val="2"/>
    <w:qFormat/>
    <w:uiPriority w:val="99"/>
    <w:rPr>
      <w:rFonts w:ascii="Arial" w:hAnsi="Arial" w:eastAsia="黑体" w:cs="Times New Roman"/>
      <w:b/>
      <w:kern w:val="2"/>
      <w:sz w:val="32"/>
      <w:szCs w:val="20"/>
    </w:rPr>
  </w:style>
  <w:style w:type="character" w:customStyle="1" w:styleId="12">
    <w:name w:val="纯文本 Char"/>
    <w:basedOn w:val="10"/>
    <w:link w:val="5"/>
    <w:qFormat/>
    <w:uiPriority w:val="99"/>
    <w:rPr>
      <w:rFonts w:ascii="宋体" w:hAnsi="Courier New" w:eastAsia="宋体" w:cs="Times New Roman"/>
      <w:kern w:val="2"/>
      <w:sz w:val="21"/>
      <w:szCs w:val="21"/>
    </w:rPr>
  </w:style>
  <w:style w:type="character" w:customStyle="1" w:styleId="13">
    <w:name w:val="正文文本缩进 Char"/>
    <w:basedOn w:val="10"/>
    <w:link w:val="4"/>
    <w:qFormat/>
    <w:uiPriority w:val="99"/>
    <w:rPr>
      <w:rFonts w:ascii="Times New Roman" w:hAnsi="Times New Roman" w:eastAsia="宋体" w:cs="Times New Roman"/>
      <w:kern w:val="2"/>
      <w:sz w:val="21"/>
      <w:szCs w:val="24"/>
    </w:rPr>
  </w:style>
  <w:style w:type="character" w:customStyle="1" w:styleId="14">
    <w:name w:val="日期 Char"/>
    <w:basedOn w:val="10"/>
    <w:link w:val="6"/>
    <w:qFormat/>
    <w:uiPriority w:val="99"/>
    <w:rPr>
      <w:rFonts w:ascii="Times New Roman" w:hAnsi="Times New Roman" w:eastAsia="宋体" w:cs="Times New Roman"/>
      <w:kern w:val="2"/>
      <w:sz w:val="21"/>
      <w:szCs w:val="24"/>
    </w:rPr>
  </w:style>
  <w:style w:type="paragraph" w:customStyle="1" w:styleId="15">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6">
    <w:name w:val="页脚 Char"/>
    <w:basedOn w:val="10"/>
    <w:link w:val="8"/>
    <w:qFormat/>
    <w:uiPriority w:val="99"/>
    <w:rPr>
      <w:rFonts w:ascii="Times New Roman" w:hAnsi="Times New Roman" w:eastAsia="宋体" w:cs="Times New Roman"/>
      <w:kern w:val="2"/>
      <w:sz w:val="18"/>
      <w:szCs w:val="18"/>
    </w:rPr>
  </w:style>
  <w:style w:type="paragraph" w:customStyle="1" w:styleId="17">
    <w:name w:val="样式 首行缩进:  2 字符"/>
    <w:basedOn w:val="1"/>
    <w:qFormat/>
    <w:uiPriority w:val="0"/>
    <w:pPr>
      <w:spacing w:line="400" w:lineRule="exact"/>
      <w:ind w:firstLine="200" w:firstLineChars="200"/>
    </w:pPr>
    <w:rPr>
      <w:rFonts w:cs="宋体"/>
      <w:sz w:val="24"/>
    </w:rPr>
  </w:style>
  <w:style w:type="character" w:customStyle="1" w:styleId="18">
    <w:name w:val="font11"/>
    <w:basedOn w:val="10"/>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7280</Words>
  <Characters>7941</Characters>
  <Lines>56</Lines>
  <Paragraphs>15</Paragraphs>
  <TotalTime>13</TotalTime>
  <ScaleCrop>false</ScaleCrop>
  <LinksUpToDate>false</LinksUpToDate>
  <CharactersWithSpaces>8989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2023-05-05T02:37:57Z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