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DYGM-WZND-2023-30</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年度模具钢材采购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2"/>
        <w:spacing w:line="500" w:lineRule="exact"/>
        <w:ind w:firstLine="880"/>
        <w:jc w:val="center"/>
        <w:rPr>
          <w:rFonts w:hAnsi="宋体"/>
          <w:b/>
          <w:sz w:val="44"/>
          <w:szCs w:val="44"/>
        </w:rPr>
      </w:pPr>
      <w:r>
        <w:rPr>
          <w:rFonts w:hint="eastAsia" w:hAnsi="宋体"/>
          <w:b/>
          <w:sz w:val="44"/>
          <w:szCs w:val="44"/>
        </w:rPr>
        <w:t>丹阳光明光电有限公司</w:t>
      </w:r>
    </w:p>
    <w:p>
      <w:pPr>
        <w:pStyle w:val="2"/>
        <w:spacing w:line="500" w:lineRule="exact"/>
        <w:ind w:firstLine="560"/>
        <w:jc w:val="center"/>
        <w:rPr>
          <w:rFonts w:hAnsi="宋体"/>
          <w:b/>
          <w:sz w:val="28"/>
          <w:szCs w:val="28"/>
        </w:rPr>
      </w:pPr>
    </w:p>
    <w:p>
      <w:pPr>
        <w:pStyle w:val="2"/>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autoSpaceDE w:val="0"/>
        <w:autoSpaceDN w:val="0"/>
        <w:adjustRightInd w:val="0"/>
        <w:spacing w:line="660" w:lineRule="exact"/>
        <w:jc w:val="center"/>
        <w:rPr>
          <w:rFonts w:hint="eastAsia" w:asciiTheme="minorEastAsia" w:hAnsiTheme="minorEastAsia" w:eastAsiaTheme="minorEastAsia"/>
          <w:sz w:val="24"/>
        </w:rPr>
      </w:pPr>
      <w:r>
        <w:rPr>
          <w:rFonts w:hint="eastAsia" w:asciiTheme="minorEastAsia" w:hAnsiTheme="minorEastAsia" w:eastAsiaTheme="minorEastAsia"/>
          <w:sz w:val="24"/>
        </w:rPr>
        <w:t xml:space="preserve">      丹阳光明光电有限公司决定对</w:t>
      </w:r>
      <w:r>
        <w:rPr>
          <w:rFonts w:hint="eastAsia" w:asciiTheme="minorEastAsia" w:hAnsiTheme="minorEastAsia" w:eastAsiaTheme="minorEastAsia"/>
          <w:b/>
          <w:sz w:val="24"/>
        </w:rPr>
        <w:t xml:space="preserve"> </w:t>
      </w:r>
      <w:r>
        <w:rPr>
          <w:rFonts w:hint="eastAsia" w:asciiTheme="minorEastAsia" w:hAnsiTheme="minorEastAsia" w:eastAsiaTheme="minorEastAsia"/>
          <w:b/>
          <w:sz w:val="24"/>
          <w:lang w:eastAsia="zh-CN"/>
        </w:rPr>
        <w:t>2023</w:t>
      </w:r>
      <w:r>
        <w:rPr>
          <w:rFonts w:hint="eastAsia" w:asciiTheme="minorEastAsia" w:hAnsiTheme="minorEastAsia" w:eastAsiaTheme="minorEastAsia"/>
          <w:b/>
          <w:sz w:val="24"/>
        </w:rPr>
        <w:t>年度模具钢材采购项目</w:t>
      </w:r>
      <w:r>
        <w:rPr>
          <w:rFonts w:hint="eastAsia" w:asciiTheme="minorEastAsia" w:hAnsiTheme="minorEastAsia" w:eastAsiaTheme="minorEastAsia"/>
          <w:b/>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w:t>
      </w:r>
    </w:p>
    <w:p>
      <w:pPr>
        <w:autoSpaceDE w:val="0"/>
        <w:autoSpaceDN w:val="0"/>
        <w:adjustRightInd w:val="0"/>
        <w:spacing w:line="660" w:lineRule="exact"/>
        <w:rPr>
          <w:rFonts w:asciiTheme="minorEastAsia" w:hAnsiTheme="minorEastAsia" w:eastAsiaTheme="minorEastAsia"/>
          <w:sz w:val="24"/>
        </w:rPr>
      </w:pPr>
      <w:r>
        <w:rPr>
          <w:rFonts w:hint="eastAsia" w:asciiTheme="minorEastAsia" w:hAnsiTheme="minorEastAsia" w:eastAsiaTheme="minorEastAsia"/>
          <w:sz w:val="24"/>
        </w:rPr>
        <w:t>念，热忱欢迎有意愿与我公司合作的潜在供应商积极参与询价采购。</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年度模具钢材采购项目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3"/>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6000" w:firstLineChars="25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jc w:val="left"/>
        <w:rPr>
          <w:rFonts w:hint="eastAsia"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860" w:firstLineChars="650"/>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10"/>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询价文件签字或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询价文件由供应商的法定代表人或其委托代理人签字并加盖单位章。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询价文件提交份数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询价文件装订要求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0"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编制目录（封面和扉页除外）；</w:t>
            </w:r>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10"/>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三、成交人必须对报价文件负全责；在成交后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五、因此次询价为年度采购，合同履约周期为从合同签订之日起一年。</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六、报价为年度采购报价，请供应商做好市场调研，做好市场价格波动风险评估，报价一旦形成不得随意更改。</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七、如因战争、灾害及其他不可抗力造成的采购标的价格变动在±10%以内的，经双方协商，按照相关流程审批后可以进行一次价格调整（合同签订半年后，可以进行一次价格调整）；价格变动超过±10%的，变动部分则需重新进行比价询价，变动部分原报价文件及采购合同自动失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八、如因采购人采购标的标准、规格型号、材质等发生变化，则变动部分需另行进行询价比价。</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九、报价文件应包括：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十、报价文件接受截止时间及地点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hint="eastAsia" w:asciiTheme="minorEastAsia" w:hAnsiTheme="minorEastAsia" w:eastAsiaTheme="minorEastAsia"/>
          <w:sz w:val="28"/>
          <w:szCs w:val="28"/>
          <w:lang w:eastAsia="zh-CN"/>
        </w:rPr>
        <w:t>2023年3月17日</w:t>
      </w:r>
      <w:r>
        <w:rPr>
          <w:rFonts w:hint="eastAsia" w:asciiTheme="majorEastAsia" w:hAnsiTheme="majorEastAsia" w:eastAsiaTheme="majorEastAsia"/>
          <w:sz w:val="24"/>
        </w:rPr>
        <w:t>，截止时间后，将拒绝接收新的报价文件。</w:t>
      </w:r>
    </w:p>
    <w:p>
      <w:pPr>
        <w:spacing w:line="460" w:lineRule="exact"/>
        <w:ind w:left="3444"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（二）投送地点：丹阳光明光电有限公司</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十一、下列情况将被视为无效报价文件：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（五）供应商擅自改变货物种类、材质的；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（七）经评审小组判定为故意压低价格，不符合市场价格规律的。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十三</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十四．出现下列情形之一的，询价小组将否决所有供应商的报价或取消采购活动：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因重大变故，采购任务取消的</w:t>
      </w:r>
      <w:r>
        <w:rPr>
          <w:rFonts w:asciiTheme="majorEastAsia" w:hAnsiTheme="majorEastAsia" w:eastAsiaTheme="majorEastAsia"/>
          <w:sz w:val="24"/>
        </w:rPr>
        <w:t>;</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4</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十五</w:t>
      </w:r>
      <w:r>
        <w:rPr>
          <w:rFonts w:asciiTheme="majorEastAsia" w:hAnsiTheme="majorEastAsia" w:eastAsiaTheme="majorEastAsia"/>
          <w:sz w:val="24"/>
        </w:rPr>
        <w:t>.</w:t>
      </w:r>
      <w:r>
        <w:rPr>
          <w:rFonts w:hint="eastAsia" w:asciiTheme="majorEastAsia" w:hAnsiTheme="majorEastAsia" w:eastAsiaTheme="majorEastAsia"/>
          <w:sz w:val="24"/>
        </w:rPr>
        <w:t>评审方法和标准</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．本项目采用最低中标评标法评审。询价小组将对资格性审查、符合性审查合格的供应商按评标价由低到高的顺序（评标价相同的按技术指标优劣顺序排列）评定</w:t>
      </w:r>
      <w:r>
        <w:rPr>
          <w:rFonts w:hint="eastAsia" w:asciiTheme="majorEastAsia" w:hAnsiTheme="majorEastAsia" w:eastAsiaTheme="majorEastAsia"/>
          <w:b/>
          <w:bCs/>
          <w:sz w:val="24"/>
        </w:rPr>
        <w:t>合格供应商</w:t>
      </w:r>
      <w:r>
        <w:rPr>
          <w:rFonts w:hint="eastAsia" w:asciiTheme="majorEastAsia" w:hAnsiTheme="majorEastAsia" w:eastAsiaTheme="major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．在确定评审结果后，采购人将以在成都光明官网予以公布，公布3天后，无异议的，采购人拟订《供应商确认通知单》通知参与此次采购的供应商。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十六．签订合同</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采购人将在报价有效期期满之前向成交供应商发出《供应商确认通知单》。确认通知单对采购人和供应商均具有法律约束力。</w:t>
      </w:r>
    </w:p>
    <w:p>
      <w:pPr>
        <w:spacing w:line="480" w:lineRule="exact"/>
        <w:ind w:firstLine="480" w:firstLineChars="200"/>
        <w:rPr>
          <w:rFonts w:asciiTheme="majorEastAsia" w:hAnsiTheme="majorEastAsia" w:eastAsiaTheme="majorEastAsia"/>
          <w:sz w:val="20"/>
        </w:rPr>
      </w:pPr>
      <w:r>
        <w:rPr>
          <w:rFonts w:asciiTheme="majorEastAsia" w:hAnsiTheme="majorEastAsia" w:eastAsiaTheme="majorEastAsia"/>
          <w:sz w:val="24"/>
        </w:rPr>
        <w:t>2</w:t>
      </w:r>
      <w:r>
        <w:rPr>
          <w:rFonts w:hint="eastAsia" w:asciiTheme="majorEastAsia" w:hAnsiTheme="majorEastAsia" w:eastAsiaTheme="majorEastAsia"/>
          <w:sz w:val="24"/>
        </w:rPr>
        <w:t>．确认通知单发出后，采购人改变成交结果的，或者供应商放弃成交项目的，应当依法承担法律责任。</w:t>
      </w:r>
    </w:p>
    <w:p>
      <w:pPr>
        <w:rPr>
          <w:rFonts w:asciiTheme="majorEastAsia" w:hAnsiTheme="majorEastAsia" w:eastAsiaTheme="majorEastAsia"/>
          <w:sz w:val="20"/>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ascii="黑体" w:hAnsi="黑体" w:eastAsia="黑体"/>
          <w:sz w:val="44"/>
          <w:szCs w:val="44"/>
        </w:rPr>
      </w:pPr>
      <w:r>
        <w:rPr>
          <w:rFonts w:hint="eastAsia" w:ascii="黑体" w:hAnsi="黑体" w:eastAsia="黑体"/>
          <w:sz w:val="44"/>
          <w:szCs w:val="44"/>
        </w:rPr>
        <w:t>第三部分 合同条款（部分）</w:t>
      </w:r>
    </w:p>
    <w:p>
      <w:pPr>
        <w:spacing w:line="540" w:lineRule="exact"/>
        <w:jc w:val="center"/>
        <w:rPr>
          <w:rFonts w:hint="eastAsia" w:ascii="黑体" w:hAnsi="黑体" w:eastAsia="宋体"/>
          <w:sz w:val="44"/>
          <w:szCs w:val="44"/>
          <w:lang w:eastAsia="zh-CN"/>
        </w:rPr>
      </w:pPr>
      <w:r>
        <w:rPr>
          <w:rFonts w:hint="eastAsia" w:ascii="宋体"/>
          <w:b/>
          <w:sz w:val="28"/>
          <w:szCs w:val="28"/>
        </w:rPr>
        <w:t xml:space="preserve">                                    </w:t>
      </w:r>
      <w:r>
        <w:rPr>
          <w:rFonts w:hint="eastAsia" w:ascii="宋体"/>
          <w:b/>
          <w:sz w:val="28"/>
          <w:szCs w:val="28"/>
          <w:lang w:eastAsia="zh-CN"/>
        </w:rPr>
        <w:t>DYGM-WZND-2023-30</w:t>
      </w:r>
    </w:p>
    <w:p>
      <w:pPr>
        <w:spacing w:line="460" w:lineRule="exact"/>
        <w:ind w:right="-58"/>
        <w:jc w:val="left"/>
        <w:rPr>
          <w:rFonts w:asciiTheme="minorEastAsia" w:hAnsiTheme="minorEastAsia" w:eastAsiaTheme="minorEastAsia"/>
          <w:sz w:val="28"/>
          <w:szCs w:val="28"/>
        </w:rPr>
      </w:pPr>
      <w:r>
        <w:rPr>
          <w:rFonts w:hint="eastAsia" w:asciiTheme="minorEastAsia" w:hAnsiTheme="minorEastAsia" w:eastAsiaTheme="minorEastAsia"/>
          <w:sz w:val="28"/>
          <w:szCs w:val="28"/>
        </w:rPr>
        <w:t>采购方（全称）：丹阳光明光电有限公司（简称甲方）</w:t>
      </w:r>
    </w:p>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供应方（全称）：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（简称乙方）</w:t>
      </w:r>
    </w:p>
    <w:p>
      <w:pPr>
        <w:snapToGrid w:val="0"/>
        <w:spacing w:before="160" w:line="46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依照《中华人民共和国民法典》及其他有关法律、行政法规，遵循平等、自愿、公平和诚实信用的原则，双方就</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lang w:eastAsia="zh-CN"/>
        </w:rPr>
        <w:t>2023</w:t>
      </w:r>
      <w:r>
        <w:rPr>
          <w:rFonts w:hint="eastAsia" w:asciiTheme="minorEastAsia" w:hAnsiTheme="minorEastAsia" w:eastAsiaTheme="minorEastAsia"/>
          <w:b/>
          <w:bCs/>
          <w:sz w:val="28"/>
          <w:szCs w:val="28"/>
          <w:u w:val="single"/>
        </w:rPr>
        <w:t>年度模具钢材采购</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Cs/>
          <w:sz w:val="28"/>
          <w:szCs w:val="28"/>
        </w:rPr>
        <w:t>项目相关</w:t>
      </w:r>
      <w:r>
        <w:rPr>
          <w:rFonts w:hint="eastAsia" w:asciiTheme="minorEastAsia" w:hAnsiTheme="minorEastAsia" w:eastAsiaTheme="minorEastAsia"/>
          <w:sz w:val="28"/>
          <w:szCs w:val="28"/>
        </w:rPr>
        <w:t>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一.乙方向甲方提供模具钢材</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5"/>
        <w:tblW w:w="9337" w:type="dxa"/>
        <w:tblInd w:w="-123" w:type="dxa"/>
        <w:tblLayout w:type="fixed"/>
        <w:tblCellMar>
          <w:top w:w="0" w:type="dxa"/>
          <w:left w:w="108" w:type="dxa"/>
          <w:bottom w:w="0" w:type="dxa"/>
          <w:right w:w="108" w:type="dxa"/>
        </w:tblCellMar>
      </w:tblPr>
      <w:tblGrid>
        <w:gridCol w:w="2142"/>
        <w:gridCol w:w="1204"/>
        <w:gridCol w:w="1491"/>
        <w:gridCol w:w="851"/>
        <w:gridCol w:w="850"/>
        <w:gridCol w:w="796"/>
        <w:gridCol w:w="2003"/>
      </w:tblGrid>
      <w:tr>
        <w:tblPrEx>
          <w:tblLayout w:type="fixed"/>
          <w:tblCellMar>
            <w:top w:w="0" w:type="dxa"/>
            <w:left w:w="108" w:type="dxa"/>
            <w:bottom w:w="0" w:type="dxa"/>
            <w:right w:w="108" w:type="dxa"/>
          </w:tblCellMar>
        </w:tblPrEx>
        <w:trPr>
          <w:trHeight w:val="6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2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4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7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80"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球墨铸铁</w:t>
            </w:r>
          </w:p>
        </w:tc>
        <w:tc>
          <w:tcPr>
            <w:tcW w:w="12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QT500-7</w:t>
            </w:r>
          </w:p>
        </w:tc>
        <w:tc>
          <w:tcPr>
            <w:tcW w:w="14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￠20-￠150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96" w:type="dxa"/>
            <w:tcBorders>
              <w:top w:val="single" w:color="auto" w:sz="4" w:space="0"/>
              <w:left w:val="nil"/>
              <w:bottom w:val="single" w:color="auto" w:sz="4" w:space="0"/>
              <w:right w:val="single" w:color="auto" w:sz="4" w:space="0"/>
            </w:tcBorders>
          </w:tcPr>
          <w:p>
            <w:pPr>
              <w:widowControl/>
              <w:jc w:val="center"/>
              <w:rPr>
                <w:rFonts w:ascii="Arial" w:hAnsi="Arial" w:cs="Arial"/>
                <w:color w:val="333333"/>
                <w:szCs w:val="21"/>
                <w:shd w:val="clear" w:color="auto" w:fill="FFFFFF"/>
              </w:rPr>
            </w:pP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Arial" w:hAnsi="Arial" w:cs="Arial"/>
                <w:color w:val="333333"/>
                <w:szCs w:val="21"/>
                <w:shd w:val="clear" w:color="auto" w:fill="FFFFFF"/>
              </w:rPr>
              <w:t>GB/T1348-20</w:t>
            </w:r>
            <w:r>
              <w:rPr>
                <w:rFonts w:hint="eastAsia" w:ascii="Arial" w:hAnsi="Arial" w:cs="Arial"/>
                <w:color w:val="333333"/>
                <w:szCs w:val="21"/>
                <w:shd w:val="clear" w:color="auto" w:fill="FFFFFF"/>
              </w:rPr>
              <w:t>1</w:t>
            </w:r>
            <w:r>
              <w:rPr>
                <w:rFonts w:ascii="Arial" w:hAnsi="Arial" w:cs="Arial"/>
                <w:color w:val="333333"/>
                <w:szCs w:val="21"/>
                <w:shd w:val="clear" w:color="auto" w:fill="FFFFFF"/>
              </w:rPr>
              <w:t>9</w:t>
            </w:r>
          </w:p>
        </w:tc>
      </w:tr>
      <w:tr>
        <w:tblPrEx>
          <w:tblLayout w:type="fixed"/>
          <w:tblCellMar>
            <w:top w:w="0" w:type="dxa"/>
            <w:left w:w="108" w:type="dxa"/>
            <w:bottom w:w="0" w:type="dxa"/>
            <w:right w:w="108" w:type="dxa"/>
          </w:tblCellMar>
        </w:tblPrEx>
        <w:trPr>
          <w:trHeight w:val="580"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冷作模具钢</w:t>
            </w:r>
          </w:p>
        </w:tc>
        <w:tc>
          <w:tcPr>
            <w:tcW w:w="12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Cr12MoV</w:t>
            </w:r>
          </w:p>
        </w:tc>
        <w:tc>
          <w:tcPr>
            <w:tcW w:w="14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￠20-￠150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96" w:type="dxa"/>
            <w:tcBorders>
              <w:top w:val="single" w:color="auto" w:sz="4" w:space="0"/>
              <w:left w:val="nil"/>
              <w:bottom w:val="single" w:color="auto" w:sz="4" w:space="0"/>
              <w:right w:val="single" w:color="auto" w:sz="4" w:space="0"/>
            </w:tcBorders>
          </w:tcPr>
          <w:p>
            <w:pPr>
              <w:widowControl/>
              <w:jc w:val="center"/>
              <w:rPr>
                <w:rFonts w:ascii="Arial" w:hAnsi="Arial" w:cs="Arial"/>
                <w:color w:val="333333"/>
                <w:szCs w:val="21"/>
                <w:shd w:val="clear" w:color="auto" w:fill="FFFFFF"/>
              </w:rPr>
            </w:pP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Arial" w:hAnsi="Arial" w:cs="Arial"/>
                <w:color w:val="333333"/>
                <w:szCs w:val="21"/>
                <w:shd w:val="clear" w:color="auto" w:fill="FFFFFF"/>
              </w:rPr>
            </w:pPr>
            <w:r>
              <w:rPr>
                <w:rFonts w:hint="eastAsia" w:ascii="Arial" w:hAnsi="Arial" w:cs="Arial"/>
                <w:bCs/>
                <w:color w:val="333333"/>
                <w:szCs w:val="21"/>
              </w:rPr>
              <w:t>GB/T34564.1-2017</w:t>
            </w:r>
          </w:p>
        </w:tc>
      </w:tr>
    </w:tbl>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460" w:lineRule="exact"/>
        <w:rPr>
          <w:rFonts w:ascii="仿宋" w:hAnsi="仿宋" w:eastAsia="仿宋"/>
          <w:b/>
          <w:sz w:val="28"/>
          <w:szCs w:val="28"/>
        </w:rPr>
      </w:pPr>
      <w:r>
        <w:rPr>
          <w:rFonts w:ascii="仿宋" w:hAnsi="仿宋" w:eastAsia="仿宋"/>
          <w:sz w:val="28"/>
          <w:szCs w:val="28"/>
        </w:rPr>
        <w:t xml:space="preserve">  </w:t>
      </w:r>
      <w:r>
        <w:rPr>
          <w:rFonts w:hint="eastAsia" w:ascii="仿宋" w:hAnsi="仿宋" w:eastAsia="仿宋"/>
          <w:b/>
          <w:color w:val="FF0000"/>
          <w:sz w:val="28"/>
          <w:szCs w:val="28"/>
        </w:rPr>
        <w:t>注：需另附</w:t>
      </w:r>
      <w:r>
        <w:rPr>
          <w:rFonts w:hint="eastAsia" w:ascii="宋体" w:hAnsi="宋体" w:cs="宋体"/>
          <w:b/>
          <w:color w:val="FF0000"/>
          <w:kern w:val="0"/>
          <w:sz w:val="22"/>
          <w:szCs w:val="22"/>
        </w:rPr>
        <w:t>￠20至￠150之间的</w:t>
      </w:r>
      <w:r>
        <w:rPr>
          <w:rFonts w:hint="eastAsia" w:ascii="仿宋" w:hAnsi="仿宋" w:eastAsia="仿宋"/>
          <w:b/>
          <w:color w:val="FF0000"/>
          <w:sz w:val="28"/>
          <w:szCs w:val="28"/>
        </w:rPr>
        <w:t>清单。</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合同风险抵押金，本合同履行期限届满30个工作日内返还。若乙方未按期缴纳保证金，乙方认可甲方从支付其加工费中先行扣除。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本合同经甲方、乙方签字盖章后生效，合同期限：从</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   月   至2023年  月日模具钢材公开比价确定新供应商前。合同签订的内容不能超出询价采购文件和报价文件的实质性内容。</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十三、本合同壹式肆份，以中文书写，甲方、乙方各执两份。</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十四、本合同一切未尽事宜，按合同法有关规定执行，无相关规定的，由甲乙双方协商解决或交由甲方所在地丹阳人民法院管辖。</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年度模具钢材采购项目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5"/>
        <w:tblW w:w="9337" w:type="dxa"/>
        <w:tblInd w:w="93" w:type="dxa"/>
        <w:tblLayout w:type="fixed"/>
        <w:tblCellMar>
          <w:top w:w="0" w:type="dxa"/>
          <w:left w:w="108" w:type="dxa"/>
          <w:bottom w:w="0" w:type="dxa"/>
          <w:right w:w="108" w:type="dxa"/>
        </w:tblCellMar>
      </w:tblPr>
      <w:tblGrid>
        <w:gridCol w:w="1433"/>
        <w:gridCol w:w="1276"/>
        <w:gridCol w:w="1134"/>
        <w:gridCol w:w="850"/>
        <w:gridCol w:w="1276"/>
        <w:gridCol w:w="1365"/>
        <w:gridCol w:w="2003"/>
      </w:tblGrid>
      <w:tr>
        <w:tblPrEx>
          <w:tblLayout w:type="fixed"/>
          <w:tblCellMar>
            <w:top w:w="0" w:type="dxa"/>
            <w:left w:w="108" w:type="dxa"/>
            <w:bottom w:w="0" w:type="dxa"/>
            <w:right w:w="108" w:type="dxa"/>
          </w:tblCellMar>
        </w:tblPrEx>
        <w:trPr>
          <w:trHeight w:val="633"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标的名称</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规格</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单位</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单价（元）</w:t>
            </w:r>
          </w:p>
        </w:tc>
        <w:tc>
          <w:tcPr>
            <w:tcW w:w="136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交付期（天）</w:t>
            </w: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备注</w:t>
            </w:r>
          </w:p>
        </w:tc>
      </w:tr>
      <w:tr>
        <w:tblPrEx>
          <w:tblLayout w:type="fixed"/>
          <w:tblCellMar>
            <w:top w:w="0" w:type="dxa"/>
            <w:left w:w="108" w:type="dxa"/>
            <w:bottom w:w="0" w:type="dxa"/>
            <w:right w:w="108" w:type="dxa"/>
          </w:tblCellMar>
        </w:tblPrEx>
        <w:trPr>
          <w:trHeight w:val="450" w:hRule="atLeast"/>
        </w:trPr>
        <w:tc>
          <w:tcPr>
            <w:tcW w:w="1433" w:type="dxa"/>
            <w:vMerge w:val="restart"/>
            <w:tcBorders>
              <w:top w:val="nil"/>
              <w:left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hint="eastAsia" w:ascii="宋体" w:hAnsi="宋体" w:cs="宋体"/>
                <w:b/>
                <w:color w:val="000000"/>
                <w:kern w:val="0"/>
                <w:sz w:val="22"/>
              </w:rPr>
              <w:t>球墨铸铁</w:t>
            </w:r>
          </w:p>
        </w:tc>
        <w:tc>
          <w:tcPr>
            <w:tcW w:w="1276" w:type="dxa"/>
            <w:vMerge w:val="restart"/>
            <w:tcBorders>
              <w:top w:val="nil"/>
              <w:left w:val="nil"/>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hint="eastAsia" w:ascii="宋体" w:hAnsi="宋体" w:cs="宋体"/>
                <w:b/>
                <w:color w:val="000000"/>
                <w:kern w:val="0"/>
                <w:sz w:val="22"/>
              </w:rPr>
              <w:t>QT500-7</w:t>
            </w:r>
          </w:p>
        </w:tc>
        <w:tc>
          <w:tcPr>
            <w:tcW w:w="1134"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￠20</w:t>
            </w:r>
          </w:p>
        </w:tc>
        <w:tc>
          <w:tcPr>
            <w:tcW w:w="850" w:type="dxa"/>
            <w:vMerge w:val="restart"/>
            <w:tcBorders>
              <w:top w:val="nil"/>
              <w:left w:val="nil"/>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hint="eastAsia" w:ascii="宋体" w:hAnsi="宋体" w:cs="宋体"/>
                <w:b/>
                <w:color w:val="000000"/>
                <w:kern w:val="0"/>
                <w:sz w:val="22"/>
              </w:rPr>
              <w:t>公斤</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 w:val="22"/>
              </w:rPr>
            </w:pPr>
          </w:p>
        </w:tc>
        <w:tc>
          <w:tcPr>
            <w:tcW w:w="1365" w:type="dxa"/>
            <w:tcBorders>
              <w:top w:val="single" w:color="auto" w:sz="4" w:space="0"/>
              <w:left w:val="nil"/>
              <w:bottom w:val="single" w:color="auto" w:sz="4" w:space="0"/>
              <w:right w:val="single" w:color="auto" w:sz="4" w:space="0"/>
            </w:tcBorders>
          </w:tcPr>
          <w:p>
            <w:pPr>
              <w:widowControl/>
              <w:jc w:val="center"/>
              <w:rPr>
                <w:rFonts w:ascii="Arial" w:hAnsi="Arial" w:cs="Arial"/>
                <w:b/>
                <w:color w:val="333333"/>
                <w:szCs w:val="21"/>
                <w:shd w:val="clear" w:color="auto" w:fill="FFFFFF"/>
              </w:rPr>
            </w:pPr>
          </w:p>
        </w:tc>
        <w:tc>
          <w:tcPr>
            <w:tcW w:w="2003" w:type="dxa"/>
            <w:vMerge w:val="restart"/>
            <w:tcBorders>
              <w:top w:val="nil"/>
              <w:left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ascii="Arial" w:hAnsi="Arial" w:cs="Arial"/>
                <w:b/>
                <w:color w:val="333333"/>
                <w:szCs w:val="21"/>
                <w:shd w:val="clear" w:color="auto" w:fill="FFFFFF"/>
              </w:rPr>
              <w:t>GB/T1348-20</w:t>
            </w:r>
            <w:r>
              <w:rPr>
                <w:rFonts w:hint="eastAsia" w:ascii="Arial" w:hAnsi="Arial" w:cs="Arial"/>
                <w:b/>
                <w:color w:val="333333"/>
                <w:szCs w:val="21"/>
                <w:shd w:val="clear" w:color="auto" w:fill="FFFFFF"/>
              </w:rPr>
              <w:t>19</w:t>
            </w:r>
          </w:p>
        </w:tc>
      </w:tr>
      <w:tr>
        <w:tblPrEx>
          <w:tblLayout w:type="fixed"/>
          <w:tblCellMar>
            <w:top w:w="0" w:type="dxa"/>
            <w:left w:w="108" w:type="dxa"/>
            <w:bottom w:w="0" w:type="dxa"/>
            <w:right w:w="108" w:type="dxa"/>
          </w:tblCellMar>
        </w:tblPrEx>
        <w:trPr>
          <w:trHeight w:val="18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￠25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12"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￠35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75"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￠40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3"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￠45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￠50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￠55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3"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￠60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￠65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￠70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￠75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￠80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￠85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￠90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￠95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￠100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￠120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￠150</w:t>
            </w:r>
          </w:p>
        </w:tc>
        <w:tc>
          <w:tcPr>
            <w:tcW w:w="850"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冷作模具钢</w:t>
            </w:r>
          </w:p>
        </w:tc>
        <w:tc>
          <w:tcPr>
            <w:tcW w:w="1276"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Cr12MoV</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b/>
                <w:color w:val="000000"/>
                <w:kern w:val="0"/>
                <w:sz w:val="22"/>
              </w:rPr>
              <w:t>￠20</w:t>
            </w:r>
          </w:p>
        </w:tc>
        <w:tc>
          <w:tcPr>
            <w:tcW w:w="850"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公斤</w:t>
            </w: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r>
              <w:rPr>
                <w:rFonts w:ascii="Arial" w:hAnsi="Arial" w:cs="Arial"/>
                <w:color w:val="333333"/>
                <w:szCs w:val="21"/>
                <w:shd w:val="clear" w:color="auto" w:fill="FFFFFF"/>
              </w:rPr>
              <w:t>GB/T34564.1-2017</w:t>
            </w: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￠25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￠35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￠40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￠45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￠50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￠55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￠60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￠65</w:t>
            </w:r>
          </w:p>
        </w:tc>
        <w:tc>
          <w:tcPr>
            <w:tcW w:w="850"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冷作模具钢</w:t>
            </w:r>
          </w:p>
        </w:tc>
        <w:tc>
          <w:tcPr>
            <w:tcW w:w="1276"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Cr12MoV</w:t>
            </w: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￠70</w:t>
            </w:r>
          </w:p>
        </w:tc>
        <w:tc>
          <w:tcPr>
            <w:tcW w:w="850"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公斤</w:t>
            </w: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r>
              <w:rPr>
                <w:rFonts w:ascii="Arial" w:hAnsi="Arial" w:cs="Arial"/>
                <w:color w:val="333333"/>
                <w:szCs w:val="21"/>
                <w:shd w:val="clear" w:color="auto" w:fill="FFFFFF"/>
              </w:rPr>
              <w:t>GB/T34564.1-2017</w:t>
            </w: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￠75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￠80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￠85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￠90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￠95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￠100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￠120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￠150</w:t>
            </w:r>
          </w:p>
        </w:tc>
        <w:tc>
          <w:tcPr>
            <w:tcW w:w="850"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bl>
    <w:p>
      <w:pPr>
        <w:spacing w:line="460" w:lineRule="exact"/>
        <w:rPr>
          <w:rFonts w:asciiTheme="majorEastAsia" w:hAnsiTheme="majorEastAsia" w:eastAsiaTheme="majorEastAsia"/>
          <w:sz w:val="28"/>
          <w:szCs w:val="28"/>
        </w:rPr>
      </w:pPr>
      <w:r>
        <w:rPr>
          <w:rFonts w:hint="eastAsia" w:ascii="仿宋" w:hAnsi="仿宋" w:eastAsia="仿宋"/>
          <w:sz w:val="28"/>
          <w:szCs w:val="28"/>
        </w:rPr>
        <w:t>备注：</w:t>
      </w:r>
      <w:r>
        <w:rPr>
          <w:rFonts w:hint="eastAsia" w:asciiTheme="majorEastAsia" w:hAnsiTheme="majorEastAsia" w:eastAsiaTheme="majorEastAsia"/>
          <w:sz w:val="28"/>
          <w:szCs w:val="28"/>
        </w:rPr>
        <w:t>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11D"/>
    <w:rsid w:val="0024046B"/>
    <w:rsid w:val="00BB211D"/>
    <w:rsid w:val="00DF01B3"/>
    <w:rsid w:val="00DF4BE5"/>
    <w:rsid w:val="04563956"/>
    <w:rsid w:val="37776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link w:val="7"/>
    <w:qFormat/>
    <w:uiPriority w:val="99"/>
    <w:rPr>
      <w:rFonts w:ascii="宋体" w:hAnsi="Courier New"/>
      <w:kern w:val="0"/>
      <w:szCs w:val="21"/>
    </w:rPr>
  </w:style>
  <w:style w:type="paragraph" w:styleId="3">
    <w:name w:val="Date"/>
    <w:basedOn w:val="1"/>
    <w:next w:val="1"/>
    <w:link w:val="8"/>
    <w:qFormat/>
    <w:uiPriority w:val="99"/>
    <w:pPr>
      <w:ind w:left="100" w:leftChars="2500"/>
    </w:pPr>
    <w:rPr>
      <w:kern w:val="0"/>
      <w:sz w:val="24"/>
    </w:rPr>
  </w:style>
  <w:style w:type="paragraph" w:styleId="4">
    <w:name w:val="footer"/>
    <w:basedOn w:val="1"/>
    <w:link w:val="9"/>
    <w:qFormat/>
    <w:uiPriority w:val="99"/>
    <w:pPr>
      <w:tabs>
        <w:tab w:val="center" w:pos="4153"/>
        <w:tab w:val="right" w:pos="8306"/>
      </w:tabs>
      <w:snapToGrid w:val="0"/>
      <w:jc w:val="left"/>
    </w:pPr>
    <w:rPr>
      <w:kern w:val="0"/>
      <w:sz w:val="18"/>
      <w:szCs w:val="18"/>
    </w:rPr>
  </w:style>
  <w:style w:type="character" w:customStyle="1" w:styleId="7">
    <w:name w:val="纯文本 Char"/>
    <w:basedOn w:val="6"/>
    <w:link w:val="2"/>
    <w:qFormat/>
    <w:uiPriority w:val="99"/>
    <w:rPr>
      <w:rFonts w:ascii="宋体" w:hAnsi="Courier New" w:eastAsia="宋体" w:cs="Times New Roman"/>
      <w:kern w:val="0"/>
      <w:szCs w:val="21"/>
    </w:rPr>
  </w:style>
  <w:style w:type="character" w:customStyle="1" w:styleId="8">
    <w:name w:val="日期 Char"/>
    <w:basedOn w:val="6"/>
    <w:link w:val="3"/>
    <w:qFormat/>
    <w:uiPriority w:val="99"/>
    <w:rPr>
      <w:rFonts w:ascii="Times New Roman" w:hAnsi="Times New Roman" w:eastAsia="宋体" w:cs="Times New Roman"/>
      <w:kern w:val="0"/>
      <w:sz w:val="24"/>
      <w:szCs w:val="24"/>
    </w:rPr>
  </w:style>
  <w:style w:type="character" w:customStyle="1" w:styleId="9">
    <w:name w:val="页脚 Char"/>
    <w:basedOn w:val="6"/>
    <w:link w:val="4"/>
    <w:qFormat/>
    <w:uiPriority w:val="99"/>
    <w:rPr>
      <w:rFonts w:ascii="Times New Roman" w:hAnsi="Times New Roman" w:eastAsia="宋体" w:cs="Times New Roman"/>
      <w:kern w:val="0"/>
      <w:sz w:val="18"/>
      <w:szCs w:val="18"/>
    </w:r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1167</Words>
  <Characters>6658</Characters>
  <Lines>55</Lines>
  <Paragraphs>15</Paragraphs>
  <TotalTime>11</TotalTime>
  <ScaleCrop>false</ScaleCrop>
  <LinksUpToDate>false</LinksUpToDate>
  <CharactersWithSpaces>7810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2022-01-25T10:54:00Z</dcterms:created>
  <dc:creator>微软用户</dc:creator>
  <cp:lastModifiedBy>Administrator</cp:lastModifiedBy>
  <dcterms:modified xsi:type="dcterms:W3CDTF">2023-03-07T02:22:02Z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