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DYGM-WZDD-2023-27</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b/>
          <w:sz w:val="28"/>
          <w:szCs w:val="28"/>
          <w:lang w:eastAsia="zh-CN"/>
        </w:rPr>
        <w:t>2023</w:t>
      </w:r>
      <w:r>
        <w:rPr>
          <w:rFonts w:hint="eastAsia" w:ascii="宋体"/>
          <w:b/>
          <w:sz w:val="28"/>
          <w:szCs w:val="28"/>
        </w:rPr>
        <w:t>年度木制品（木盒、木托盘） 定点采购项目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 xml:space="preserve">丹阳光明光电有限公司决定对 </w:t>
      </w:r>
      <w:r>
        <w:rPr>
          <w:rFonts w:hint="eastAsia" w:ascii="宋体" w:eastAsiaTheme="minorEastAsia"/>
          <w:b/>
          <w:sz w:val="28"/>
          <w:szCs w:val="28"/>
          <w:lang w:eastAsia="zh-CN"/>
        </w:rPr>
        <w:t>2023</w:t>
      </w:r>
      <w:r>
        <w:rPr>
          <w:rFonts w:hint="eastAsia" w:ascii="宋体"/>
          <w:b/>
          <w:sz w:val="28"/>
          <w:szCs w:val="28"/>
        </w:rPr>
        <w:t>年度木制品（木盒、木托盘） 定点采购项目</w:t>
      </w:r>
      <w:r>
        <w:rPr>
          <w:rFonts w:hint="eastAsia" w:ascii="宋体"/>
          <w:b/>
          <w:sz w:val="28"/>
          <w:szCs w:val="28"/>
          <w:lang w:eastAsia="zh-CN"/>
        </w:rPr>
        <w:t>（第二次）</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宋体"/>
          <w:b/>
          <w:sz w:val="28"/>
          <w:szCs w:val="28"/>
        </w:rPr>
      </w:pPr>
      <w:r>
        <w:rPr>
          <w:rFonts w:hint="eastAsia" w:asciiTheme="minorEastAsia" w:hAnsiTheme="minorEastAsia" w:eastAsiaTheme="minorEastAsia"/>
          <w:bCs/>
          <w:sz w:val="28"/>
          <w:szCs w:val="28"/>
        </w:rPr>
        <w:t>项目内容：</w:t>
      </w:r>
      <w:r>
        <w:rPr>
          <w:rFonts w:hint="eastAsia" w:ascii="宋体" w:eastAsiaTheme="minorEastAsia"/>
          <w:b/>
          <w:sz w:val="28"/>
          <w:szCs w:val="28"/>
          <w:lang w:eastAsia="zh-CN"/>
        </w:rPr>
        <w:t>2023</w:t>
      </w:r>
      <w:r>
        <w:rPr>
          <w:rFonts w:hint="eastAsia" w:ascii="宋体"/>
          <w:b/>
          <w:sz w:val="28"/>
          <w:szCs w:val="28"/>
        </w:rPr>
        <w:t>年度木制品（木盒、木托盘） 定点采购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项目价格有效期：自签订正式合同之日起一年内有效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具有</w:t>
      </w:r>
      <w:r>
        <w:rPr>
          <w:rFonts w:hint="eastAsia" w:asciiTheme="minorEastAsia" w:hAnsiTheme="minorEastAsia" w:eastAsiaTheme="minorEastAsia"/>
          <w:bCs/>
          <w:sz w:val="28"/>
          <w:szCs w:val="28"/>
        </w:rPr>
        <w:t>履行</w:t>
      </w:r>
      <w:r>
        <w:rPr>
          <w:rFonts w:asciiTheme="minorEastAsia" w:hAnsiTheme="minorEastAsia" w:eastAsiaTheme="minorEastAsia"/>
          <w:bCs/>
          <w:sz w:val="28"/>
          <w:szCs w:val="28"/>
        </w:rPr>
        <w:t>合同</w:t>
      </w:r>
      <w:r>
        <w:rPr>
          <w:rFonts w:hint="eastAsia" w:asciiTheme="minorEastAsia" w:hAnsiTheme="minorEastAsia" w:eastAsiaTheme="minorEastAsia"/>
          <w:bCs/>
          <w:sz w:val="28"/>
          <w:szCs w:val="28"/>
        </w:rPr>
        <w:t>所</w:t>
      </w:r>
      <w:r>
        <w:rPr>
          <w:rFonts w:asciiTheme="minorEastAsia" w:hAnsiTheme="minorEastAsia" w:eastAsiaTheme="minorEastAsia"/>
          <w:bCs/>
          <w:sz w:val="28"/>
          <w:szCs w:val="28"/>
        </w:rPr>
        <w:t>必需的</w:t>
      </w:r>
      <w:r>
        <w:rPr>
          <w:rFonts w:hint="eastAsia" w:asciiTheme="minorEastAsia" w:hAnsiTheme="minorEastAsia" w:eastAsiaTheme="minorEastAsia"/>
          <w:bCs/>
          <w:sz w:val="28"/>
          <w:szCs w:val="28"/>
        </w:rPr>
        <w:t>设备</w:t>
      </w:r>
      <w:r>
        <w:rPr>
          <w:rFonts w:asciiTheme="minorEastAsia" w:hAnsiTheme="minorEastAsia" w:eastAsiaTheme="minorEastAsia"/>
          <w:bCs/>
          <w:sz w:val="28"/>
          <w:szCs w:val="28"/>
        </w:rPr>
        <w:t>和</w:t>
      </w:r>
      <w:r>
        <w:rPr>
          <w:rFonts w:hint="eastAsia" w:asciiTheme="minorEastAsia" w:hAnsiTheme="minorEastAsia" w:eastAsiaTheme="minorEastAsia"/>
          <w:bCs/>
          <w:sz w:val="28"/>
          <w:szCs w:val="28"/>
        </w:rPr>
        <w:t>专业</w:t>
      </w:r>
      <w:r>
        <w:rPr>
          <w:rFonts w:asciiTheme="minorEastAsia" w:hAnsiTheme="minorEastAsia" w:eastAsiaTheme="minorEastAsia"/>
          <w:bCs/>
          <w:sz w:val="28"/>
          <w:szCs w:val="28"/>
        </w:rPr>
        <w:t>技术能力</w:t>
      </w:r>
    </w:p>
    <w:p>
      <w:pPr>
        <w:spacing w:line="540" w:lineRule="exact"/>
        <w:ind w:firstLine="560" w:firstLineChars="200"/>
        <w:rPr>
          <w:rFonts w:asciiTheme="minorEastAsia" w:hAnsiTheme="minorEastAsia" w:eastAsiaTheme="minorEastAsia"/>
          <w:bCs/>
          <w:color w:val="FF0000"/>
          <w:sz w:val="28"/>
          <w:szCs w:val="28"/>
        </w:rPr>
      </w:pPr>
      <w:r>
        <w:rPr>
          <w:rFonts w:hint="eastAsia" w:asciiTheme="minorEastAsia" w:hAnsiTheme="minorEastAsia" w:eastAsiaTheme="minorEastAsia"/>
          <w:bCs/>
          <w:sz w:val="28"/>
          <w:szCs w:val="28"/>
        </w:rPr>
        <w:t>（三）能提供和本业务</w:t>
      </w:r>
      <w:r>
        <w:rPr>
          <w:rFonts w:hint="eastAsia" w:asciiTheme="minorEastAsia" w:hAnsiTheme="minorEastAsia" w:eastAsiaTheme="minorEastAsia"/>
          <w:bCs/>
          <w:color w:val="000000" w:themeColor="text1"/>
          <w:sz w:val="28"/>
          <w:szCs w:val="28"/>
          <w14:textFill>
            <w14:solidFill>
              <w14:schemeClr w14:val="tx1"/>
            </w14:solidFill>
          </w14:textFill>
        </w:rPr>
        <w:t>相符的增值税发票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7</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2023年3月17日</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本公告在“成都光明光电股份有限公司官方网站（www.cdgmgd.com ）”《供求信息》专栏发布</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（一）递交截止时间：</w:t>
      </w:r>
      <w:r>
        <w:rPr>
          <w:rFonts w:hint="eastAsia" w:asciiTheme="minorEastAsia" w:hAnsiTheme="minorEastAsia" w:eastAsiaTheme="minorEastAsia"/>
          <w:sz w:val="28"/>
          <w:szCs w:val="28"/>
          <w:lang w:eastAsia="zh-CN"/>
        </w:rPr>
        <w:t>2023年3月17日</w:t>
      </w:r>
      <w:r>
        <w:rPr>
          <w:rFonts w:hint="eastAsia" w:asciiTheme="minorEastAsia" w:hAnsiTheme="minorEastAsia" w:eastAsiaTheme="minorEastAsia"/>
          <w:bCs/>
          <w:sz w:val="28"/>
          <w:szCs w:val="28"/>
        </w:rPr>
        <w:t>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（二）递交地点：江苏省丹阳市开发区九曲路298号 丹阳光明光电有限公司</w:t>
      </w:r>
      <w:r>
        <w:rPr>
          <w:rFonts w:hint="eastAsia" w:asciiTheme="minorEastAsia" w:hAnsiTheme="minorEastAsia" w:eastAsiaTheme="minorEastAsia"/>
          <w:sz w:val="28"/>
          <w:szCs w:val="28"/>
        </w:rPr>
        <w:t>（综合管理部：夏媛）</w:t>
      </w:r>
    </w:p>
    <w:p>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（三）询价咨询人：夏媛</w:t>
      </w:r>
      <w:r>
        <w:rPr>
          <w:rFonts w:hint="eastAsia" w:asciiTheme="minorEastAsia" w:hAnsiTheme="minorEastAsia" w:eastAsiaTheme="minorEastAsia"/>
          <w:sz w:val="28"/>
          <w:szCs w:val="28"/>
          <w:lang w:val="en-US" w:eastAsia="zh-CN"/>
        </w:rPr>
        <w:t>13861343702</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bCs/>
          <w:sz w:val="28"/>
          <w:szCs w:val="28"/>
        </w:rPr>
        <w:t>（六）</w:t>
      </w:r>
      <w:r>
        <w:rPr>
          <w:rFonts w:hint="eastAsia" w:asciiTheme="minorEastAsia" w:hAnsiTheme="minorEastAsia" w:eastAsiaTheme="minorEastAsia"/>
          <w:sz w:val="28"/>
          <w:szCs w:val="28"/>
        </w:rPr>
        <w:t>所提供的各类资料须分别</w:t>
      </w:r>
      <w:r>
        <w:rPr>
          <w:rFonts w:asciiTheme="minorEastAsia" w:hAnsiTheme="minorEastAsia" w:eastAsiaTheme="minorEastAsia"/>
          <w:b/>
          <w:bCs/>
          <w:sz w:val="28"/>
          <w:szCs w:val="28"/>
        </w:rPr>
        <w:t>加盖本企业鲜章</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sz w:val="28"/>
          <w:szCs w:val="28"/>
        </w:rPr>
        <w:t>（七）全部比价文件资料需</w:t>
      </w:r>
      <w:r>
        <w:rPr>
          <w:rFonts w:hint="eastAsia" w:asciiTheme="minorEastAsia" w:hAnsiTheme="minorEastAsia" w:eastAsiaTheme="minorEastAsia"/>
          <w:b/>
          <w:bCs/>
          <w:sz w:val="28"/>
          <w:szCs w:val="28"/>
        </w:rPr>
        <w:t>装</w:t>
      </w:r>
      <w:r>
        <w:rPr>
          <w:rFonts w:asciiTheme="minorEastAsia" w:hAnsiTheme="minorEastAsia" w:eastAsiaTheme="minorEastAsia"/>
          <w:b/>
          <w:bCs/>
          <w:sz w:val="28"/>
          <w:szCs w:val="28"/>
        </w:rPr>
        <w:t>订成册</w:t>
      </w:r>
      <w:r>
        <w:rPr>
          <w:rFonts w:hint="eastAsia" w:asciiTheme="minorEastAsia" w:hAnsiTheme="minorEastAsia" w:eastAsiaTheme="minorEastAsia"/>
          <w:b/>
          <w:bCs/>
          <w:sz w:val="28"/>
          <w:szCs w:val="28"/>
        </w:rPr>
        <w:t>、密封，并在密封处加盖本企业鲜章</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（八）误发、迟发、非纸质方式发送询价文件或询价文件无公章的，视为无效资料。</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二0二三年三月七</w:t>
      </w:r>
      <w:r>
        <w:rPr>
          <w:rFonts w:hint="eastAsia" w:asciiTheme="minorEastAsia" w:hAnsiTheme="minorEastAsia" w:eastAsiaTheme="minorEastAsia"/>
          <w:sz w:val="28"/>
          <w:szCs w:val="28"/>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bookmarkStart w:id="2" w:name="_GoBack"/>
            <w:r>
              <w:rPr>
                <w:rFonts w:hint="eastAsia" w:cs="仿宋_GB2312" w:asciiTheme="minorEastAsia" w:hAnsiTheme="minorEastAsia" w:eastAsiaTheme="minorEastAsia"/>
                <w:b/>
                <w:bCs/>
                <w:sz w:val="28"/>
                <w:szCs w:val="28"/>
              </w:rPr>
              <w:t>装订牢固、密封，并应</w:t>
            </w:r>
            <w:r>
              <w:rPr>
                <w:rFonts w:hint="eastAsia" w:cs="仿宋_GB2312" w:asciiTheme="minorEastAsia" w:hAnsiTheme="minorEastAsia" w:eastAsiaTheme="minorEastAsia"/>
                <w:b/>
                <w:bCs/>
                <w:sz w:val="28"/>
                <w:szCs w:val="28"/>
              </w:rPr>
              <w:t>编制目录</w:t>
            </w:r>
            <w:bookmarkEnd w:id="2"/>
            <w:r>
              <w:rPr>
                <w:rFonts w:hint="eastAsia" w:cs="仿宋_GB2312" w:asciiTheme="minorEastAsia" w:hAnsiTheme="minorEastAsia" w:eastAsiaTheme="min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color w:val="FF0000"/>
                <w:kern w:val="0"/>
                <w:sz w:val="28"/>
                <w:szCs w:val="28"/>
              </w:rPr>
              <w:t>是否退还报价文件及样品</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color w:val="FF0000"/>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inorEastAsia" w:hAnsiTheme="minorEastAsia" w:eastAsiaTheme="minorEastAsia"/>
                <w:color w:val="FF0000"/>
                <w:sz w:val="28"/>
                <w:szCs w:val="28"/>
              </w:rPr>
            </w:pPr>
            <w:r>
              <w:rPr>
                <w:rFonts w:hint="eastAsia" w:asciiTheme="minorEastAsia" w:hAnsiTheme="minorEastAsia" w:eastAsiaTheme="minorEastAsia"/>
                <w:color w:val="auto"/>
                <w:sz w:val="28"/>
                <w:szCs w:val="28"/>
              </w:rPr>
              <w:t>采用最低价中标法确定最终供应商。</w:t>
            </w:r>
            <w:r>
              <w:rPr>
                <w:rFonts w:cs="仿宋_GB2312" w:asciiTheme="minorEastAsia" w:hAnsiTheme="minorEastAsia" w:eastAsiaTheme="min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4、报价单位认为适宜的与本项目相关的其他资格证明资料。</w:t>
            </w:r>
          </w:p>
        </w:tc>
      </w:tr>
    </w:tbl>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shd w:val="pct10" w:color="auto" w:fill="FFFFFF"/>
        </w:rPr>
        <w:t>一、</w:t>
      </w:r>
      <w:r>
        <w:rPr>
          <w:rFonts w:hint="eastAsia" w:asciiTheme="minorEastAsia" w:hAnsiTheme="minorEastAsia" w:eastAsiaTheme="minorEastAsia"/>
          <w:sz w:val="28"/>
          <w:szCs w:val="28"/>
        </w:rPr>
        <w:t>中标人必须对报价文件负全责，并在中标后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二、各供应商填报的单价和总价均以人民币元为计价单位，报价应提报税率。</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三、各报价项目只能有唯一报价，不接受有选择的报价。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四、下列情况将被视为无效报价文件：</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（一）报价文件未在规定时间内送达指定地点；</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（二）未按照规定提供授权书原件的；</w:t>
      </w:r>
    </w:p>
    <w:p>
      <w:pPr>
        <w:spacing w:line="540" w:lineRule="exact"/>
        <w:ind w:left="558" w:leftChars="266"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（三）报价文件中的各项内容填列不完整或有涂改现象的，供应商公章和供应商代表签字不齐的；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（四）供应商擅自改变货物型号、配置的；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（五）供应商的报价材料密封不符合要求的；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（六）经评审小组判定为故意压低价格，不符合市场价格规律的；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（七</w:t>
      </w:r>
      <w:r>
        <w:rPr>
          <w:rFonts w:hint="eastAsia" w:asciiTheme="minorEastAsia" w:hAnsiTheme="minorEastAsia" w:eastAsiaTheme="min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五、评审工作按照丹阳光明光电有限公司供应商</w:t>
      </w:r>
      <w:bookmarkStart w:id="0" w:name="_Hlk33695163"/>
      <w:r>
        <w:rPr>
          <w:rFonts w:hint="eastAsia" w:asciiTheme="minorEastAsia" w:hAnsiTheme="minorEastAsia" w:eastAsiaTheme="minorEastAsia"/>
          <w:sz w:val="28"/>
          <w:szCs w:val="28"/>
        </w:rPr>
        <w:t>评审</w:t>
      </w:r>
      <w:bookmarkEnd w:id="0"/>
      <w:r>
        <w:rPr>
          <w:rFonts w:hint="eastAsia" w:asciiTheme="minorEastAsia" w:hAnsiTheme="minorEastAsia" w:eastAsiaTheme="minorEastAsia"/>
          <w:sz w:val="28"/>
          <w:szCs w:val="28"/>
        </w:rPr>
        <w:t>管理相关规定执行。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七、出现下列情形之一的，采采购方在评审时有权否决供应商的报价或取消采购活动：</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（一）出现影响采购公正的违法、违规行为的；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（二）供应商的报价均超过了采购预算，采购单位不能支付的；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（三）因重大变故，采购任务取消的；</w:t>
      </w:r>
    </w:p>
    <w:p>
      <w:pPr>
        <w:spacing w:line="54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（四）经评审认为所有报价文件都不符合询价文件要求的。</w:t>
      </w:r>
    </w:p>
    <w:p>
      <w:pPr>
        <w:spacing w:line="540" w:lineRule="exact"/>
        <w:ind w:firstLine="560" w:firstLineChars="200"/>
        <w:rPr>
          <w:rFonts w:asciiTheme="minorEastAsia" w:hAnsiTheme="minorEastAsia" w:eastAsiaTheme="minorEastAsia"/>
          <w:sz w:val="28"/>
          <w:szCs w:val="28"/>
        </w:rPr>
      </w:pPr>
      <w:bookmarkStart w:id="1" w:name="_Toc217446103"/>
      <w:r>
        <w:rPr>
          <w:rFonts w:hint="eastAsia" w:asciiTheme="minorEastAsia" w:hAnsiTheme="minorEastAsia" w:eastAsiaTheme="minorEastAsia"/>
          <w:sz w:val="28"/>
          <w:szCs w:val="28"/>
        </w:rPr>
        <w:t>八、评审细则及标准</w:t>
      </w:r>
      <w:bookmarkEnd w:id="1"/>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（一）评审前对所有报价文件进行初审，确定其是否有效。</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（二）对通过初审的采购文件，根据询价文件规定的评审程序及标准进行评价和比较。</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（三）在确定评审结果后，采购人将以《供应商确认通知单》通知</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参与此次采购的成交供应商。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九、合同签订</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供应商须在接到</w:t>
      </w:r>
      <w:r>
        <w:rPr>
          <w:rFonts w:hint="eastAsia" w:asciiTheme="minorEastAsia" w:hAnsiTheme="minorEastAsia" w:eastAsiaTheme="minorEastAsia"/>
          <w:sz w:val="28"/>
          <w:szCs w:val="28"/>
        </w:rPr>
        <w:t>（</w:t>
      </w:r>
      <w:r>
        <w:rPr>
          <w:rFonts w:asciiTheme="minorEastAsia" w:hAnsiTheme="minorEastAsia" w:eastAsiaTheme="minorEastAsia"/>
          <w:sz w:val="28"/>
          <w:szCs w:val="28"/>
        </w:rPr>
        <w:t>或应当接到</w:t>
      </w:r>
      <w:r>
        <w:rPr>
          <w:rFonts w:hint="eastAsia" w:asciiTheme="minorEastAsia" w:hAnsiTheme="minorEastAsia" w:eastAsiaTheme="minorEastAsia"/>
          <w:sz w:val="28"/>
          <w:szCs w:val="28"/>
        </w:rPr>
        <w:t>）采购人所发出的《供应商确认通知单》10个工作日内与采购人签订正式采购合同；</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（二）《供应商确认通知单》对采购人和供应商均具有法律约束力；</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r>
        <w:rPr>
          <w:rFonts w:hint="eastAsia" w:asciiTheme="minorEastAsia" w:hAnsiTheme="minorEastAsia" w:eastAsiaTheme="minorEastAsia"/>
          <w:sz w:val="28"/>
          <w:szCs w:val="28"/>
        </w:rPr>
        <w:t>十、采购物资明细表见第四部分文件3</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rPr>
          <w:rFonts w:asciiTheme="minorEastAsia" w:hAnsiTheme="minorEastAsia" w:eastAsia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360" w:lineRule="auto"/>
        <w:jc w:val="center"/>
        <w:rPr>
          <w:rFonts w:ascii="仿宋_GB2312" w:hAnsi="宋体" w:eastAsia="仿宋_GB2312"/>
          <w:b/>
          <w:sz w:val="32"/>
        </w:rPr>
      </w:pPr>
      <w:r>
        <w:rPr>
          <w:rFonts w:hint="eastAsia" w:ascii="黑体" w:eastAsia="黑体" w:hAnsiTheme="minorEastAsia"/>
          <w:sz w:val="44"/>
          <w:szCs w:val="44"/>
        </w:rPr>
        <w:t>第三部分</w:t>
      </w:r>
      <w:r>
        <w:rPr>
          <w:rFonts w:hint="eastAsia" w:ascii="仿宋_GB2312" w:hAnsi="宋体" w:eastAsia="仿宋_GB2312"/>
          <w:b/>
          <w:sz w:val="32"/>
        </w:rPr>
        <w:t>木制品年度物资定点采购协议（合同）</w:t>
      </w:r>
    </w:p>
    <w:p>
      <w:pPr>
        <w:spacing w:line="360" w:lineRule="auto"/>
        <w:jc w:val="right"/>
        <w:rPr>
          <w:rFonts w:ascii="仿宋_GB2312" w:hAnsi="宋体" w:eastAsia="仿宋_GB2312"/>
          <w:sz w:val="24"/>
        </w:rPr>
      </w:pPr>
      <w:r>
        <w:rPr>
          <w:rFonts w:hint="eastAsia" w:ascii="仿宋_GB2312" w:hAnsi="宋体" w:eastAsia="仿宋_GB2312"/>
          <w:sz w:val="24"/>
        </w:rPr>
        <w:t xml:space="preserve">              合同编号：</w:t>
      </w:r>
      <w:r>
        <w:rPr>
          <w:rFonts w:ascii="仿宋_GB2312" w:hAnsi="宋体" w:eastAsia="仿宋_GB2312"/>
          <w:sz w:val="24"/>
        </w:rPr>
        <w:t>DYGM-</w:t>
      </w:r>
      <w:r>
        <w:rPr>
          <w:rFonts w:hint="eastAsia" w:ascii="仿宋_GB2312" w:hAnsi="宋体" w:eastAsia="仿宋_GB2312"/>
          <w:sz w:val="24"/>
        </w:rPr>
        <w:t>WZDD-</w:t>
      </w:r>
      <w:r>
        <w:rPr>
          <w:rFonts w:hint="eastAsia" w:ascii="仿宋_GB2312" w:hAnsi="宋体" w:eastAsia="仿宋_GB2312"/>
          <w:sz w:val="24"/>
          <w:lang w:val="en-US" w:eastAsia="zh-CN"/>
        </w:rPr>
        <w:t>2023-27</w:t>
      </w:r>
      <w:r>
        <w:rPr>
          <w:rFonts w:hint="eastAsia"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甲方（需求方）：丹阳光明光电有限公司       乙方（供应方）：</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地址：江苏省丹阳市开发区九曲路2</w:t>
      </w:r>
      <w:r>
        <w:rPr>
          <w:rFonts w:ascii="仿宋_GB2312" w:hAnsi="宋体" w:eastAsia="仿宋_GB2312"/>
          <w:sz w:val="24"/>
        </w:rPr>
        <w:t>98</w:t>
      </w:r>
      <w:r>
        <w:rPr>
          <w:rFonts w:hint="eastAsia" w:ascii="仿宋_GB2312" w:hAnsi="宋体" w:eastAsia="仿宋_GB2312"/>
          <w:sz w:val="24"/>
        </w:rPr>
        <w:t>号      地址：</w:t>
      </w:r>
      <w:r>
        <w:rPr>
          <w:rFonts w:ascii="仿宋_GB2312" w:hAnsi="宋体" w:eastAsia="仿宋_GB2312"/>
          <w:sz w:val="24"/>
        </w:rPr>
        <w:t xml:space="preserve"> </w:t>
      </w:r>
    </w:p>
    <w:p>
      <w:pPr>
        <w:spacing w:line="360" w:lineRule="auto"/>
        <w:rPr>
          <w:rFonts w:ascii="仿宋_GB2312" w:hAnsi="宋体" w:eastAsia="仿宋_GB2312"/>
          <w:sz w:val="24"/>
        </w:rPr>
      </w:pPr>
    </w:p>
    <w:p>
      <w:pPr>
        <w:spacing w:line="360" w:lineRule="auto"/>
        <w:ind w:firstLine="240" w:firstLineChars="100"/>
        <w:rPr>
          <w:rFonts w:ascii="仿宋_GB2312" w:hAnsi="宋体" w:eastAsia="仿宋_GB2312"/>
          <w:sz w:val="24"/>
        </w:rPr>
      </w:pPr>
      <w:r>
        <w:rPr>
          <w:rFonts w:hint="eastAsia" w:ascii="仿宋_GB2312" w:hAnsi="宋体" w:eastAsia="仿宋_GB2312"/>
          <w:sz w:val="24"/>
        </w:rPr>
        <w:t>甲方向乙方开展</w:t>
      </w:r>
      <w:r>
        <w:rPr>
          <w:rFonts w:hint="eastAsia" w:ascii="仿宋_GB2312" w:hAnsi="宋体" w:eastAsia="仿宋_GB2312"/>
          <w:u w:val="single"/>
        </w:rPr>
        <w:t xml:space="preserve"> </w:t>
      </w:r>
      <w:r>
        <w:rPr>
          <w:rFonts w:hint="eastAsia" w:ascii="仿宋_GB2312" w:hAnsi="宋体" w:eastAsia="仿宋_GB2312"/>
          <w:b/>
          <w:sz w:val="24"/>
          <w:u w:val="single"/>
        </w:rPr>
        <w:t>木制品</w:t>
      </w:r>
      <w:r>
        <w:rPr>
          <w:rFonts w:hint="eastAsia" w:ascii="仿宋_GB2312" w:eastAsia="仿宋_GB2312"/>
          <w:b/>
          <w:u w:val="single"/>
        </w:rPr>
        <w:t xml:space="preserve"> </w:t>
      </w:r>
      <w:r>
        <w:rPr>
          <w:rFonts w:hint="eastAsia" w:ascii="仿宋_GB2312" w:hAnsi="宋体" w:eastAsia="仿宋_GB2312"/>
          <w:sz w:val="24"/>
        </w:rPr>
        <w:t>定点采购项目，为保证双方权利和义务，特订立本协议（合同），以便共同遵守。</w:t>
      </w:r>
    </w:p>
    <w:p>
      <w:pPr>
        <w:spacing w:line="360" w:lineRule="auto"/>
        <w:rPr>
          <w:rFonts w:ascii="仿宋_GB2312" w:hAnsi="宋体" w:eastAsia="仿宋_GB2312"/>
          <w:sz w:val="24"/>
        </w:rPr>
      </w:pPr>
      <w:r>
        <w:rPr>
          <w:rFonts w:hint="eastAsia" w:ascii="仿宋_GB2312" w:hAnsi="宋体" w:eastAsia="仿宋_GB2312"/>
          <w:sz w:val="24"/>
        </w:rPr>
        <w:t>一、采购内容：</w:t>
      </w:r>
      <w:r>
        <w:rPr>
          <w:rFonts w:hint="eastAsia" w:ascii="仿宋_GB2312" w:hAnsi="宋体" w:eastAsia="仿宋_GB2312"/>
          <w:b/>
          <w:sz w:val="24"/>
          <w:u w:val="single"/>
        </w:rPr>
        <w:t>木制品</w:t>
      </w:r>
      <w:r>
        <w:rPr>
          <w:rFonts w:hint="eastAsia" w:ascii="仿宋_GB2312" w:eastAsia="仿宋_GB2312"/>
          <w:b/>
          <w:u w:val="single"/>
        </w:rPr>
        <w:t xml:space="preserve"> </w:t>
      </w:r>
      <w:r>
        <w:rPr>
          <w:rFonts w:hint="eastAsia" w:ascii="仿宋_GB2312" w:eastAsia="仿宋_GB2312"/>
          <w:b/>
          <w:sz w:val="24"/>
          <w:u w:val="single"/>
        </w:rPr>
        <w:t xml:space="preserve"> </w:t>
      </w:r>
      <w:r>
        <w:rPr>
          <w:rFonts w:hint="eastAsia" w:ascii="仿宋_GB2312" w:eastAsia="仿宋_GB2312"/>
          <w:bCs/>
          <w:sz w:val="24"/>
        </w:rPr>
        <w:t>定点采购</w:t>
      </w:r>
      <w:r>
        <w:rPr>
          <w:rFonts w:hint="eastAsia" w:ascii="仿宋_GB2312" w:hAnsi="宋体" w:eastAsia="仿宋_GB2312"/>
          <w:sz w:val="24"/>
        </w:rPr>
        <w:t>；</w:t>
      </w:r>
    </w:p>
    <w:p>
      <w:pPr>
        <w:spacing w:line="360" w:lineRule="auto"/>
        <w:rPr>
          <w:rFonts w:ascii="仿宋_GB2312" w:hAnsi="宋体" w:eastAsia="仿宋_GB2312"/>
          <w:sz w:val="24"/>
        </w:rPr>
      </w:pPr>
      <w:r>
        <w:rPr>
          <w:rFonts w:hint="eastAsia" w:ascii="仿宋_GB2312" w:hAnsi="宋体" w:eastAsia="仿宋_GB2312"/>
          <w:sz w:val="24"/>
        </w:rPr>
        <w:t>二、甲方责任和义务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（1）甲方负责向乙方发出采购订单；</w:t>
      </w:r>
    </w:p>
    <w:p>
      <w:pPr>
        <w:spacing w:line="500" w:lineRule="exact"/>
        <w:rPr>
          <w:rFonts w:ascii="仿宋_GB2312" w:hAnsi="宋体" w:eastAsia="仿宋_GB2312"/>
          <w:sz w:val="24"/>
        </w:rPr>
      </w:pPr>
      <w:r>
        <w:rPr>
          <w:rFonts w:hint="eastAsia" w:ascii="仿宋_GB2312" w:hAnsi="宋体" w:eastAsia="仿宋_GB2312"/>
          <w:sz w:val="24"/>
        </w:rPr>
        <w:t>（2）甲方负责向乙方提供与采购订单的产品的规格、型号及技术要求，包括但不限于工艺技术标准、质量标准等；</w:t>
      </w:r>
    </w:p>
    <w:p>
      <w:pPr>
        <w:spacing w:line="500" w:lineRule="exact"/>
        <w:rPr>
          <w:rFonts w:ascii="仿宋_GB2312" w:hAnsi="宋体" w:eastAsia="仿宋_GB2312"/>
          <w:sz w:val="24"/>
        </w:rPr>
      </w:pPr>
      <w:r>
        <w:rPr>
          <w:rFonts w:hint="eastAsia" w:ascii="仿宋_GB2312" w:hAnsi="宋体" w:eastAsia="仿宋_GB2312"/>
          <w:sz w:val="24"/>
        </w:rPr>
        <w:t>（3）在乙方按甲方要求完成采购订单任务且交付后，经过甲方受入检合格，甲方应按合同约定对乙方加工费用进行结算。</w:t>
      </w:r>
    </w:p>
    <w:p>
      <w:pPr>
        <w:pStyle w:val="34"/>
        <w:numPr>
          <w:ilvl w:val="0"/>
          <w:numId w:val="1"/>
        </w:numPr>
        <w:spacing w:line="500" w:lineRule="exact"/>
        <w:ind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（1）乙方负责按照甲方提供的采购订单要求，按质、按量、按期交货。</w:t>
      </w:r>
    </w:p>
    <w:p>
      <w:pPr>
        <w:spacing w:line="500" w:lineRule="exact"/>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）乙方对甲方提供的技术、质量文件资料负完全保密责任，不得将相关资料泄露给任何第三方；否则一经查实，甲方有权取消乙方定点供应商资格。</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四、产品质量标准：以甲方提供的产品规格、型号及技术要求为准。</w:t>
      </w:r>
    </w:p>
    <w:p>
      <w:pPr>
        <w:spacing w:line="360" w:lineRule="auto"/>
        <w:rPr>
          <w:rFonts w:ascii="仿宋_GB2312" w:hAnsi="宋体" w:eastAsia="仿宋_GB2312"/>
          <w:sz w:val="24"/>
        </w:rPr>
      </w:pPr>
      <w:r>
        <w:rPr>
          <w:rFonts w:hint="eastAsia" w:ascii="仿宋_GB2312" w:hAnsi="宋体" w:eastAsia="仿宋_GB2312"/>
          <w:sz w:val="24"/>
        </w:rPr>
        <w:t>五、验收标准及方法：按照甲方提供的规格、型号、技术要求、质量管理标准执行，若验收不合格并按照以下规定执行：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（1）由乙方负责调换或重新制作，并承担由此造成的一切损失。</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）在协议执行过程中若发生</w:t>
      </w:r>
      <w:r>
        <w:rPr>
          <w:rFonts w:ascii="仿宋_GB2312" w:hAnsi="宋体" w:eastAsia="仿宋_GB2312"/>
          <w:sz w:val="24"/>
        </w:rPr>
        <w:t>5</w:t>
      </w:r>
      <w:r>
        <w:rPr>
          <w:rFonts w:hint="eastAsia" w:ascii="仿宋_GB2312" w:hAnsi="宋体" w:eastAsia="仿宋_GB2312"/>
          <w:sz w:val="24"/>
        </w:rPr>
        <w:t>次以上不合格的，甲方有权解除协议。</w:t>
      </w:r>
    </w:p>
    <w:p>
      <w:pPr>
        <w:spacing w:line="360" w:lineRule="auto"/>
        <w:rPr>
          <w:rFonts w:ascii="仿宋_GB2312" w:hAnsi="宋体" w:eastAsia="仿宋_GB2312"/>
          <w:sz w:val="24"/>
        </w:rPr>
      </w:pPr>
      <w:r>
        <w:rPr>
          <w:rFonts w:hint="eastAsia" w:ascii="仿宋_GB2312" w:hAnsi="宋体" w:eastAsia="仿宋_GB2312"/>
          <w:sz w:val="24"/>
        </w:rPr>
        <w:t>六、运输方式：采购的产品由乙方送达甲方公司。运费及运输途中的一切风险由乙方承担。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七、纳期：委托加工产品交货期按照单次采购订单为准。任何一方要求提前或延期的，应当事先与对方达成协议，并按协议执行。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八、合同期限及费用结算：</w:t>
      </w:r>
    </w:p>
    <w:p>
      <w:pPr>
        <w:spacing w:line="360" w:lineRule="auto"/>
        <w:rPr>
          <w:rFonts w:ascii="仿宋_GB2312" w:hAnsi="宋体" w:eastAsia="仿宋_GB2312"/>
          <w:sz w:val="24"/>
        </w:rPr>
      </w:pPr>
      <w:r>
        <w:rPr>
          <w:rFonts w:hint="eastAsia" w:ascii="仿宋_GB2312" w:hAnsi="宋体" w:eastAsia="仿宋_GB2312"/>
          <w:sz w:val="24"/>
        </w:rPr>
        <w:t>（1）合同期限：从合同签订之日起至2</w:t>
      </w:r>
      <w:r>
        <w:rPr>
          <w:rFonts w:ascii="仿宋_GB2312" w:hAnsi="宋体" w:eastAsia="仿宋_GB2312"/>
          <w:sz w:val="24"/>
        </w:rPr>
        <w:t>02</w:t>
      </w:r>
      <w:r>
        <w:rPr>
          <w:rFonts w:hint="eastAsia" w:ascii="仿宋_GB2312" w:hAnsi="宋体" w:eastAsia="仿宋_GB2312"/>
          <w:sz w:val="24"/>
          <w:lang w:val="en-US" w:eastAsia="zh-CN"/>
        </w:rPr>
        <w:t>4</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line="360" w:lineRule="auto"/>
        <w:rPr>
          <w:rFonts w:ascii="仿宋_GB2312" w:hAnsi="宋体" w:eastAsia="仿宋_GB2312"/>
          <w:sz w:val="24"/>
        </w:rPr>
      </w:pPr>
      <w:r>
        <w:rPr>
          <w:rFonts w:hint="eastAsia" w:ascii="仿宋_GB2312" w:hAnsi="宋体" w:eastAsia="仿宋_GB2312"/>
          <w:sz w:val="24"/>
        </w:rPr>
        <w:t>（2）结算方式：每月25日为结算日。乙方产品验收合格，双方对帐无误后，乙方应在27日前开具发票；甲方收到发票后30个工作日转帐。</w:t>
      </w:r>
    </w:p>
    <w:p>
      <w:pPr>
        <w:spacing w:line="360" w:lineRule="auto"/>
        <w:rPr>
          <w:rFonts w:ascii="仿宋_GB2312" w:hAnsi="宋体" w:eastAsia="仿宋_GB2312"/>
          <w:sz w:val="24"/>
        </w:rPr>
      </w:pPr>
      <w:r>
        <w:rPr>
          <w:rFonts w:hint="eastAsia" w:ascii="仿宋_GB2312" w:hAnsi="宋体" w:eastAsia="仿宋_GB2312"/>
          <w:sz w:val="24"/>
        </w:rPr>
        <w:t>（3）发票开具要求：乙方须开具符合相关法规的</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%税率的增值税发票</w:t>
      </w:r>
      <w:r>
        <w:rPr>
          <w:rFonts w:hint="eastAsia" w:ascii="仿宋_GB2312" w:hAnsi="宋体" w:eastAsia="仿宋_GB2312"/>
          <w:sz w:val="24"/>
        </w:rPr>
        <w:t>，由于乙方开具发票不符合相关法规要求，给甲方造成的涉税损失由乙方全额承担。</w:t>
      </w:r>
    </w:p>
    <w:p>
      <w:pPr>
        <w:spacing w:line="360" w:lineRule="auto"/>
        <w:rPr>
          <w:rFonts w:ascii="仿宋_GB2312" w:hAnsi="宋体" w:eastAsia="仿宋_GB2312"/>
          <w:sz w:val="24"/>
        </w:rPr>
      </w:pPr>
      <w:r>
        <w:rPr>
          <w:rFonts w:hint="eastAsia" w:ascii="仿宋_GB2312" w:hAnsi="宋体" w:eastAsia="仿宋_GB2312"/>
          <w:sz w:val="24"/>
        </w:rPr>
        <w:t>九、采购业务内容</w:t>
      </w:r>
    </w:p>
    <w:tbl>
      <w:tblPr>
        <w:tblStyle w:val="15"/>
        <w:tblW w:w="95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275"/>
        <w:gridCol w:w="2127"/>
        <w:gridCol w:w="1091"/>
        <w:gridCol w:w="851"/>
        <w:gridCol w:w="1276"/>
        <w:gridCol w:w="1147"/>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682" w:type="dxa"/>
            <w:vAlign w:val="center"/>
          </w:tcPr>
          <w:p>
            <w:pPr>
              <w:jc w:val="center"/>
              <w:rPr>
                <w:rFonts w:ascii="仿宋_GB2312" w:hAnsi="宋体" w:eastAsia="仿宋_GB2312"/>
                <w:sz w:val="24"/>
              </w:rPr>
            </w:pPr>
            <w:r>
              <w:rPr>
                <w:rFonts w:hint="eastAsia" w:ascii="仿宋_GB2312" w:hAnsi="宋体" w:eastAsia="仿宋_GB2312"/>
                <w:sz w:val="24"/>
              </w:rPr>
              <w:t>序号</w:t>
            </w:r>
          </w:p>
        </w:tc>
        <w:tc>
          <w:tcPr>
            <w:tcW w:w="1275" w:type="dxa"/>
            <w:vAlign w:val="center"/>
          </w:tcPr>
          <w:p>
            <w:pPr>
              <w:jc w:val="center"/>
              <w:rPr>
                <w:rFonts w:ascii="仿宋_GB2312" w:hAnsi="宋体" w:eastAsia="仿宋_GB2312"/>
                <w:sz w:val="24"/>
              </w:rPr>
            </w:pPr>
            <w:r>
              <w:rPr>
                <w:rFonts w:hint="eastAsia" w:ascii="仿宋_GB2312" w:hAnsi="宋体" w:eastAsia="仿宋_GB2312"/>
                <w:sz w:val="24"/>
              </w:rPr>
              <w:t>物资名称</w:t>
            </w:r>
          </w:p>
        </w:tc>
        <w:tc>
          <w:tcPr>
            <w:tcW w:w="2127" w:type="dxa"/>
            <w:vAlign w:val="center"/>
          </w:tcPr>
          <w:p>
            <w:pPr>
              <w:jc w:val="center"/>
              <w:rPr>
                <w:rFonts w:ascii="仿宋_GB2312" w:hAnsi="宋体" w:eastAsia="仿宋_GB2312"/>
                <w:sz w:val="24"/>
              </w:rPr>
            </w:pPr>
            <w:r>
              <w:rPr>
                <w:rFonts w:hint="eastAsia" w:ascii="仿宋_GB2312" w:hAnsi="宋体" w:eastAsia="仿宋_GB2312"/>
                <w:sz w:val="24"/>
              </w:rPr>
              <w:t>规 格</w:t>
            </w:r>
          </w:p>
        </w:tc>
        <w:tc>
          <w:tcPr>
            <w:tcW w:w="1091" w:type="dxa"/>
            <w:vAlign w:val="center"/>
          </w:tcPr>
          <w:p>
            <w:pPr>
              <w:jc w:val="center"/>
              <w:rPr>
                <w:rFonts w:ascii="仿宋_GB2312" w:hAnsi="宋体" w:eastAsia="仿宋_GB2312"/>
                <w:sz w:val="24"/>
              </w:rPr>
            </w:pPr>
            <w:r>
              <w:rPr>
                <w:rFonts w:hint="eastAsia" w:ascii="仿宋_GB2312" w:hAnsi="宋体" w:eastAsia="仿宋_GB2312"/>
                <w:sz w:val="24"/>
              </w:rPr>
              <w:t>材质</w:t>
            </w:r>
          </w:p>
        </w:tc>
        <w:tc>
          <w:tcPr>
            <w:tcW w:w="851" w:type="dxa"/>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276" w:type="dxa"/>
            <w:vAlign w:val="center"/>
          </w:tcPr>
          <w:p>
            <w:pPr>
              <w:jc w:val="center"/>
              <w:rPr>
                <w:rFonts w:ascii="仿宋_GB2312" w:hAnsi="宋体" w:eastAsia="仿宋_GB2312"/>
                <w:sz w:val="24"/>
              </w:rPr>
            </w:pPr>
            <w:r>
              <w:rPr>
                <w:rFonts w:hint="eastAsia" w:ascii="仿宋_GB2312" w:hAnsi="宋体" w:eastAsia="仿宋_GB2312"/>
                <w:sz w:val="24"/>
              </w:rPr>
              <w:t>单价</w:t>
            </w:r>
          </w:p>
        </w:tc>
        <w:tc>
          <w:tcPr>
            <w:tcW w:w="1147" w:type="dxa"/>
            <w:vAlign w:val="center"/>
          </w:tcPr>
          <w:p>
            <w:pPr>
              <w:jc w:val="center"/>
              <w:rPr>
                <w:rFonts w:ascii="仿宋_GB2312" w:hAnsi="宋体" w:eastAsia="仿宋_GB2312"/>
                <w:sz w:val="24"/>
              </w:rPr>
            </w:pPr>
            <w:r>
              <w:rPr>
                <w:rFonts w:hint="eastAsia" w:ascii="仿宋_GB2312" w:hAnsi="宋体" w:eastAsia="仿宋_GB2312"/>
                <w:sz w:val="24"/>
              </w:rPr>
              <w:t>交付期</w:t>
            </w:r>
          </w:p>
        </w:tc>
        <w:tc>
          <w:tcPr>
            <w:tcW w:w="1147" w:type="dxa"/>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1275" w:type="dxa"/>
          </w:tcPr>
          <w:p>
            <w:pPr>
              <w:pStyle w:val="6"/>
              <w:spacing w:line="460" w:lineRule="exact"/>
              <w:ind w:left="0" w:leftChars="0"/>
              <w:rPr>
                <w:rFonts w:ascii="仿宋_GB2312" w:eastAsia="仿宋_GB2312"/>
              </w:rPr>
            </w:pPr>
            <w:r>
              <w:rPr>
                <w:rFonts w:hint="eastAsia" w:ascii="仿宋_GB2312" w:hAnsi="宋体" w:eastAsia="仿宋_GB2312"/>
              </w:rPr>
              <w:t>木托盘</w:t>
            </w:r>
          </w:p>
        </w:tc>
        <w:tc>
          <w:tcPr>
            <w:tcW w:w="2127" w:type="dxa"/>
          </w:tcPr>
          <w:p>
            <w:pPr>
              <w:pStyle w:val="6"/>
              <w:spacing w:line="460" w:lineRule="exact"/>
              <w:ind w:left="0" w:leftChars="0"/>
              <w:rPr>
                <w:rFonts w:ascii="仿宋_GB2312" w:eastAsia="仿宋_GB2312"/>
              </w:rPr>
            </w:pPr>
            <w:r>
              <w:rPr>
                <w:rFonts w:hint="eastAsia" w:ascii="仿宋_GB2312" w:eastAsia="仿宋_GB2312"/>
              </w:rPr>
              <w:t>1050*850</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木托盘</w:t>
            </w:r>
          </w:p>
        </w:tc>
        <w:tc>
          <w:tcPr>
            <w:tcW w:w="2127" w:type="dxa"/>
          </w:tcPr>
          <w:p>
            <w:pPr>
              <w:pStyle w:val="6"/>
              <w:spacing w:line="460" w:lineRule="exact"/>
              <w:ind w:left="0" w:leftChars="0"/>
              <w:rPr>
                <w:rFonts w:ascii="仿宋_GB2312" w:eastAsia="仿宋_GB2312"/>
              </w:rPr>
            </w:pPr>
            <w:r>
              <w:rPr>
                <w:rFonts w:hint="eastAsia" w:ascii="仿宋_GB2312" w:eastAsia="仿宋_GB2312"/>
              </w:rPr>
              <w:t>1100*1100</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铁木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3</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  盒</w:t>
            </w:r>
          </w:p>
        </w:tc>
        <w:tc>
          <w:tcPr>
            <w:tcW w:w="2127" w:type="dxa"/>
          </w:tcPr>
          <w:p>
            <w:pPr>
              <w:pStyle w:val="6"/>
              <w:spacing w:line="460" w:lineRule="exact"/>
              <w:ind w:left="0" w:leftChars="0"/>
              <w:rPr>
                <w:rFonts w:ascii="仿宋_GB2312" w:eastAsia="仿宋_GB2312"/>
              </w:rPr>
            </w:pPr>
            <w:r>
              <w:rPr>
                <w:rFonts w:hint="eastAsia" w:ascii="仿宋_GB2312" w:eastAsia="仿宋_GB2312"/>
              </w:rPr>
              <w:t>27*24cm 20孔</w:t>
            </w:r>
            <w:r>
              <w:rPr>
                <w:rFonts w:hint="eastAsia" w:ascii="宋体" w:hAnsi="宋体"/>
              </w:rPr>
              <w:t>Ø</w:t>
            </w:r>
            <w:r>
              <w:rPr>
                <w:rFonts w:hint="eastAsia" w:ascii="仿宋_GB2312" w:eastAsia="仿宋_GB2312"/>
              </w:rPr>
              <w:t>19</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4</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  盒</w:t>
            </w:r>
          </w:p>
        </w:tc>
        <w:tc>
          <w:tcPr>
            <w:tcW w:w="2127" w:type="dxa"/>
          </w:tcPr>
          <w:p>
            <w:pPr>
              <w:pStyle w:val="6"/>
              <w:spacing w:line="460" w:lineRule="exact"/>
              <w:ind w:left="0" w:leftChars="0"/>
              <w:rPr>
                <w:rFonts w:ascii="仿宋_GB2312" w:eastAsia="仿宋_GB2312"/>
              </w:rPr>
            </w:pPr>
            <w:r>
              <w:rPr>
                <w:rFonts w:hint="eastAsia" w:ascii="仿宋_GB2312" w:eastAsia="仿宋_GB2312"/>
              </w:rPr>
              <w:t>27*24cm 30孔</w:t>
            </w:r>
            <w:r>
              <w:rPr>
                <w:rFonts w:hint="eastAsia" w:ascii="宋体" w:hAnsi="宋体"/>
              </w:rPr>
              <w:t>Ø</w:t>
            </w:r>
            <w:r>
              <w:rPr>
                <w:rFonts w:hint="eastAsia" w:ascii="仿宋_GB2312" w:eastAsia="仿宋_GB2312"/>
              </w:rPr>
              <w:t>14</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bl>
    <w:p>
      <w:pPr>
        <w:spacing w:line="360" w:lineRule="auto"/>
        <w:rPr>
          <w:rFonts w:ascii="仿宋_GB2312" w:hAnsi="宋体" w:eastAsia="仿宋_GB2312"/>
          <w:sz w:val="24"/>
        </w:rPr>
      </w:pPr>
      <w:r>
        <w:rPr>
          <w:rFonts w:hint="eastAsia" w:ascii="仿宋_GB2312" w:hAnsi="宋体" w:eastAsia="仿宋_GB2312"/>
          <w:sz w:val="24"/>
        </w:rPr>
        <w:t>十、甲方的违约责任：</w:t>
      </w:r>
    </w:p>
    <w:p>
      <w:pPr>
        <w:spacing w:line="360" w:lineRule="auto"/>
        <w:rPr>
          <w:rFonts w:ascii="仿宋_GB2312" w:hAnsi="宋体" w:eastAsia="仿宋_GB2312"/>
          <w:sz w:val="24"/>
        </w:rPr>
      </w:pPr>
      <w:r>
        <w:rPr>
          <w:rFonts w:hint="eastAsia" w:ascii="仿宋_GB2312" w:hAnsi="宋体" w:eastAsia="仿宋_GB2312"/>
          <w:sz w:val="24"/>
        </w:rPr>
        <w:t>（1）中途无故解除协议，应承担由此造成的一切经济损失。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（2）甲方应提供的采购信息、技术要求应全面、完整，若因甲方提供的信息不完整造成的采购损失由甲方承担。</w:t>
      </w:r>
    </w:p>
    <w:p>
      <w:pPr>
        <w:spacing w:line="360" w:lineRule="auto"/>
        <w:rPr>
          <w:rFonts w:ascii="仿宋_GB2312" w:hAnsi="宋体" w:eastAsia="仿宋_GB2312"/>
          <w:sz w:val="24"/>
        </w:rPr>
      </w:pPr>
      <w:r>
        <w:rPr>
          <w:rFonts w:hint="eastAsia" w:ascii="仿宋_GB2312" w:hAnsi="宋体" w:eastAsia="仿宋_GB2312"/>
          <w:sz w:val="24"/>
        </w:rPr>
        <w:t>十一、乙方的违约责任：</w:t>
      </w:r>
    </w:p>
    <w:p>
      <w:pPr>
        <w:spacing w:line="360" w:lineRule="auto"/>
        <w:rPr>
          <w:rFonts w:ascii="仿宋_GB2312" w:hAnsi="宋体" w:eastAsia="仿宋_GB2312"/>
          <w:sz w:val="24"/>
        </w:rPr>
      </w:pPr>
      <w:r>
        <w:rPr>
          <w:rFonts w:hint="eastAsia" w:ascii="仿宋_GB2312" w:hAnsi="宋体" w:eastAsia="仿宋_GB2312"/>
          <w:sz w:val="24"/>
        </w:rPr>
        <w:t>（1）采购产品必须满足甲方质量，技术要求，未达到要求而造成甲方经济损失的，按该供货批次产品采购费的5%费用作为赔偿金；</w:t>
      </w:r>
    </w:p>
    <w:p>
      <w:pPr>
        <w:spacing w:line="360" w:lineRule="auto"/>
        <w:rPr>
          <w:rFonts w:ascii="仿宋_GB2312" w:hAnsi="宋体" w:eastAsia="仿宋_GB2312"/>
          <w:sz w:val="24"/>
        </w:rPr>
      </w:pPr>
      <w:r>
        <w:rPr>
          <w:rFonts w:hint="eastAsia" w:ascii="仿宋_GB2312" w:hAnsi="宋体" w:eastAsia="仿宋_GB2312"/>
          <w:sz w:val="24"/>
        </w:rPr>
        <w:t>（2）逾期交付产品，每逾期一天向甲方偿付该批产品采购费5%的违约金。</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3</w:t>
      </w:r>
      <w:r>
        <w:rPr>
          <w:rFonts w:hint="eastAsia" w:ascii="仿宋_GB2312" w:hAnsi="宋体" w:eastAsia="仿宋_GB2312"/>
          <w:sz w:val="24"/>
        </w:rPr>
        <w:t>）乙方不得无故拒绝接收采购订单，否则，由此造成的一切损失由乙方承担。</w:t>
      </w:r>
    </w:p>
    <w:p>
      <w:pPr>
        <w:pStyle w:val="6"/>
        <w:spacing w:line="460" w:lineRule="exact"/>
        <w:ind w:left="0" w:leftChars="0"/>
        <w:rPr>
          <w:rFonts w:hint="eastAsia"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十二、不在以上报价项目内的其他项目，将按照市场价进行报价，双方通过协商确定最终价格，以价格谈判表作为本协议（合同）的补充项。</w:t>
      </w:r>
    </w:p>
    <w:p>
      <w:pPr>
        <w:spacing w:line="360" w:lineRule="auto"/>
        <w:rPr>
          <w:rFonts w:ascii="仿宋_GB2312" w:hAnsi="宋体" w:eastAsia="仿宋_GB2312"/>
          <w:sz w:val="24"/>
        </w:rPr>
      </w:pPr>
      <w:r>
        <w:rPr>
          <w:rFonts w:hint="eastAsia" w:ascii="仿宋_GB2312" w:hAnsi="宋体" w:eastAsia="仿宋_GB2312"/>
          <w:sz w:val="24"/>
        </w:rPr>
        <w:t>十三、本合同如发生纠纷，当事人双方应当及时协商解决，协商不成，由甲方所在地丹阳人民法院处理。</w:t>
      </w:r>
    </w:p>
    <w:p>
      <w:pPr>
        <w:spacing w:line="360" w:lineRule="auto"/>
        <w:rPr>
          <w:rFonts w:ascii="仿宋_GB2312" w:hAnsi="宋体" w:eastAsia="仿宋_GB2312"/>
          <w:sz w:val="24"/>
        </w:rPr>
      </w:pPr>
      <w:r>
        <w:rPr>
          <w:rFonts w:hint="eastAsia" w:ascii="仿宋_GB2312" w:hAnsi="宋体" w:eastAsia="仿宋_GB2312"/>
          <w:sz w:val="24"/>
        </w:rPr>
        <w:t>十四、本合同未尽事宜，由双方共同协商，作出补充规定，补充规定与本合同具有同等法律效力。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十四、本合同壹式叁份，甲方贰份，乙方壹份，具有同等法律效力。</w:t>
      </w:r>
    </w:p>
    <w:p>
      <w:pPr>
        <w:spacing w:line="360" w:lineRule="auto"/>
        <w:ind w:left="345"/>
        <w:rPr>
          <w:rFonts w:ascii="仿宋_GB2312" w:hAnsi="宋体" w:eastAsia="仿宋_GB2312"/>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480" w:firstLineChars="1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宋体" w:eastAsiaTheme="minorEastAsia"/>
          <w:b/>
          <w:sz w:val="28"/>
          <w:szCs w:val="28"/>
          <w:lang w:eastAsia="zh-CN"/>
        </w:rPr>
        <w:t>2023</w:t>
      </w:r>
      <w:r>
        <w:rPr>
          <w:rFonts w:hint="eastAsia" w:ascii="宋体"/>
          <w:b/>
          <w:sz w:val="28"/>
          <w:szCs w:val="28"/>
        </w:rPr>
        <w:t>年度木制品（木盒、木托盘） 定点采购项目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二0二三年三月</w:t>
      </w:r>
    </w:p>
    <w:p>
      <w:pPr>
        <w:spacing w:line="500" w:lineRule="exact"/>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ascii="黑体" w:hAnsi="黑体" w:eastAsia="黑体"/>
          <w:sz w:val="44"/>
          <w:szCs w:val="44"/>
        </w:rPr>
      </w:pPr>
      <w:r>
        <w:rPr>
          <w:rFonts w:hint="eastAsia" w:ascii="黑体" w:hAnsi="黑体" w:eastAsia="黑体"/>
          <w:sz w:val="44"/>
          <w:szCs w:val="44"/>
        </w:rPr>
        <w:t>报 价 表</w:t>
      </w:r>
    </w:p>
    <w:p>
      <w:pPr>
        <w:spacing w:line="46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p>
    <w:tbl>
      <w:tblPr>
        <w:tblStyle w:val="15"/>
        <w:tblW w:w="95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275"/>
        <w:gridCol w:w="2127"/>
        <w:gridCol w:w="1091"/>
        <w:gridCol w:w="851"/>
        <w:gridCol w:w="1276"/>
        <w:gridCol w:w="1147"/>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682" w:type="dxa"/>
            <w:vAlign w:val="center"/>
          </w:tcPr>
          <w:p>
            <w:pPr>
              <w:jc w:val="center"/>
              <w:rPr>
                <w:rFonts w:ascii="仿宋_GB2312" w:hAnsi="宋体" w:eastAsia="仿宋_GB2312"/>
                <w:sz w:val="24"/>
              </w:rPr>
            </w:pPr>
            <w:r>
              <w:rPr>
                <w:rFonts w:hint="eastAsia" w:ascii="仿宋_GB2312" w:hAnsi="宋体" w:eastAsia="仿宋_GB2312"/>
                <w:sz w:val="24"/>
              </w:rPr>
              <w:t>序号</w:t>
            </w:r>
          </w:p>
        </w:tc>
        <w:tc>
          <w:tcPr>
            <w:tcW w:w="1275" w:type="dxa"/>
            <w:vAlign w:val="center"/>
          </w:tcPr>
          <w:p>
            <w:pPr>
              <w:jc w:val="center"/>
              <w:rPr>
                <w:rFonts w:ascii="仿宋_GB2312" w:hAnsi="宋体" w:eastAsia="仿宋_GB2312"/>
                <w:sz w:val="24"/>
              </w:rPr>
            </w:pPr>
            <w:r>
              <w:rPr>
                <w:rFonts w:hint="eastAsia" w:ascii="仿宋_GB2312" w:hAnsi="宋体" w:eastAsia="仿宋_GB2312"/>
                <w:sz w:val="24"/>
              </w:rPr>
              <w:t>物资名称</w:t>
            </w:r>
          </w:p>
        </w:tc>
        <w:tc>
          <w:tcPr>
            <w:tcW w:w="2127" w:type="dxa"/>
            <w:vAlign w:val="center"/>
          </w:tcPr>
          <w:p>
            <w:pPr>
              <w:jc w:val="center"/>
              <w:rPr>
                <w:rFonts w:ascii="仿宋_GB2312" w:hAnsi="宋体" w:eastAsia="仿宋_GB2312"/>
                <w:sz w:val="24"/>
              </w:rPr>
            </w:pPr>
            <w:r>
              <w:rPr>
                <w:rFonts w:hint="eastAsia" w:ascii="仿宋_GB2312" w:hAnsi="宋体" w:eastAsia="仿宋_GB2312"/>
                <w:sz w:val="24"/>
              </w:rPr>
              <w:t>规 格</w:t>
            </w:r>
          </w:p>
        </w:tc>
        <w:tc>
          <w:tcPr>
            <w:tcW w:w="1091" w:type="dxa"/>
            <w:vAlign w:val="center"/>
          </w:tcPr>
          <w:p>
            <w:pPr>
              <w:jc w:val="center"/>
              <w:rPr>
                <w:rFonts w:ascii="仿宋_GB2312" w:hAnsi="宋体" w:eastAsia="仿宋_GB2312"/>
                <w:sz w:val="24"/>
              </w:rPr>
            </w:pPr>
            <w:r>
              <w:rPr>
                <w:rFonts w:hint="eastAsia" w:ascii="仿宋_GB2312" w:hAnsi="宋体" w:eastAsia="仿宋_GB2312"/>
                <w:sz w:val="24"/>
              </w:rPr>
              <w:t>材质</w:t>
            </w:r>
          </w:p>
        </w:tc>
        <w:tc>
          <w:tcPr>
            <w:tcW w:w="851" w:type="dxa"/>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276" w:type="dxa"/>
            <w:vAlign w:val="center"/>
          </w:tcPr>
          <w:p>
            <w:pPr>
              <w:jc w:val="center"/>
              <w:rPr>
                <w:rFonts w:ascii="仿宋_GB2312" w:hAnsi="宋体" w:eastAsia="仿宋_GB2312"/>
                <w:sz w:val="24"/>
              </w:rPr>
            </w:pPr>
            <w:r>
              <w:rPr>
                <w:rFonts w:hint="eastAsia" w:ascii="仿宋_GB2312" w:hAnsi="宋体" w:eastAsia="仿宋_GB2312"/>
                <w:sz w:val="24"/>
              </w:rPr>
              <w:t>单价</w:t>
            </w:r>
          </w:p>
        </w:tc>
        <w:tc>
          <w:tcPr>
            <w:tcW w:w="1147" w:type="dxa"/>
            <w:vAlign w:val="center"/>
          </w:tcPr>
          <w:p>
            <w:pPr>
              <w:jc w:val="center"/>
              <w:rPr>
                <w:rFonts w:ascii="仿宋_GB2312" w:hAnsi="宋体" w:eastAsia="仿宋_GB2312"/>
                <w:sz w:val="24"/>
              </w:rPr>
            </w:pPr>
            <w:r>
              <w:rPr>
                <w:rFonts w:hint="eastAsia" w:ascii="仿宋_GB2312" w:hAnsi="宋体" w:eastAsia="仿宋_GB2312"/>
                <w:sz w:val="24"/>
              </w:rPr>
              <w:t>交付期</w:t>
            </w:r>
          </w:p>
        </w:tc>
        <w:tc>
          <w:tcPr>
            <w:tcW w:w="1147" w:type="dxa"/>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1275" w:type="dxa"/>
          </w:tcPr>
          <w:p>
            <w:pPr>
              <w:pStyle w:val="6"/>
              <w:spacing w:line="460" w:lineRule="exact"/>
              <w:ind w:left="0" w:leftChars="0"/>
              <w:rPr>
                <w:rFonts w:ascii="仿宋_GB2312" w:eastAsia="仿宋_GB2312"/>
              </w:rPr>
            </w:pPr>
            <w:r>
              <w:rPr>
                <w:rFonts w:hint="eastAsia" w:ascii="仿宋_GB2312" w:hAnsi="宋体" w:eastAsia="仿宋_GB2312"/>
              </w:rPr>
              <w:t>木托盘</w:t>
            </w:r>
          </w:p>
        </w:tc>
        <w:tc>
          <w:tcPr>
            <w:tcW w:w="2127" w:type="dxa"/>
          </w:tcPr>
          <w:p>
            <w:pPr>
              <w:pStyle w:val="6"/>
              <w:spacing w:line="460" w:lineRule="exact"/>
              <w:ind w:left="0" w:leftChars="0"/>
              <w:rPr>
                <w:rFonts w:ascii="仿宋_GB2312" w:eastAsia="仿宋_GB2312"/>
              </w:rPr>
            </w:pPr>
            <w:r>
              <w:rPr>
                <w:rFonts w:hint="eastAsia" w:ascii="仿宋_GB2312" w:eastAsia="仿宋_GB2312"/>
              </w:rPr>
              <w:t>1050*850</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木托盘</w:t>
            </w:r>
          </w:p>
        </w:tc>
        <w:tc>
          <w:tcPr>
            <w:tcW w:w="2127" w:type="dxa"/>
          </w:tcPr>
          <w:p>
            <w:pPr>
              <w:pStyle w:val="6"/>
              <w:spacing w:line="460" w:lineRule="exact"/>
              <w:ind w:left="0" w:leftChars="0"/>
              <w:rPr>
                <w:rFonts w:ascii="仿宋_GB2312" w:eastAsia="仿宋_GB2312"/>
              </w:rPr>
            </w:pPr>
            <w:r>
              <w:rPr>
                <w:rFonts w:hint="eastAsia" w:ascii="仿宋_GB2312" w:eastAsia="仿宋_GB2312"/>
              </w:rPr>
              <w:t>1100*1100</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铁木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3</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  盒</w:t>
            </w:r>
          </w:p>
        </w:tc>
        <w:tc>
          <w:tcPr>
            <w:tcW w:w="2127" w:type="dxa"/>
          </w:tcPr>
          <w:p>
            <w:pPr>
              <w:pStyle w:val="6"/>
              <w:spacing w:line="460" w:lineRule="exact"/>
              <w:ind w:left="0" w:leftChars="0"/>
              <w:rPr>
                <w:rFonts w:ascii="仿宋_GB2312" w:eastAsia="仿宋_GB2312"/>
              </w:rPr>
            </w:pPr>
            <w:r>
              <w:rPr>
                <w:rFonts w:hint="eastAsia" w:ascii="仿宋_GB2312" w:eastAsia="仿宋_GB2312"/>
              </w:rPr>
              <w:t>27*24cm 20孔</w:t>
            </w:r>
            <w:r>
              <w:rPr>
                <w:rFonts w:hint="eastAsia" w:ascii="宋体" w:hAnsi="宋体"/>
              </w:rPr>
              <w:t>Ø</w:t>
            </w:r>
            <w:r>
              <w:rPr>
                <w:rFonts w:hint="eastAsia" w:ascii="仿宋_GB2312" w:eastAsia="仿宋_GB2312"/>
              </w:rPr>
              <w:t>19</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4</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  盒</w:t>
            </w:r>
          </w:p>
        </w:tc>
        <w:tc>
          <w:tcPr>
            <w:tcW w:w="2127" w:type="dxa"/>
          </w:tcPr>
          <w:p>
            <w:pPr>
              <w:pStyle w:val="6"/>
              <w:spacing w:line="460" w:lineRule="exact"/>
              <w:ind w:left="0" w:leftChars="0"/>
              <w:rPr>
                <w:rFonts w:ascii="仿宋_GB2312" w:eastAsia="仿宋_GB2312"/>
              </w:rPr>
            </w:pPr>
            <w:r>
              <w:rPr>
                <w:rFonts w:hint="eastAsia" w:ascii="仿宋_GB2312" w:eastAsia="仿宋_GB2312"/>
              </w:rPr>
              <w:t>27*24cm 30孔</w:t>
            </w:r>
            <w:r>
              <w:rPr>
                <w:rFonts w:hint="eastAsia" w:ascii="宋体" w:hAnsi="宋体"/>
              </w:rPr>
              <w:t>Ø</w:t>
            </w:r>
            <w:r>
              <w:rPr>
                <w:rFonts w:hint="eastAsia" w:ascii="仿宋_GB2312" w:eastAsia="仿宋_GB2312"/>
              </w:rPr>
              <w:t>14</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bl>
    <w:p>
      <w:pPr>
        <w:spacing w:line="460" w:lineRule="exact"/>
        <w:rPr>
          <w:rFonts w:asciiTheme="minorEastAsia" w:hAnsiTheme="minorEastAsia" w:eastAsiaTheme="minorEastAsia"/>
          <w:sz w:val="28"/>
          <w:szCs w:val="28"/>
        </w:rPr>
      </w:pPr>
    </w:p>
    <w:p>
      <w:pPr>
        <w:spacing w:line="460" w:lineRule="exact"/>
        <w:rPr>
          <w:rFonts w:asciiTheme="minorEastAsia" w:hAnsiTheme="minorEastAsia" w:eastAsiaTheme="minorEastAsia"/>
          <w:sz w:val="28"/>
          <w:szCs w:val="28"/>
        </w:rPr>
      </w:pPr>
    </w:p>
    <w:p>
      <w:pPr>
        <w:spacing w:line="46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备注：以上报价含</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%税率（需能开具对应账号下的增值税发票）</w:t>
      </w:r>
    </w:p>
    <w:p>
      <w:pPr>
        <w:spacing w:line="54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四：企业营业执照复印件、法人身份证复印件、授权代表人身份证复印件以及与本项目相关的其他资格证明资料。</w:t>
      </w:r>
    </w:p>
    <w:p>
      <w:pPr>
        <w:spacing w:line="540" w:lineRule="exact"/>
        <w:ind w:firstLine="274" w:firstLineChars="98"/>
        <w:rPr>
          <w:rFonts w:asciiTheme="minorEastAsia" w:hAnsiTheme="minorEastAsia" w:eastAsiaTheme="minorEastAsia"/>
          <w:sz w:val="28"/>
          <w:szCs w:val="28"/>
        </w:rPr>
      </w:pPr>
    </w:p>
    <w:sectPr>
      <w:footerReference r:id="rId3" w:type="default"/>
      <w:pgSz w:w="11906" w:h="16838"/>
      <w:pgMar w:top="1134"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770727"/>
    <w:multiLevelType w:val="multilevel"/>
    <w:tmpl w:val="21770727"/>
    <w:lvl w:ilvl="0" w:tentative="0">
      <w:start w:val="3"/>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0A51"/>
    <w:rsid w:val="000237C6"/>
    <w:rsid w:val="00026BD2"/>
    <w:rsid w:val="0003284F"/>
    <w:rsid w:val="000329F0"/>
    <w:rsid w:val="000359B3"/>
    <w:rsid w:val="00043AB9"/>
    <w:rsid w:val="00047DE3"/>
    <w:rsid w:val="00052939"/>
    <w:rsid w:val="00054943"/>
    <w:rsid w:val="00062AD1"/>
    <w:rsid w:val="000642AE"/>
    <w:rsid w:val="00065622"/>
    <w:rsid w:val="00066C4B"/>
    <w:rsid w:val="0007145A"/>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3ED3"/>
    <w:rsid w:val="000E4068"/>
    <w:rsid w:val="000E406D"/>
    <w:rsid w:val="000F1C45"/>
    <w:rsid w:val="000F5456"/>
    <w:rsid w:val="000F5A2E"/>
    <w:rsid w:val="000F687C"/>
    <w:rsid w:val="0010208A"/>
    <w:rsid w:val="00105338"/>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38E5"/>
    <w:rsid w:val="0016483C"/>
    <w:rsid w:val="00173640"/>
    <w:rsid w:val="0017567D"/>
    <w:rsid w:val="00175ADD"/>
    <w:rsid w:val="001843CB"/>
    <w:rsid w:val="0019370D"/>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640D1"/>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2523"/>
    <w:rsid w:val="00333324"/>
    <w:rsid w:val="003350B5"/>
    <w:rsid w:val="00337214"/>
    <w:rsid w:val="00337915"/>
    <w:rsid w:val="003418B9"/>
    <w:rsid w:val="003422E1"/>
    <w:rsid w:val="0034277B"/>
    <w:rsid w:val="00342E7D"/>
    <w:rsid w:val="003430A8"/>
    <w:rsid w:val="0034517E"/>
    <w:rsid w:val="00350995"/>
    <w:rsid w:val="00351401"/>
    <w:rsid w:val="003518D8"/>
    <w:rsid w:val="00356F1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4365B"/>
    <w:rsid w:val="00453172"/>
    <w:rsid w:val="004559AE"/>
    <w:rsid w:val="00463157"/>
    <w:rsid w:val="00472BBF"/>
    <w:rsid w:val="004738C5"/>
    <w:rsid w:val="00475E78"/>
    <w:rsid w:val="00477E9D"/>
    <w:rsid w:val="00477F4F"/>
    <w:rsid w:val="0048058A"/>
    <w:rsid w:val="00482A91"/>
    <w:rsid w:val="00484664"/>
    <w:rsid w:val="00487BB5"/>
    <w:rsid w:val="00492126"/>
    <w:rsid w:val="00492781"/>
    <w:rsid w:val="00493964"/>
    <w:rsid w:val="00494714"/>
    <w:rsid w:val="004A1B16"/>
    <w:rsid w:val="004A2169"/>
    <w:rsid w:val="004A35EE"/>
    <w:rsid w:val="004A5180"/>
    <w:rsid w:val="004A7350"/>
    <w:rsid w:val="004A7AFA"/>
    <w:rsid w:val="004B0E63"/>
    <w:rsid w:val="004B5B28"/>
    <w:rsid w:val="004B70D1"/>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358C"/>
    <w:rsid w:val="00526F4D"/>
    <w:rsid w:val="00526F5C"/>
    <w:rsid w:val="005276CB"/>
    <w:rsid w:val="005330A9"/>
    <w:rsid w:val="00534BBF"/>
    <w:rsid w:val="00537195"/>
    <w:rsid w:val="00546981"/>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557A"/>
    <w:rsid w:val="006002A8"/>
    <w:rsid w:val="00605EC5"/>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56FB0"/>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3243"/>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4AA4"/>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749"/>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44F90"/>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3579"/>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0B38"/>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4B1"/>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07787"/>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56F4DE7"/>
    <w:rsid w:val="115C1106"/>
    <w:rsid w:val="158242C4"/>
    <w:rsid w:val="16082EC6"/>
    <w:rsid w:val="170209AC"/>
    <w:rsid w:val="1D8E41E7"/>
    <w:rsid w:val="212958D0"/>
    <w:rsid w:val="27B91ECD"/>
    <w:rsid w:val="2C6923FD"/>
    <w:rsid w:val="30A42C2A"/>
    <w:rsid w:val="36A047E0"/>
    <w:rsid w:val="415A73C9"/>
    <w:rsid w:val="53BB5D38"/>
    <w:rsid w:val="582F4FA6"/>
    <w:rsid w:val="5BA84B60"/>
    <w:rsid w:val="5FFB256E"/>
    <w:rsid w:val="63623A3E"/>
    <w:rsid w:val="6AF17C50"/>
    <w:rsid w:val="700337C6"/>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6BF88C-64DB-4970-8E42-FFE669581CDD}">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761</Words>
  <Characters>4339</Characters>
  <Lines>36</Lines>
  <Paragraphs>10</Paragraphs>
  <TotalTime>7</TotalTime>
  <ScaleCrop>false</ScaleCrop>
  <LinksUpToDate>false</LinksUpToDate>
  <CharactersWithSpaces>5090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2023-03-07T02:13:28Z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