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DYGM-WZND-2023-37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年度液化石油气采购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spacing w:line="500" w:lineRule="exact"/>
        <w:ind w:firstLine="2860" w:firstLineChars="650"/>
        <w:rPr>
          <w:rFonts w:hint="eastAsia" w:ascii="黑体" w:hAnsi="黑体" w:eastAsia="黑体"/>
          <w:sz w:val="44"/>
          <w:szCs w:val="44"/>
        </w:rPr>
      </w:pPr>
    </w:p>
    <w:p>
      <w:pPr>
        <w:spacing w:line="500" w:lineRule="exact"/>
        <w:ind w:firstLine="2860" w:firstLineChars="65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丹阳光明光电有限公司决定对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w:t>
      </w:r>
      <w:r>
        <w:rPr>
          <w:rFonts w:hint="eastAsia" w:asciiTheme="minorEastAsia" w:hAnsiTheme="minorEastAsia" w:eastAsiaTheme="minorEastAsia"/>
          <w:bCs/>
          <w:sz w:val="28"/>
          <w:szCs w:val="28"/>
          <w:u w:val="single"/>
        </w:rPr>
        <w:t xml:space="preserve">年度液化石油气采购项目 </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lang w:eastAsia="zh-CN"/>
        </w:rPr>
        <w:t>2023</w:t>
      </w:r>
      <w:r>
        <w:rPr>
          <w:rFonts w:hint="eastAsia" w:asciiTheme="minorEastAsia" w:hAnsiTheme="minorEastAsia" w:eastAsiaTheme="minorEastAsia"/>
          <w:bCs/>
          <w:sz w:val="28"/>
          <w:szCs w:val="28"/>
        </w:rPr>
        <w:t>年度液化石油气采购项目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（三）能提供和本业务相符的增值税专用发票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年2月2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年3月</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本公告在“成都光明光电股份有限公司官方网站（www.cdgmgd.com ）”《供求信息》专栏发布</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bCs/>
          <w:sz w:val="28"/>
          <w:szCs w:val="28"/>
          <w:lang w:eastAsia="zh-CN"/>
        </w:rPr>
        <w:t>2023</w:t>
      </w:r>
      <w:r>
        <w:rPr>
          <w:rFonts w:hint="eastAsia" w:asciiTheme="minorEastAsia" w:hAnsiTheme="minorEastAsia" w:eastAsiaTheme="minorEastAsia"/>
          <w:bCs/>
          <w:sz w:val="28"/>
          <w:szCs w:val="28"/>
        </w:rPr>
        <w:t>年3月</w:t>
      </w:r>
      <w:r>
        <w:rPr>
          <w:rFonts w:hint="eastAsia" w:asciiTheme="minorEastAsia" w:hAnsiTheme="minorEastAsia" w:eastAsiaTheme="minorEastAsia"/>
          <w:bCs/>
          <w:sz w:val="28"/>
          <w:szCs w:val="28"/>
          <w:lang w:val="en-US" w:eastAsia="zh-CN"/>
        </w:rPr>
        <w:t>5</w:t>
      </w:r>
      <w:r>
        <w:rPr>
          <w:rFonts w:hint="eastAsia" w:asciiTheme="minorEastAsia" w:hAnsiTheme="minorEastAsia" w:eastAsiaTheme="minorEastAsia"/>
          <w:bCs/>
          <w:sz w:val="28"/>
          <w:szCs w:val="28"/>
        </w:rPr>
        <w:t>日17：00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r>
        <w:rPr>
          <w:rFonts w:hint="eastAsia" w:asciiTheme="minorEastAsia" w:hAnsiTheme="minorEastAsia" w:eastAsiaTheme="minorEastAsia"/>
          <w:sz w:val="28"/>
          <w:szCs w:val="28"/>
          <w:lang w:val="en-US" w:eastAsia="zh-CN"/>
        </w:rPr>
        <w:t>13861343702</w:t>
      </w:r>
      <w:r>
        <w:rPr>
          <w:rFonts w:hint="eastAsia" w:asciiTheme="minorEastAsia" w:hAnsiTheme="minorEastAsia" w:eastAsiaTheme="minorEastAsia"/>
          <w:sz w:val="28"/>
          <w:szCs w:val="28"/>
        </w:rPr>
        <w:t>）</w:t>
      </w:r>
    </w:p>
    <w:p>
      <w:pPr>
        <w:spacing w:line="54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0511-86989255</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二0二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年二月二十</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装订牢固、密封，并应</w:t>
            </w:r>
            <w:r>
              <w:rPr>
                <w:rFonts w:hint="eastAsia" w:cs="仿宋_GB2312" w:asciiTheme="minorEastAsia" w:hAnsiTheme="minorEastAsia" w:eastAsiaTheme="minorEastAsia"/>
                <w:b/>
                <w:bCs/>
                <w:sz w:val="28"/>
                <w:szCs w:val="28"/>
              </w:rPr>
              <w:t>编制目录</w:t>
            </w:r>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4、危化品作业人员操作证</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6、危险品运输证</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7、危化品经营许可证</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shd w:val="pct10" w:color="auto" w:fill="FFFFFF"/>
        </w:rPr>
        <w:t>一、</w:t>
      </w:r>
      <w:r>
        <w:rPr>
          <w:rFonts w:hint="eastAsia" w:asciiTheme="minorEastAsia" w:hAnsiTheme="minorEastAsia" w:eastAsiaTheme="minorEastAsia"/>
          <w:sz w:val="28"/>
          <w:szCs w:val="28"/>
        </w:rPr>
        <w:t>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五、评审工作按照丹阳光明光电有限公司供应商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（二）对通过初审的采购文件，根据询价文件规定的评审程序及标准进行评价和比较。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hint="eastAsia"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1540" w:firstLineChars="350"/>
        <w:rPr>
          <w:rFonts w:ascii="黑体" w:eastAsia="黑体" w:hAnsiTheme="minorEastAsia"/>
          <w:sz w:val="44"/>
          <w:szCs w:val="44"/>
        </w:rPr>
      </w:pPr>
      <w:r>
        <w:rPr>
          <w:rFonts w:hint="eastAsia" w:ascii="黑体" w:eastAsia="黑体" w:hAnsiTheme="minorEastAsia"/>
          <w:sz w:val="44"/>
          <w:szCs w:val="44"/>
        </w:rPr>
        <w:t>第三部分 合同条款（部分）</w:t>
      </w:r>
    </w:p>
    <w:p>
      <w:pPr>
        <w:spacing w:line="540" w:lineRule="exact"/>
        <w:jc w:val="center"/>
        <w:rPr>
          <w:rFonts w:hint="eastAsia" w:eastAsia="宋体" w:asciiTheme="minorEastAsia" w:hAnsiTheme="minorEastAsia"/>
          <w:sz w:val="24"/>
          <w:lang w:eastAsia="zh-CN"/>
        </w:rPr>
      </w:pPr>
      <w:r>
        <w:rPr>
          <w:rFonts w:hint="eastAsia" w:ascii="宋体"/>
          <w:b/>
          <w:sz w:val="28"/>
          <w:szCs w:val="28"/>
        </w:rPr>
        <w:t xml:space="preserve">                              </w:t>
      </w:r>
      <w:r>
        <w:rPr>
          <w:rFonts w:hint="eastAsia" w:ascii="宋体"/>
          <w:b/>
          <w:sz w:val="28"/>
          <w:szCs w:val="28"/>
          <w:lang w:eastAsia="zh-CN"/>
        </w:rPr>
        <w:t>DYGM-WZND-2023-37</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年度液化石油气采购项目相关事项协商一致，达成如下合同条款：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一.乙方向甲方提供液化石油气</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9350" w:type="dxa"/>
        <w:jc w:val="center"/>
        <w:tblInd w:w="0" w:type="dxa"/>
        <w:tblLayout w:type="fixed"/>
        <w:tblCellMar>
          <w:top w:w="0" w:type="dxa"/>
          <w:left w:w="0" w:type="dxa"/>
          <w:bottom w:w="0" w:type="dxa"/>
          <w:right w:w="0" w:type="dxa"/>
        </w:tblCellMar>
      </w:tblPr>
      <w:tblGrid>
        <w:gridCol w:w="1410"/>
        <w:gridCol w:w="1493"/>
        <w:gridCol w:w="3754"/>
        <w:gridCol w:w="567"/>
        <w:gridCol w:w="992"/>
        <w:gridCol w:w="1134"/>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highlight w:val="yellow"/>
              </w:rPr>
            </w:pPr>
            <w:r>
              <w:rPr>
                <w:rFonts w:hint="eastAsia" w:cs="宋体" w:asciiTheme="minorEastAsia" w:hAnsiTheme="minorEastAsia" w:eastAsiaTheme="minorEastAsia"/>
                <w:color w:val="000000"/>
                <w:kern w:val="0"/>
                <w:sz w:val="24"/>
                <w:lang w:bidi="ar"/>
              </w:rPr>
              <w:t>质量要求</w:t>
            </w:r>
          </w:p>
        </w:tc>
        <w:tc>
          <w:tcPr>
            <w:tcW w:w="567" w:type="dxa"/>
            <w:tcBorders>
              <w:top w:val="single" w:color="000000" w:sz="4" w:space="0"/>
              <w:left w:val="nil"/>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42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液化石油气（进口）</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50公斤/瓶</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bottom"/>
          </w:tcPr>
          <w:p>
            <w:pPr>
              <w:pStyle w:val="2"/>
              <w:shd w:val="clear" w:color="auto" w:fill="FFFFFF"/>
              <w:spacing w:before="0" w:after="0" w:line="360" w:lineRule="atLeast"/>
              <w:jc w:val="center"/>
              <w:rPr>
                <w:rFonts w:ascii="微软雅黑" w:hAnsi="微软雅黑" w:eastAsia="微软雅黑"/>
                <w:b w:val="0"/>
                <w:bCs w:val="0"/>
                <w:color w:val="333333"/>
                <w:sz w:val="24"/>
                <w:szCs w:val="24"/>
              </w:rPr>
            </w:pPr>
            <w:r>
              <w:rPr>
                <w:rFonts w:hint="eastAsia" w:ascii="微软雅黑" w:hAnsi="微软雅黑" w:eastAsia="微软雅黑"/>
                <w:b w:val="0"/>
                <w:bCs w:val="0"/>
                <w:color w:val="333333"/>
                <w:sz w:val="24"/>
                <w:szCs w:val="24"/>
              </w:rPr>
              <w:t>GB 11174-2011</w:t>
            </w:r>
          </w:p>
        </w:tc>
        <w:tc>
          <w:tcPr>
            <w:tcW w:w="567"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瓶</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bottom"/>
          </w:tcPr>
          <w:p>
            <w:pP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65" w:hRule="atLeast"/>
          <w:jc w:val="center"/>
        </w:trPr>
        <w:tc>
          <w:tcPr>
            <w:tcW w:w="141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液化石油气（国产）</w:t>
            </w:r>
          </w:p>
        </w:tc>
        <w:tc>
          <w:tcPr>
            <w:tcW w:w="1493" w:type="dxa"/>
            <w:tcBorders>
              <w:top w:val="single" w:color="auto" w:sz="4" w:space="0"/>
              <w:left w:val="single" w:color="000000" w:sz="4" w:space="0"/>
              <w:bottom w:val="single" w:color="000000" w:sz="4" w:space="0"/>
              <w:right w:val="nil"/>
            </w:tcBorders>
            <w:noWrap/>
            <w:tcMar>
              <w:top w:w="15" w:type="dxa"/>
              <w:left w:w="15" w:type="dxa"/>
              <w:right w:w="15" w:type="dxa"/>
            </w:tcMar>
            <w:vAlign w:val="center"/>
          </w:tcPr>
          <w:p>
            <w:pPr>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50公斤/瓶</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bottom"/>
          </w:tcPr>
          <w:p>
            <w:pPr>
              <w:pStyle w:val="2"/>
              <w:shd w:val="clear" w:color="auto" w:fill="FFFFFF"/>
              <w:spacing w:before="0" w:after="0" w:line="360" w:lineRule="atLeast"/>
              <w:jc w:val="center"/>
              <w:rPr>
                <w:rFonts w:ascii="微软雅黑" w:hAnsi="微软雅黑" w:eastAsia="微软雅黑"/>
                <w:b w:val="0"/>
                <w:bCs w:val="0"/>
                <w:color w:val="333333"/>
                <w:sz w:val="24"/>
                <w:szCs w:val="24"/>
              </w:rPr>
            </w:pPr>
            <w:r>
              <w:rPr>
                <w:rFonts w:hint="eastAsia" w:ascii="微软雅黑" w:hAnsi="微软雅黑" w:eastAsia="微软雅黑"/>
                <w:b w:val="0"/>
                <w:bCs w:val="0"/>
                <w:color w:val="333333"/>
                <w:sz w:val="24"/>
                <w:szCs w:val="24"/>
              </w:rPr>
              <w:t>GB 11174-2011</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bottom"/>
          </w:tcPr>
          <w:p>
            <w:pP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注：1、报价单以中国石化金陵分公司</w:t>
      </w:r>
      <w:r>
        <w:rPr>
          <w:rFonts w:hint="eastAsia" w:asciiTheme="minorEastAsia" w:hAnsiTheme="minorEastAsia" w:eastAsiaTheme="minorEastAsia"/>
          <w:sz w:val="28"/>
          <w:szCs w:val="28"/>
          <w:lang w:eastAsia="zh-CN"/>
        </w:rPr>
        <w:t>2023</w:t>
      </w:r>
      <w:r>
        <w:rPr>
          <w:rFonts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价格作为此次报价依据；</w:t>
      </w:r>
    </w:p>
    <w:p>
      <w:pPr>
        <w:spacing w:line="46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2、此后每月单价依据上月20日报价对照其前一月20日报价上调及下降比例进行调整结算。</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（一）合同签订后，甲方根据需求向乙方发出采购需求，注明采购产品型号、规格、数量、单价等信息。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（二）乙方在收到甲方需求后，需在规定交付时间内，保质、保量按期交付，并提供产品送货单，应标明产品型号、规格，数量等信息。</w:t>
      </w:r>
    </w:p>
    <w:p>
      <w:pPr>
        <w:spacing w:line="460" w:lineRule="exact"/>
        <w:ind w:firstLine="480"/>
        <w:rPr>
          <w:rFonts w:asciiTheme="minorEastAsia" w:hAnsiTheme="minorEastAsia" w:eastAsiaTheme="minorEastAsia"/>
          <w:b/>
          <w:sz w:val="24"/>
        </w:rPr>
      </w:pPr>
      <w:r>
        <w:rPr>
          <w:rFonts w:hint="eastAsia" w:asciiTheme="minorEastAsia" w:hAnsiTheme="minorEastAsia" w:eastAsiaTheme="minorEastAsia"/>
          <w:sz w:val="24"/>
        </w:rPr>
        <w:t>（三）</w:t>
      </w:r>
      <w:r>
        <w:rPr>
          <w:rFonts w:hint="eastAsia" w:asciiTheme="minorEastAsia" w:hAnsiTheme="minorEastAsia" w:eastAsiaTheme="minorEastAsia"/>
          <w:b/>
          <w:sz w:val="24"/>
        </w:rPr>
        <w:t>乙方接到甲方供求信息需求后，最晚在三小时内送到甲方厂房内；</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（一）结算方式：月结算。从上月21日至下月20日作为结算起止日期。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00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（一）乙方不按期完成采购清单的内容，应向甲方支付违约金，除甲方或不可抗力造成原因外，每延迟交付一天，按照风险抵押金的3%予以扣除</w:t>
      </w:r>
      <w:r>
        <w:rPr>
          <w:rFonts w:asciiTheme="minorEastAsia" w:hAnsiTheme="minorEastAsia" w:eastAsiaTheme="minorEastAsia"/>
          <w:sz w:val="24"/>
        </w:rPr>
        <w:t xml:space="preserve">; </w:t>
      </w:r>
      <w:r>
        <w:rPr>
          <w:rFonts w:hint="eastAsia" w:asciiTheme="minorEastAsia" w:hAnsiTheme="minorEastAsia" w:eastAsiaTheme="minorEastAsia"/>
          <w:sz w:val="24"/>
        </w:rPr>
        <w:t>单次采购延期超过</w:t>
      </w:r>
      <w:r>
        <w:rPr>
          <w:rFonts w:asciiTheme="minorEastAsia" w:hAnsiTheme="minorEastAsia" w:eastAsiaTheme="minorEastAsia"/>
          <w:color w:val="000000"/>
          <w:sz w:val="24"/>
          <w:u w:val="single"/>
        </w:rPr>
        <w:t>3</w:t>
      </w:r>
      <w:r>
        <w:rPr>
          <w:rFonts w:hint="eastAsia" w:asciiTheme="minorEastAsia" w:hAnsiTheme="minorEastAsia" w:eastAsiaTheme="minorEastAsia"/>
          <w:color w:val="000000"/>
          <w:sz w:val="24"/>
          <w:u w:val="single"/>
        </w:rPr>
        <w:t>次的</w:t>
      </w:r>
      <w:r>
        <w:rPr>
          <w:rFonts w:hint="eastAsia" w:asciiTheme="minorEastAsia" w:hAnsiTheme="minorEastAsia" w:eastAsiaTheme="minorEastAsia"/>
          <w:sz w:val="24"/>
        </w:rPr>
        <w:t>，甲方有权强制解除合同，并要求乙方赔偿带来的一切损失。</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（二）乙方入场作业必须要遵守甲方各项规章制度，签订相关方安全协议</w:t>
      </w:r>
      <w:r>
        <w:rPr>
          <w:rFonts w:asciiTheme="minorEastAsia" w:hAnsiTheme="minorEastAsia" w:eastAsiaTheme="minorEastAsia"/>
          <w:b/>
          <w:sz w:val="24"/>
        </w:rPr>
        <w:t xml:space="preserve"> </w:t>
      </w:r>
      <w:r>
        <w:rPr>
          <w:rFonts w:hint="eastAsia" w:asciiTheme="minorEastAsia" w:hAnsiTheme="minorEastAsia" w:eastAsiaTheme="minorEastAsia"/>
          <w:b/>
          <w:sz w:val="24"/>
        </w:rPr>
        <w:t>。乙方有义务对我司石油液化气管网进行安全检查，对发现的安全隐患应及时通知甲方，协助并指导甲方进行整改；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（三）乙方有义务对甲方的操作人员进行必要的安全培训；</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（四）液化气瓶使用过程中涉及到的密封件由乙方承担；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（五）乙方提供给甲方使用的气瓶必须是专瓶专用（附气瓶编号及检测报告给甲方备案），气瓶的安全质量由乙方监管，如因气瓶质量问题引起的人员及财产损失，由乙方承担；</w:t>
      </w:r>
      <w:r>
        <w:rPr>
          <w:rFonts w:asciiTheme="minorEastAsia" w:hAnsiTheme="minorEastAsia" w:eastAsiaTheme="minorEastAsia"/>
          <w:b/>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本合同经甲方、乙方签字盖章后生效，从202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  月  日至</w:t>
      </w:r>
      <w:r>
        <w:rPr>
          <w:rFonts w:hint="eastAsia" w:asciiTheme="minorEastAsia" w:hAnsiTheme="minorEastAsia" w:eastAsiaTheme="minorEastAsia"/>
          <w:sz w:val="24"/>
          <w:lang w:eastAsia="zh-CN"/>
        </w:rPr>
        <w:t>202</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年   月   日，合同签订的内容不能超出询价采购文件和报价文件的实质性内容。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十三、本合同一式四份，以中文书写，甲方、乙方各执两份。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bCs/>
          <w:sz w:val="32"/>
          <w:szCs w:val="32"/>
          <w:u w:val="single"/>
          <w:lang w:eastAsia="zh-CN"/>
        </w:rPr>
        <w:t>2023</w:t>
      </w:r>
      <w:r>
        <w:rPr>
          <w:rFonts w:hint="eastAsia" w:asciiTheme="minorEastAsia" w:hAnsiTheme="minorEastAsia" w:eastAsiaTheme="minorEastAsia"/>
          <w:bCs/>
          <w:sz w:val="32"/>
          <w:szCs w:val="32"/>
          <w:u w:val="single"/>
        </w:rPr>
        <w:t>年度液化石油气采购项目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820" w:firstLineChars="6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b/>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年二月</w:t>
      </w:r>
    </w:p>
    <w:p>
      <w:pPr>
        <w:spacing w:line="540" w:lineRule="exact"/>
        <w:rPr>
          <w:rFonts w:asciiTheme="minorEastAsia" w:hAnsiTheme="minorEastAsia" w:eastAsiaTheme="minorEastAsia"/>
          <w:b/>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napToGrid w:val="0"/>
        <w:spacing w:before="160" w:line="460" w:lineRule="exact"/>
        <w:jc w:val="center"/>
        <w:rPr>
          <w:rFonts w:ascii="仿宋" w:hAnsi="仿宋" w:eastAsia="仿宋"/>
          <w:b/>
          <w:color w:val="000000"/>
          <w:sz w:val="28"/>
          <w:szCs w:val="28"/>
        </w:rPr>
      </w:pPr>
    </w:p>
    <w:tbl>
      <w:tblPr>
        <w:tblStyle w:val="15"/>
        <w:tblW w:w="9350" w:type="dxa"/>
        <w:jc w:val="center"/>
        <w:tblInd w:w="0" w:type="dxa"/>
        <w:tblLayout w:type="fixed"/>
        <w:tblCellMar>
          <w:top w:w="0" w:type="dxa"/>
          <w:left w:w="0" w:type="dxa"/>
          <w:bottom w:w="0" w:type="dxa"/>
          <w:right w:w="0" w:type="dxa"/>
        </w:tblCellMar>
      </w:tblPr>
      <w:tblGrid>
        <w:gridCol w:w="1410"/>
        <w:gridCol w:w="1493"/>
        <w:gridCol w:w="2127"/>
        <w:gridCol w:w="708"/>
        <w:gridCol w:w="1134"/>
        <w:gridCol w:w="1276"/>
        <w:gridCol w:w="1202"/>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w:t>
            </w:r>
          </w:p>
        </w:tc>
        <w:tc>
          <w:tcPr>
            <w:tcW w:w="212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highlight w:val="yellow"/>
              </w:rPr>
            </w:pPr>
            <w:r>
              <w:rPr>
                <w:rFonts w:hint="eastAsia" w:cs="宋体" w:asciiTheme="minorEastAsia" w:hAnsiTheme="minorEastAsia" w:eastAsiaTheme="minorEastAsia"/>
                <w:color w:val="000000"/>
                <w:kern w:val="0"/>
                <w:sz w:val="24"/>
                <w:lang w:bidi="ar"/>
              </w:rPr>
              <w:t>质量要求</w:t>
            </w:r>
          </w:p>
        </w:tc>
        <w:tc>
          <w:tcPr>
            <w:tcW w:w="708" w:type="dxa"/>
            <w:tcBorders>
              <w:top w:val="single" w:color="000000" w:sz="4" w:space="0"/>
              <w:left w:val="nil"/>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276"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南炼上月20日报价</w:t>
            </w:r>
          </w:p>
        </w:tc>
        <w:tc>
          <w:tcPr>
            <w:tcW w:w="1202" w:type="dxa"/>
            <w:tcBorders>
              <w:top w:val="single" w:color="000000" w:sz="4" w:space="0"/>
              <w:left w:val="single" w:color="auto" w:sz="4" w:space="0"/>
              <w:bottom w:val="single" w:color="000000" w:sz="4" w:space="0"/>
              <w:right w:val="single" w:color="000000" w:sz="4" w:space="0"/>
            </w:tcBorders>
            <w:vAlign w:val="bottom"/>
          </w:tcPr>
          <w:p>
            <w:pPr>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42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液化石油气（进口）</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50公斤/瓶</w:t>
            </w:r>
          </w:p>
        </w:tc>
        <w:tc>
          <w:tcPr>
            <w:tcW w:w="2127"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GB 11174-2011</w:t>
            </w:r>
          </w:p>
        </w:tc>
        <w:tc>
          <w:tcPr>
            <w:tcW w:w="708"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瓶</w:t>
            </w: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276" w:type="dxa"/>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c>
          <w:tcPr>
            <w:tcW w:w="1202" w:type="dxa"/>
            <w:tcBorders>
              <w:top w:val="single" w:color="000000" w:sz="4" w:space="0"/>
              <w:left w:val="single" w:color="auto"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65" w:hRule="atLeast"/>
          <w:jc w:val="center"/>
        </w:trPr>
        <w:tc>
          <w:tcPr>
            <w:tcW w:w="141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液化石油气（国产）</w:t>
            </w:r>
          </w:p>
        </w:tc>
        <w:tc>
          <w:tcPr>
            <w:tcW w:w="1493" w:type="dxa"/>
            <w:tcBorders>
              <w:top w:val="single" w:color="auto" w:sz="4" w:space="0"/>
              <w:left w:val="single" w:color="000000" w:sz="4" w:space="0"/>
              <w:bottom w:val="single" w:color="000000" w:sz="4" w:space="0"/>
              <w:right w:val="nil"/>
            </w:tcBorders>
            <w:noWrap/>
            <w:tcMar>
              <w:top w:w="15" w:type="dxa"/>
              <w:left w:w="15" w:type="dxa"/>
              <w:right w:w="15" w:type="dxa"/>
            </w:tcMar>
            <w:vAlign w:val="center"/>
          </w:tcPr>
          <w:p>
            <w:pPr>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50公斤/瓶</w:t>
            </w:r>
          </w:p>
        </w:tc>
        <w:tc>
          <w:tcPr>
            <w:tcW w:w="2127"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GB 11174-2011</w:t>
            </w:r>
          </w:p>
        </w:tc>
        <w:tc>
          <w:tcPr>
            <w:tcW w:w="708"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瓶</w:t>
            </w: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276" w:type="dxa"/>
            <w:tcBorders>
              <w:top w:val="single" w:color="auto"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c>
          <w:tcPr>
            <w:tcW w:w="1202"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注一：1、报价单以中国石化金陵分公司</w:t>
      </w:r>
      <w:r>
        <w:rPr>
          <w:rFonts w:hint="eastAsia" w:asciiTheme="minorEastAsia" w:hAnsiTheme="minorEastAsia" w:eastAsiaTheme="minorEastAsia"/>
          <w:sz w:val="28"/>
          <w:szCs w:val="28"/>
          <w:lang w:eastAsia="zh-CN"/>
        </w:rPr>
        <w:t>2023</w:t>
      </w:r>
      <w:r>
        <w:rPr>
          <w:rFonts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价格作为此次报价依据；</w:t>
      </w:r>
    </w:p>
    <w:p>
      <w:pPr>
        <w:spacing w:line="46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注二：1、合同签订后，此后每月单价依据</w:t>
      </w:r>
      <w:bookmarkStart w:id="2" w:name="_GoBack"/>
      <w:bookmarkEnd w:id="2"/>
      <w:r>
        <w:rPr>
          <w:rFonts w:hint="eastAsia" w:asciiTheme="minorEastAsia" w:hAnsiTheme="minorEastAsia" w:eastAsiaTheme="minorEastAsia"/>
          <w:sz w:val="28"/>
          <w:szCs w:val="28"/>
        </w:rPr>
        <w:t>上月20日报价对照其前一月20日报价上调及下降比例进行调整结算。；</w:t>
      </w:r>
    </w:p>
    <w:p>
      <w:pPr>
        <w:spacing w:line="540" w:lineRule="exact"/>
        <w:ind w:firstLine="1680" w:firstLineChars="600"/>
        <w:rPr>
          <w:rFonts w:asciiTheme="minorEastAsia" w:hAnsiTheme="minorEastAsia" w:eastAsiaTheme="minorEastAsia"/>
          <w:sz w:val="28"/>
          <w:szCs w:val="28"/>
        </w:rPr>
      </w:pPr>
      <w:r>
        <w:rPr>
          <w:rFonts w:hint="eastAsia" w:asciiTheme="minorEastAsia" w:hAnsiTheme="minorEastAsia" w:eastAsiaTheme="minorEastAsia"/>
          <w:sz w:val="28"/>
          <w:szCs w:val="28"/>
        </w:rPr>
        <w:t>2、供应商应根据清单进行填报。</w:t>
      </w:r>
    </w:p>
    <w:p>
      <w:pPr>
        <w:spacing w:line="540" w:lineRule="exact"/>
        <w:ind w:firstLine="1671" w:firstLineChars="597"/>
        <w:rPr>
          <w:rFonts w:asciiTheme="minorEastAsia" w:hAnsiTheme="minorEastAsia" w:eastAsiaTheme="minorEastAsia"/>
          <w:sz w:val="28"/>
          <w:szCs w:val="28"/>
        </w:rPr>
      </w:pPr>
      <w:r>
        <w:rPr>
          <w:rFonts w:hint="eastAsia" w:asciiTheme="minorEastAsia" w:hAnsiTheme="minorEastAsia" w:eastAsiaTheme="minorEastAsia"/>
          <w:sz w:val="28"/>
          <w:szCs w:val="28"/>
        </w:rPr>
        <w:t>3、</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0A24"/>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979D1"/>
    <w:rsid w:val="002A5C23"/>
    <w:rsid w:val="002A7A32"/>
    <w:rsid w:val="002B1EF7"/>
    <w:rsid w:val="002B5E1D"/>
    <w:rsid w:val="002C52F2"/>
    <w:rsid w:val="002C578A"/>
    <w:rsid w:val="002C6A70"/>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5F8B"/>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1C5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26098"/>
    <w:rsid w:val="007313A4"/>
    <w:rsid w:val="00740A5D"/>
    <w:rsid w:val="00743553"/>
    <w:rsid w:val="00746DF2"/>
    <w:rsid w:val="00756B83"/>
    <w:rsid w:val="007571B4"/>
    <w:rsid w:val="0076365A"/>
    <w:rsid w:val="007649B3"/>
    <w:rsid w:val="007662F5"/>
    <w:rsid w:val="007671BC"/>
    <w:rsid w:val="00772A53"/>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D74DC"/>
    <w:rsid w:val="007E0753"/>
    <w:rsid w:val="007E6F21"/>
    <w:rsid w:val="007E7468"/>
    <w:rsid w:val="007E7B94"/>
    <w:rsid w:val="007F188F"/>
    <w:rsid w:val="007F2866"/>
    <w:rsid w:val="007F4612"/>
    <w:rsid w:val="00803305"/>
    <w:rsid w:val="00807527"/>
    <w:rsid w:val="0081100C"/>
    <w:rsid w:val="0081179D"/>
    <w:rsid w:val="00814D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6869"/>
    <w:rsid w:val="009A7582"/>
    <w:rsid w:val="009C113F"/>
    <w:rsid w:val="009C3FBF"/>
    <w:rsid w:val="009C4878"/>
    <w:rsid w:val="009D24C4"/>
    <w:rsid w:val="009D536C"/>
    <w:rsid w:val="009D565E"/>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28B"/>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47ED"/>
    <w:rsid w:val="00BD5564"/>
    <w:rsid w:val="00BE252C"/>
    <w:rsid w:val="00BE2CB7"/>
    <w:rsid w:val="00BE2EF9"/>
    <w:rsid w:val="00BE3E8B"/>
    <w:rsid w:val="00BF2030"/>
    <w:rsid w:val="00BF4510"/>
    <w:rsid w:val="00BF5650"/>
    <w:rsid w:val="00BF5DE4"/>
    <w:rsid w:val="00BF7486"/>
    <w:rsid w:val="00C00131"/>
    <w:rsid w:val="00C06259"/>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3F03"/>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B7E8F"/>
    <w:rsid w:val="00FC479D"/>
    <w:rsid w:val="00FC70CD"/>
    <w:rsid w:val="00FD35BF"/>
    <w:rsid w:val="00FD3EDC"/>
    <w:rsid w:val="00FD42DF"/>
    <w:rsid w:val="00FD7056"/>
    <w:rsid w:val="00FE215B"/>
    <w:rsid w:val="00FE3998"/>
    <w:rsid w:val="00FE4813"/>
    <w:rsid w:val="00FE63AE"/>
    <w:rsid w:val="00FF15E8"/>
    <w:rsid w:val="00FF3AA4"/>
    <w:rsid w:val="00FF4938"/>
    <w:rsid w:val="01EF47C4"/>
    <w:rsid w:val="0C782B03"/>
    <w:rsid w:val="0EAE4063"/>
    <w:rsid w:val="115C1106"/>
    <w:rsid w:val="130C7F48"/>
    <w:rsid w:val="158242C4"/>
    <w:rsid w:val="170209AC"/>
    <w:rsid w:val="212958D0"/>
    <w:rsid w:val="27B91ECD"/>
    <w:rsid w:val="2C6923FD"/>
    <w:rsid w:val="2D4C6FB4"/>
    <w:rsid w:val="3BE31FF2"/>
    <w:rsid w:val="3D174067"/>
    <w:rsid w:val="4130391E"/>
    <w:rsid w:val="415A73C9"/>
    <w:rsid w:val="418801BF"/>
    <w:rsid w:val="4ABE4596"/>
    <w:rsid w:val="4C3932AE"/>
    <w:rsid w:val="4DB00EEA"/>
    <w:rsid w:val="53BB5D38"/>
    <w:rsid w:val="582F4FA6"/>
    <w:rsid w:val="5BA84B60"/>
    <w:rsid w:val="5FFB256E"/>
    <w:rsid w:val="62176964"/>
    <w:rsid w:val="626E4EF0"/>
    <w:rsid w:val="63623A3E"/>
    <w:rsid w:val="65EE4C7D"/>
    <w:rsid w:val="6AF17C50"/>
    <w:rsid w:val="6D1C0D74"/>
    <w:rsid w:val="70B60DD1"/>
    <w:rsid w:val="750139B7"/>
    <w:rsid w:val="7BC10C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067573-5614-4ADB-BBFB-62B6862F9F51}">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866</Words>
  <Characters>4938</Characters>
  <Lines>41</Lines>
  <Paragraphs>11</Paragraphs>
  <TotalTime>0</TotalTime>
  <ScaleCrop>false</ScaleCrop>
  <LinksUpToDate>false</LinksUpToDate>
  <CharactersWithSpaces>5793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2023-02-23T03:35:49Z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