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DYGM-WZND-2023-30</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lang w:eastAsia="zh-CN"/>
        </w:rPr>
        <w:t>2023</w:t>
      </w:r>
      <w:r>
        <w:rPr>
          <w:rFonts w:hint="eastAsia" w:ascii="宋体" w:hAnsi="宋体"/>
          <w:b/>
          <w:sz w:val="36"/>
          <w:szCs w:val="36"/>
          <w:u w:val="single"/>
        </w:rPr>
        <w:t>年度模具钢材采购</w:t>
      </w:r>
      <w:r>
        <w:rPr>
          <w:rFonts w:hint="eastAsia" w:asciiTheme="majorEastAsia" w:hAnsiTheme="majorEastAsia" w:eastAsiaTheme="majorEastAsia"/>
          <w:b/>
          <w:bCs/>
          <w:sz w:val="36"/>
          <w:szCs w:val="36"/>
          <w:u w:val="single"/>
        </w:rPr>
        <w:t>项目</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2"/>
        <w:spacing w:line="500" w:lineRule="exact"/>
        <w:ind w:firstLine="880"/>
        <w:jc w:val="center"/>
        <w:rPr>
          <w:rFonts w:hAnsi="宋体"/>
          <w:b/>
          <w:sz w:val="44"/>
          <w:szCs w:val="44"/>
        </w:rPr>
      </w:pPr>
      <w:r>
        <w:rPr>
          <w:rFonts w:hint="eastAsia" w:hAnsi="宋体"/>
          <w:b/>
          <w:sz w:val="44"/>
          <w:szCs w:val="44"/>
        </w:rPr>
        <w:t>丹阳光明光电有限公司</w:t>
      </w:r>
    </w:p>
    <w:p>
      <w:pPr>
        <w:pStyle w:val="2"/>
        <w:spacing w:line="500" w:lineRule="exact"/>
        <w:ind w:firstLine="560"/>
        <w:jc w:val="center"/>
        <w:rPr>
          <w:rFonts w:hAnsi="宋体"/>
          <w:b/>
          <w:sz w:val="28"/>
          <w:szCs w:val="28"/>
        </w:rPr>
      </w:pPr>
    </w:p>
    <w:p>
      <w:pPr>
        <w:pStyle w:val="2"/>
        <w:spacing w:line="500" w:lineRule="exact"/>
        <w:ind w:firstLine="720"/>
        <w:jc w:val="center"/>
        <w:rPr>
          <w:rFonts w:hAnsi="宋体"/>
          <w:b/>
          <w:sz w:val="36"/>
          <w:szCs w:val="36"/>
        </w:rPr>
      </w:pPr>
      <w:r>
        <w:rPr>
          <w:rFonts w:hint="eastAsia" w:hAnsi="宋体"/>
          <w:b/>
          <w:sz w:val="36"/>
          <w:szCs w:val="36"/>
        </w:rPr>
        <w:t>二0二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autoSpaceDE w:val="0"/>
        <w:autoSpaceDN w:val="0"/>
        <w:adjustRightInd w:val="0"/>
        <w:spacing w:line="660" w:lineRule="exact"/>
        <w:jc w:val="center"/>
        <w:rPr>
          <w:rFonts w:hint="eastAsia" w:asciiTheme="minorEastAsia" w:hAnsiTheme="minorEastAsia" w:eastAsiaTheme="minorEastAsia"/>
          <w:sz w:val="24"/>
        </w:rPr>
      </w:pPr>
      <w:r>
        <w:rPr>
          <w:rFonts w:hint="eastAsia" w:asciiTheme="minorEastAsia" w:hAnsiTheme="minorEastAsia" w:eastAsiaTheme="minorEastAsia"/>
          <w:sz w:val="24"/>
        </w:rPr>
        <w:t xml:space="preserve">      丹阳光明光电有限公司决定对</w:t>
      </w:r>
      <w:r>
        <w:rPr>
          <w:rFonts w:hint="eastAsia" w:asciiTheme="minorEastAsia" w:hAnsiTheme="minorEastAsia" w:eastAsiaTheme="minorEastAsia"/>
          <w:b/>
          <w:sz w:val="24"/>
        </w:rPr>
        <w:t xml:space="preserve"> </w:t>
      </w:r>
      <w:r>
        <w:rPr>
          <w:rFonts w:hint="eastAsia" w:asciiTheme="minorEastAsia" w:hAnsiTheme="minorEastAsia" w:eastAsiaTheme="minorEastAsia"/>
          <w:b/>
          <w:sz w:val="24"/>
          <w:lang w:eastAsia="zh-CN"/>
        </w:rPr>
        <w:t>2023</w:t>
      </w:r>
      <w:r>
        <w:rPr>
          <w:rFonts w:hint="eastAsia" w:asciiTheme="minorEastAsia" w:hAnsiTheme="minorEastAsia" w:eastAsiaTheme="minorEastAsia"/>
          <w:b/>
          <w:sz w:val="24"/>
        </w:rPr>
        <w:t>年度模具钢材采购项目</w:t>
      </w:r>
      <w:r>
        <w:rPr>
          <w:rFonts w:hint="eastAsia" w:asciiTheme="minorEastAsia" w:hAnsiTheme="minorEastAsia" w:eastAsiaTheme="minorEastAsia"/>
          <w:sz w:val="24"/>
        </w:rPr>
        <w:t>面向社会比选合格供应商。公司本着“公开、公平、公正”的原则和“互利共赢、共同发展”的理</w:t>
      </w:r>
    </w:p>
    <w:p>
      <w:pPr>
        <w:autoSpaceDE w:val="0"/>
        <w:autoSpaceDN w:val="0"/>
        <w:adjustRightInd w:val="0"/>
        <w:spacing w:line="660" w:lineRule="exact"/>
        <w:rPr>
          <w:rFonts w:asciiTheme="minorEastAsia" w:hAnsiTheme="minorEastAsia" w:eastAsiaTheme="minorEastAsia"/>
          <w:sz w:val="24"/>
        </w:rPr>
      </w:pPr>
      <w:r>
        <w:rPr>
          <w:rFonts w:hint="eastAsia" w:asciiTheme="minorEastAsia" w:hAnsiTheme="minorEastAsia" w:eastAsiaTheme="minorEastAsia"/>
          <w:sz w:val="24"/>
        </w:rPr>
        <w:t>念，热忱欢迎有意愿与我公司合作的潜在供应商积极参与询价采购。</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项目内容：</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年度模具钢材采购项目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3"/>
        <w:tabs>
          <w:tab w:val="left" w:pos="2340"/>
        </w:tabs>
        <w:spacing w:line="460" w:lineRule="exact"/>
        <w:ind w:left="98" w:leftChars="47" w:firstLine="360" w:firstLineChars="150"/>
        <w:jc w:val="left"/>
        <w:rPr>
          <w:rFonts w:asciiTheme="minorEastAsia" w:hAnsiTheme="minorEastAsia" w:eastAsiaTheme="minorEastAsia"/>
          <w:kern w:val="2"/>
        </w:rPr>
      </w:pPr>
      <w:r>
        <w:rPr>
          <w:rFonts w:hint="eastAsia" w:asciiTheme="minorEastAsia" w:hAnsiTheme="minorEastAsia" w:eastAsiaTheme="minorEastAsia"/>
          <w:kern w:val="2"/>
        </w:rPr>
        <w:t>（一）供应商须是具有独立承担民事责任的法人或其他经济组织；</w:t>
      </w:r>
    </w:p>
    <w:p>
      <w:pPr>
        <w:autoSpaceDE w:val="0"/>
        <w:autoSpaceDN w:val="0"/>
        <w:adjustRightInd w:val="0"/>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（二）供应商必须具备并提供齐全的生产或授权资质；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（三）能提供和本业务相符的增值税专用发票</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（四）参加</w:t>
      </w:r>
      <w:r>
        <w:rPr>
          <w:rFonts w:asciiTheme="minorEastAsia" w:hAnsiTheme="minorEastAsia" w:eastAsiaTheme="minorEastAsia"/>
          <w:sz w:val="24"/>
        </w:rPr>
        <w:t>此次</w:t>
      </w:r>
      <w:r>
        <w:rPr>
          <w:rFonts w:hint="eastAsia" w:asciiTheme="minorEastAsia" w:hAnsiTheme="minorEastAsia" w:eastAsiaTheme="minorEastAsia"/>
          <w:sz w:val="24"/>
        </w:rPr>
        <w:t>比价项目</w:t>
      </w:r>
      <w:r>
        <w:rPr>
          <w:rFonts w:asciiTheme="minorEastAsia" w:hAnsiTheme="minorEastAsia" w:eastAsiaTheme="minorEastAsia"/>
          <w:sz w:val="24"/>
        </w:rPr>
        <w:t>之前</w:t>
      </w:r>
      <w:r>
        <w:rPr>
          <w:rFonts w:hint="eastAsia" w:asciiTheme="minorEastAsia" w:hAnsiTheme="minorEastAsia" w:eastAsiaTheme="minorEastAsia"/>
          <w:sz w:val="24"/>
        </w:rPr>
        <w:t>二</w:t>
      </w:r>
      <w:r>
        <w:rPr>
          <w:rFonts w:asciiTheme="minorEastAsia" w:hAnsiTheme="minorEastAsia" w:eastAsiaTheme="minorEastAsia"/>
          <w:sz w:val="24"/>
        </w:rPr>
        <w:t>年内</w:t>
      </w:r>
      <w:r>
        <w:rPr>
          <w:rFonts w:hint="eastAsia" w:asciiTheme="minorEastAsia" w:hAnsiTheme="minorEastAsia" w:eastAsiaTheme="minorEastAsia"/>
          <w:sz w:val="24"/>
        </w:rPr>
        <w:t>，</w:t>
      </w:r>
      <w:r>
        <w:rPr>
          <w:rFonts w:asciiTheme="minorEastAsia" w:hAnsiTheme="minorEastAsia" w:eastAsiaTheme="minorEastAsia"/>
          <w:sz w:val="24"/>
        </w:rPr>
        <w:t>在经营活动中</w:t>
      </w:r>
      <w:r>
        <w:rPr>
          <w:rFonts w:hint="eastAsia" w:asciiTheme="minorEastAsia" w:hAnsiTheme="minorEastAsia" w:eastAsiaTheme="minorEastAsia"/>
          <w:sz w:val="24"/>
        </w:rPr>
        <w:t>无</w:t>
      </w:r>
      <w:r>
        <w:rPr>
          <w:rFonts w:asciiTheme="minorEastAsia" w:hAnsiTheme="minorEastAsia" w:eastAsiaTheme="minorEastAsia"/>
          <w:sz w:val="24"/>
        </w:rPr>
        <w:t>重大违法</w:t>
      </w:r>
      <w:r>
        <w:rPr>
          <w:rFonts w:hint="eastAsia" w:asciiTheme="minorEastAsia" w:hAnsiTheme="minorEastAsia" w:eastAsiaTheme="minorEastAsia"/>
          <w:sz w:val="24"/>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年2月2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日</w:t>
      </w:r>
      <w:r>
        <w:rPr>
          <w:rFonts w:asciiTheme="minorEastAsia" w:hAnsiTheme="minorEastAsia" w:eastAsiaTheme="minorEastAsia"/>
          <w:sz w:val="24"/>
        </w:rPr>
        <w:t>—</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年3月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6000" w:firstLineChars="25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二0二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年二月二十</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日</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ind w:firstLine="2660" w:firstLineChars="950"/>
        <w:jc w:val="left"/>
        <w:rPr>
          <w:rFonts w:hint="eastAsia" w:ascii="仿宋" w:hAnsi="仿宋" w:eastAsia="仿宋"/>
          <w:sz w:val="28"/>
          <w:szCs w:val="28"/>
        </w:rPr>
      </w:pPr>
    </w:p>
    <w:p>
      <w:pPr>
        <w:spacing w:line="540" w:lineRule="exact"/>
        <w:jc w:val="left"/>
        <w:rPr>
          <w:rFonts w:hint="eastAsia"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860" w:firstLineChars="650"/>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10"/>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询价文件签字或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询价文件由供应商的法定代表人或其委托代理人签字并加盖单位章。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询价文件提交份数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询价文件装订要求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10"/>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三、成交人必须对报价文件负全责；在成交后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五、因此次询价为年度采购，合同履约周期为从合同签订之日起一年。</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六、报价为年度采购报价，请供应商做好市场调研，做好市场价格波动风险评估，报价一旦形成不得随意更改。</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七、如因战争、灾害及其他不可抗力造成的采购标的价格变动在±10%以内的，经双方协商，按照相关流程审批后可以进行一次价格调整（合同签订半年后，可以进行一次价格调整）；价格变动超过±10%的，变动部分则需重新进行比价询价，变动部分原报价文件及采购合同自动失效。</w:t>
      </w:r>
    </w:p>
    <w:p>
      <w:pPr>
        <w:spacing w:line="480" w:lineRule="exact"/>
        <w:ind w:firstLine="480" w:firstLineChars="200"/>
        <w:rPr>
          <w:rFonts w:hint="eastAsia" w:asciiTheme="majorEastAsia" w:hAnsiTheme="majorEastAsia" w:eastAsiaTheme="majorEastAsia"/>
          <w:sz w:val="24"/>
        </w:rPr>
      </w:pPr>
      <w:r>
        <w:rPr>
          <w:rFonts w:hint="eastAsia" w:asciiTheme="majorEastAsia" w:hAnsiTheme="majorEastAsia" w:eastAsiaTheme="majorEastAsia"/>
          <w:sz w:val="24"/>
        </w:rPr>
        <w:t>八、如因采购人采购标的标准、规格型号、材质等发生变化，则变动部分需另行进行询价比价。</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九、报价文件应包括：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sz w:val="24"/>
        </w:rPr>
        <w:t>。</w:t>
      </w:r>
    </w:p>
    <w:p>
      <w:pPr>
        <w:spacing w:line="480" w:lineRule="exact"/>
        <w:ind w:firstLine="480"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500" w:lineRule="exact"/>
        <w:ind w:firstLine="720" w:firstLineChars="300"/>
        <w:rPr>
          <w:rFonts w:asciiTheme="majorEastAsia" w:hAnsiTheme="majorEastAsia" w:eastAsiaTheme="majorEastAsia"/>
          <w:sz w:val="24"/>
        </w:rPr>
      </w:pPr>
      <w:r>
        <w:rPr>
          <w:rFonts w:hint="eastAsia" w:asciiTheme="majorEastAsia" w:hAnsiTheme="majorEastAsia" w:eastAsiaTheme="majorEastAsia"/>
          <w:sz w:val="24"/>
        </w:rPr>
        <w:t>十、报价文件接受截止时间及地点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hint="eastAsia" w:asciiTheme="minorEastAsia" w:hAnsiTheme="minorEastAsia" w:eastAsiaTheme="minorEastAsia"/>
          <w:sz w:val="28"/>
          <w:szCs w:val="28"/>
          <w:lang w:eastAsia="zh-CN"/>
        </w:rPr>
        <w:t>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月5日</w:t>
      </w:r>
      <w:r>
        <w:rPr>
          <w:rFonts w:hint="eastAsia" w:asciiTheme="majorEastAsia" w:hAnsiTheme="majorEastAsia" w:eastAsiaTheme="majorEastAsia"/>
          <w:sz w:val="24"/>
        </w:rPr>
        <w:t>，截止时间后，将拒绝接收新的报价文件。</w:t>
      </w:r>
    </w:p>
    <w:p>
      <w:pPr>
        <w:spacing w:line="460" w:lineRule="exact"/>
        <w:ind w:left="3444" w:leftChars="269" w:hanging="2880" w:hangingChars="1200"/>
        <w:rPr>
          <w:rFonts w:asciiTheme="majorEastAsia" w:hAnsiTheme="majorEastAsia" w:eastAsiaTheme="majorEastAsia"/>
          <w:sz w:val="24"/>
        </w:rPr>
      </w:pPr>
      <w:r>
        <w:rPr>
          <w:rFonts w:hint="eastAsia" w:asciiTheme="majorEastAsia" w:hAnsiTheme="majorEastAsia" w:eastAsiaTheme="majorEastAsia"/>
          <w:sz w:val="24"/>
        </w:rPr>
        <w:t>（二）投送地点：丹阳光明光电有限公司</w:t>
      </w:r>
    </w:p>
    <w:p>
      <w:pPr>
        <w:spacing w:line="500" w:lineRule="exact"/>
        <w:ind w:firstLine="480" w:firstLineChars="200"/>
        <w:rPr>
          <w:rFonts w:asciiTheme="majorEastAsia" w:hAnsiTheme="majorEastAsia" w:eastAsiaTheme="majorEastAsia"/>
          <w:b/>
          <w:sz w:val="24"/>
        </w:rPr>
      </w:pPr>
      <w:r>
        <w:rPr>
          <w:rFonts w:hint="eastAsia" w:asciiTheme="majorEastAsia" w:hAnsiTheme="majorEastAsia" w:eastAsiaTheme="majorEastAsia"/>
          <w:b/>
          <w:sz w:val="24"/>
        </w:rPr>
        <w:t>十一、下列情况将被视为无效报价文件：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（五）供应商擅自改变货物种类、材质的；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（七）经评审小组判定为故意压低价格，不符合市场价格规律的。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（七）其他询价小组认为的其他非实质性相应的；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十三</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w:t>
      </w:r>
      <w:r>
        <w:rPr>
          <w:rFonts w:asciiTheme="majorEastAsia" w:hAnsiTheme="majorEastAsia" w:eastAsiaTheme="majorEastAsia"/>
          <w:sz w:val="24"/>
        </w:rPr>
        <w:t xml:space="preserve"> </w:t>
      </w:r>
      <w:r>
        <w:rPr>
          <w:rFonts w:hint="eastAsia" w:asciiTheme="majorEastAsia" w:hAnsiTheme="majorEastAsia" w:eastAsiaTheme="major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十四．出现下列情形之一的，询价小组将否决所有供应商的报价或取消采购活动：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供应商的报价均超过了采购预算，采购单位不能支付的；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因重大变故，采购任务取消的</w:t>
      </w:r>
      <w:r>
        <w:rPr>
          <w:rFonts w:asciiTheme="majorEastAsia" w:hAnsiTheme="majorEastAsia" w:eastAsiaTheme="majorEastAsia"/>
          <w:sz w:val="24"/>
        </w:rPr>
        <w:t>;</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4</w:t>
      </w:r>
      <w:r>
        <w:rPr>
          <w:rFonts w:hint="eastAsia" w:asciiTheme="majorEastAsia" w:hAnsiTheme="majorEastAsia" w:eastAsiaTheme="majorEastAsia"/>
          <w:sz w:val="24"/>
        </w:rPr>
        <w:t>．</w:t>
      </w:r>
      <w:r>
        <w:rPr>
          <w:rFonts w:asciiTheme="majorEastAsia" w:hAnsiTheme="majorEastAsia" w:eastAsiaTheme="majorEastAsia"/>
          <w:sz w:val="24"/>
        </w:rPr>
        <w:t xml:space="preserve"> </w:t>
      </w:r>
      <w:r>
        <w:rPr>
          <w:rFonts w:hint="eastAsia" w:asciiTheme="majorEastAsia" w:hAnsiTheme="majorEastAsia" w:eastAsiaTheme="majorEastAsia"/>
          <w:sz w:val="24"/>
        </w:rPr>
        <w:t>询价小组经评审认为所有报价文件都不符合询价文件要求的。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十五</w:t>
      </w:r>
      <w:r>
        <w:rPr>
          <w:rFonts w:asciiTheme="majorEastAsia" w:hAnsiTheme="majorEastAsia" w:eastAsiaTheme="majorEastAsia"/>
          <w:sz w:val="24"/>
        </w:rPr>
        <w:t>.</w:t>
      </w:r>
      <w:r>
        <w:rPr>
          <w:rFonts w:hint="eastAsia" w:asciiTheme="majorEastAsia" w:hAnsiTheme="majorEastAsia" w:eastAsiaTheme="majorEastAsia"/>
          <w:sz w:val="24"/>
        </w:rPr>
        <w:t>评审方法和标准</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．本项目采用最低中标评标法评审。询价小组将对资格性审查、符合性审查合格的供应商按评标价由低到高的顺序（评标价相同的按技术指标优劣顺序排列）评定</w:t>
      </w:r>
      <w:r>
        <w:rPr>
          <w:rFonts w:hint="eastAsia" w:asciiTheme="majorEastAsia" w:hAnsiTheme="majorEastAsia" w:eastAsiaTheme="majorEastAsia"/>
          <w:b/>
          <w:bCs/>
          <w:sz w:val="24"/>
        </w:rPr>
        <w:t>合格供应商</w:t>
      </w:r>
      <w:r>
        <w:rPr>
          <w:rFonts w:hint="eastAsia" w:asciiTheme="majorEastAsia" w:hAnsiTheme="majorEastAsia" w:eastAsiaTheme="major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．在确定评审结果后，采购人将以在成都光明官网予以公布，公布3天后，无异议的，采购人拟订《供应商确认通知单》通知参与此次采购的供应商。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十六．签订合同</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采购人将在报价有效期期满之前向成交供应商发出《供应商确认通知单》。确认通知单对采购人和供应商均具有法律约束力。</w:t>
      </w:r>
    </w:p>
    <w:p>
      <w:pPr>
        <w:spacing w:line="480" w:lineRule="exact"/>
        <w:ind w:firstLine="480" w:firstLineChars="200"/>
        <w:rPr>
          <w:rFonts w:asciiTheme="majorEastAsia" w:hAnsiTheme="majorEastAsia" w:eastAsiaTheme="majorEastAsia"/>
          <w:sz w:val="20"/>
        </w:rPr>
      </w:pPr>
      <w:r>
        <w:rPr>
          <w:rFonts w:asciiTheme="majorEastAsia" w:hAnsiTheme="majorEastAsia" w:eastAsiaTheme="majorEastAsia"/>
          <w:sz w:val="24"/>
        </w:rPr>
        <w:t>2</w:t>
      </w:r>
      <w:r>
        <w:rPr>
          <w:rFonts w:hint="eastAsia" w:asciiTheme="majorEastAsia" w:hAnsiTheme="majorEastAsia" w:eastAsiaTheme="majorEastAsia"/>
          <w:sz w:val="24"/>
        </w:rPr>
        <w:t>．确认通知单发出后，采购人改变成交结果的，或者供应商放弃成交项目的，应当依法承担法律责任。</w:t>
      </w:r>
    </w:p>
    <w:p>
      <w:pPr>
        <w:rPr>
          <w:rFonts w:asciiTheme="majorEastAsia" w:hAnsiTheme="majorEastAsia" w:eastAsiaTheme="majorEastAsia"/>
          <w:sz w:val="20"/>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hint="eastAsia" w:ascii="黑体" w:hAnsi="黑体" w:eastAsia="黑体"/>
          <w:sz w:val="44"/>
          <w:szCs w:val="44"/>
        </w:rPr>
      </w:pPr>
    </w:p>
    <w:p>
      <w:pPr>
        <w:spacing w:line="540" w:lineRule="exact"/>
        <w:ind w:firstLine="1540" w:firstLineChars="350"/>
        <w:rPr>
          <w:rFonts w:ascii="黑体" w:hAnsi="黑体" w:eastAsia="黑体"/>
          <w:sz w:val="44"/>
          <w:szCs w:val="44"/>
        </w:rPr>
      </w:pPr>
      <w:r>
        <w:rPr>
          <w:rFonts w:hint="eastAsia" w:ascii="黑体" w:hAnsi="黑体" w:eastAsia="黑体"/>
          <w:sz w:val="44"/>
          <w:szCs w:val="44"/>
        </w:rPr>
        <w:t>第三部分 合同条款（部分）</w:t>
      </w:r>
    </w:p>
    <w:p>
      <w:pPr>
        <w:spacing w:line="540" w:lineRule="exact"/>
        <w:jc w:val="center"/>
        <w:rPr>
          <w:rFonts w:hint="eastAsia" w:ascii="黑体" w:hAnsi="黑体" w:eastAsia="宋体"/>
          <w:sz w:val="44"/>
          <w:szCs w:val="44"/>
          <w:lang w:eastAsia="zh-CN"/>
        </w:rPr>
      </w:pPr>
      <w:r>
        <w:rPr>
          <w:rFonts w:hint="eastAsia" w:ascii="宋体"/>
          <w:b/>
          <w:sz w:val="28"/>
          <w:szCs w:val="28"/>
        </w:rPr>
        <w:t xml:space="preserve">                                    </w:t>
      </w:r>
      <w:r>
        <w:rPr>
          <w:rFonts w:hint="eastAsia" w:ascii="宋体"/>
          <w:b/>
          <w:sz w:val="28"/>
          <w:szCs w:val="28"/>
          <w:lang w:eastAsia="zh-CN"/>
        </w:rPr>
        <w:t>DYGM-WZND-2023-30</w:t>
      </w:r>
    </w:p>
    <w:p>
      <w:pPr>
        <w:spacing w:line="460" w:lineRule="exact"/>
        <w:ind w:right="-58"/>
        <w:jc w:val="left"/>
        <w:rPr>
          <w:rFonts w:asciiTheme="minorEastAsia" w:hAnsiTheme="minorEastAsia" w:eastAsiaTheme="minorEastAsia"/>
          <w:sz w:val="28"/>
          <w:szCs w:val="28"/>
        </w:rPr>
      </w:pPr>
      <w:r>
        <w:rPr>
          <w:rFonts w:hint="eastAsia" w:asciiTheme="minorEastAsia" w:hAnsiTheme="minorEastAsia" w:eastAsiaTheme="minorEastAsia"/>
          <w:sz w:val="28"/>
          <w:szCs w:val="28"/>
        </w:rPr>
        <w:t>采购方（全称）：丹阳光明光电有限公司（简称甲方）</w:t>
      </w:r>
    </w:p>
    <w:p>
      <w:pPr>
        <w:spacing w:line="46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供应方（全称）：</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rPr>
        <w:t>（简称乙方）</w:t>
      </w:r>
    </w:p>
    <w:p>
      <w:pPr>
        <w:snapToGrid w:val="0"/>
        <w:spacing w:before="160" w:line="46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依照《中华人民共和国民法典》及其他有关法律、行政法规，遵循平等、自愿、公平和诚实信用的原则，双方就</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
          <w:bCs/>
          <w:sz w:val="28"/>
          <w:szCs w:val="28"/>
          <w:u w:val="single"/>
          <w:lang w:eastAsia="zh-CN"/>
        </w:rPr>
        <w:t>2023</w:t>
      </w:r>
      <w:r>
        <w:rPr>
          <w:rFonts w:hint="eastAsia" w:asciiTheme="minorEastAsia" w:hAnsiTheme="minorEastAsia" w:eastAsiaTheme="minorEastAsia"/>
          <w:b/>
          <w:bCs/>
          <w:sz w:val="28"/>
          <w:szCs w:val="28"/>
          <w:u w:val="single"/>
        </w:rPr>
        <w:t>年度模具钢材采购</w:t>
      </w:r>
      <w:r>
        <w:rPr>
          <w:rFonts w:asciiTheme="minorEastAsia" w:hAnsiTheme="minorEastAsia" w:eastAsiaTheme="minorEastAsia"/>
          <w:b/>
          <w:bCs/>
          <w:sz w:val="28"/>
          <w:szCs w:val="28"/>
          <w:u w:val="single"/>
        </w:rPr>
        <w:t xml:space="preserve"> </w:t>
      </w:r>
      <w:r>
        <w:rPr>
          <w:rFonts w:hint="eastAsia" w:asciiTheme="minorEastAsia" w:hAnsiTheme="minorEastAsia" w:eastAsiaTheme="minorEastAsia"/>
          <w:bCs/>
          <w:sz w:val="28"/>
          <w:szCs w:val="28"/>
        </w:rPr>
        <w:t>项目相关</w:t>
      </w:r>
      <w:r>
        <w:rPr>
          <w:rFonts w:hint="eastAsia" w:asciiTheme="minorEastAsia" w:hAnsiTheme="minorEastAsia" w:eastAsiaTheme="minorEastAsia"/>
          <w:sz w:val="28"/>
          <w:szCs w:val="28"/>
        </w:rPr>
        <w:t>事项协商一致，达成如下合同条款：</w:t>
      </w:r>
    </w:p>
    <w:p>
      <w:pPr>
        <w:snapToGrid w:val="0"/>
        <w:spacing w:before="160" w:line="460" w:lineRule="exact"/>
        <w:ind w:firstLine="560" w:firstLineChars="200"/>
        <w:rPr>
          <w:rFonts w:asciiTheme="minorEastAsia" w:hAnsiTheme="minorEastAsia" w:eastAsiaTheme="minorEastAsia"/>
          <w:b/>
          <w:color w:val="000000"/>
          <w:sz w:val="28"/>
          <w:szCs w:val="28"/>
        </w:rPr>
      </w:pPr>
      <w:r>
        <w:rPr>
          <w:rFonts w:hint="eastAsia" w:asciiTheme="minorEastAsia" w:hAnsiTheme="minorEastAsia" w:eastAsiaTheme="minorEastAsia"/>
          <w:b/>
          <w:sz w:val="28"/>
          <w:szCs w:val="28"/>
        </w:rPr>
        <w:t>一.乙方向甲方提供模具钢材</w:t>
      </w:r>
      <w:r>
        <w:rPr>
          <w:rFonts w:hint="eastAsia" w:asciiTheme="minorEastAsia" w:hAnsiTheme="minorEastAsia" w:eastAsiaTheme="minorEastAsia"/>
          <w:b/>
          <w:color w:val="000000"/>
          <w:sz w:val="28"/>
          <w:szCs w:val="28"/>
        </w:rPr>
        <w:t>的标的（货物</w:t>
      </w:r>
      <w:r>
        <w:rPr>
          <w:rFonts w:asciiTheme="minorEastAsia" w:hAnsiTheme="minorEastAsia" w:eastAsiaTheme="minorEastAsia"/>
          <w:b/>
          <w:color w:val="000000"/>
          <w:sz w:val="28"/>
          <w:szCs w:val="28"/>
        </w:rPr>
        <w:t>/</w:t>
      </w:r>
      <w:r>
        <w:rPr>
          <w:rFonts w:hint="eastAsia" w:asciiTheme="minorEastAsia" w:hAnsiTheme="minorEastAsia" w:eastAsiaTheme="minorEastAsia"/>
          <w:b/>
          <w:color w:val="000000"/>
          <w:sz w:val="28"/>
          <w:szCs w:val="28"/>
        </w:rPr>
        <w:t>服务）。</w:t>
      </w:r>
    </w:p>
    <w:p>
      <w:pPr>
        <w:snapToGrid w:val="0"/>
        <w:spacing w:before="160" w:line="460" w:lineRule="exact"/>
        <w:jc w:val="center"/>
        <w:rPr>
          <w:rFonts w:asciiTheme="minorEastAsia" w:hAnsiTheme="minorEastAsia" w:eastAsiaTheme="minorEastAsia"/>
          <w:b/>
          <w:color w:val="000000"/>
          <w:sz w:val="28"/>
          <w:szCs w:val="28"/>
        </w:rPr>
      </w:pPr>
      <w:r>
        <w:rPr>
          <w:rFonts w:hint="eastAsia" w:asciiTheme="minorEastAsia" w:hAnsiTheme="minorEastAsia" w:eastAsiaTheme="minorEastAsia"/>
          <w:b/>
          <w:color w:val="000000"/>
          <w:sz w:val="28"/>
          <w:szCs w:val="28"/>
        </w:rPr>
        <w:t>标</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的</w:t>
      </w:r>
      <w:r>
        <w:rPr>
          <w:rFonts w:asciiTheme="minorEastAsia" w:hAnsiTheme="minorEastAsia" w:eastAsiaTheme="minorEastAsia"/>
          <w:b/>
          <w:color w:val="000000"/>
          <w:sz w:val="28"/>
          <w:szCs w:val="28"/>
        </w:rPr>
        <w:t xml:space="preserve"> </w:t>
      </w:r>
      <w:r>
        <w:rPr>
          <w:rFonts w:hint="eastAsia" w:asciiTheme="minorEastAsia" w:hAnsiTheme="minorEastAsia" w:eastAsiaTheme="minorEastAsia"/>
          <w:b/>
          <w:color w:val="000000"/>
          <w:sz w:val="28"/>
          <w:szCs w:val="28"/>
        </w:rPr>
        <w:t>报 价 清 单</w:t>
      </w:r>
    </w:p>
    <w:tbl>
      <w:tblPr>
        <w:tblStyle w:val="5"/>
        <w:tblW w:w="9337" w:type="dxa"/>
        <w:tblInd w:w="-123" w:type="dxa"/>
        <w:tblLayout w:type="fixed"/>
        <w:tblCellMar>
          <w:top w:w="0" w:type="dxa"/>
          <w:left w:w="108" w:type="dxa"/>
          <w:bottom w:w="0" w:type="dxa"/>
          <w:right w:w="108" w:type="dxa"/>
        </w:tblCellMar>
      </w:tblPr>
      <w:tblGrid>
        <w:gridCol w:w="2142"/>
        <w:gridCol w:w="1204"/>
        <w:gridCol w:w="1491"/>
        <w:gridCol w:w="851"/>
        <w:gridCol w:w="850"/>
        <w:gridCol w:w="796"/>
        <w:gridCol w:w="2003"/>
      </w:tblGrid>
      <w:tr>
        <w:tblPrEx>
          <w:tblLayout w:type="fixed"/>
          <w:tblCellMar>
            <w:top w:w="0" w:type="dxa"/>
            <w:left w:w="108" w:type="dxa"/>
            <w:bottom w:w="0" w:type="dxa"/>
            <w:right w:w="108" w:type="dxa"/>
          </w:tblCellMar>
        </w:tblPrEx>
        <w:trPr>
          <w:trHeight w:val="633"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标的名称</w:t>
            </w:r>
          </w:p>
        </w:tc>
        <w:tc>
          <w:tcPr>
            <w:tcW w:w="12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14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w:t>
            </w:r>
          </w:p>
        </w:tc>
        <w:tc>
          <w:tcPr>
            <w:tcW w:w="79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交付期</w:t>
            </w: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Layout w:type="fixed"/>
          <w:tblCellMar>
            <w:top w:w="0" w:type="dxa"/>
            <w:left w:w="108" w:type="dxa"/>
            <w:bottom w:w="0" w:type="dxa"/>
            <w:right w:w="108" w:type="dxa"/>
          </w:tblCellMar>
        </w:tblPrEx>
        <w:trPr>
          <w:trHeight w:val="580"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球墨铸铁</w:t>
            </w:r>
          </w:p>
        </w:tc>
        <w:tc>
          <w:tcPr>
            <w:tcW w:w="12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QT500-7</w:t>
            </w:r>
          </w:p>
        </w:tc>
        <w:tc>
          <w:tcPr>
            <w:tcW w:w="14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￠20-￠150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96" w:type="dxa"/>
            <w:tcBorders>
              <w:top w:val="single" w:color="auto" w:sz="4" w:space="0"/>
              <w:left w:val="nil"/>
              <w:bottom w:val="single" w:color="auto" w:sz="4" w:space="0"/>
              <w:right w:val="single" w:color="auto" w:sz="4" w:space="0"/>
            </w:tcBorders>
          </w:tcPr>
          <w:p>
            <w:pPr>
              <w:widowControl/>
              <w:jc w:val="center"/>
              <w:rPr>
                <w:rFonts w:ascii="Arial" w:hAnsi="Arial" w:cs="Arial"/>
                <w:color w:val="333333"/>
                <w:szCs w:val="21"/>
                <w:shd w:val="clear" w:color="auto" w:fill="FFFFFF"/>
              </w:rPr>
            </w:pP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Arial" w:hAnsi="Arial" w:cs="Arial"/>
                <w:color w:val="333333"/>
                <w:szCs w:val="21"/>
                <w:shd w:val="clear" w:color="auto" w:fill="FFFFFF"/>
              </w:rPr>
              <w:t>GB/T1348-20</w:t>
            </w:r>
            <w:r>
              <w:rPr>
                <w:rFonts w:hint="eastAsia" w:ascii="Arial" w:hAnsi="Arial" w:cs="Arial"/>
                <w:color w:val="333333"/>
                <w:szCs w:val="21"/>
                <w:shd w:val="clear" w:color="auto" w:fill="FFFFFF"/>
              </w:rPr>
              <w:t>1</w:t>
            </w:r>
            <w:r>
              <w:rPr>
                <w:rFonts w:ascii="Arial" w:hAnsi="Arial" w:cs="Arial"/>
                <w:color w:val="333333"/>
                <w:szCs w:val="21"/>
                <w:shd w:val="clear" w:color="auto" w:fill="FFFFFF"/>
              </w:rPr>
              <w:t>9</w:t>
            </w:r>
          </w:p>
        </w:tc>
      </w:tr>
      <w:tr>
        <w:tblPrEx>
          <w:tblLayout w:type="fixed"/>
        </w:tblPrEx>
        <w:trPr>
          <w:trHeight w:val="580" w:hRule="atLeast"/>
        </w:trPr>
        <w:tc>
          <w:tcPr>
            <w:tcW w:w="214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冷作模具钢</w:t>
            </w:r>
          </w:p>
        </w:tc>
        <w:tc>
          <w:tcPr>
            <w:tcW w:w="120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Cr12MoV</w:t>
            </w:r>
          </w:p>
        </w:tc>
        <w:tc>
          <w:tcPr>
            <w:tcW w:w="149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￠20-￠150</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公斤</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796" w:type="dxa"/>
            <w:tcBorders>
              <w:top w:val="single" w:color="auto" w:sz="4" w:space="0"/>
              <w:left w:val="nil"/>
              <w:bottom w:val="single" w:color="auto" w:sz="4" w:space="0"/>
              <w:right w:val="single" w:color="auto" w:sz="4" w:space="0"/>
            </w:tcBorders>
          </w:tcPr>
          <w:p>
            <w:pPr>
              <w:widowControl/>
              <w:jc w:val="center"/>
              <w:rPr>
                <w:rFonts w:ascii="Arial" w:hAnsi="Arial" w:cs="Arial"/>
                <w:color w:val="333333"/>
                <w:szCs w:val="21"/>
                <w:shd w:val="clear" w:color="auto" w:fill="FFFFFF"/>
              </w:rPr>
            </w:pP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ascii="Arial" w:hAnsi="Arial" w:cs="Arial"/>
                <w:color w:val="333333"/>
                <w:szCs w:val="21"/>
                <w:shd w:val="clear" w:color="auto" w:fill="FFFFFF"/>
              </w:rPr>
            </w:pPr>
            <w:r>
              <w:rPr>
                <w:rFonts w:hint="eastAsia" w:ascii="Arial" w:hAnsi="Arial" w:cs="Arial"/>
                <w:bCs/>
                <w:color w:val="333333"/>
                <w:szCs w:val="21"/>
              </w:rPr>
              <w:t>GB/T34564.1-2017</w:t>
            </w:r>
          </w:p>
        </w:tc>
      </w:tr>
    </w:tbl>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%的增值税专用发票）</w:t>
      </w:r>
    </w:p>
    <w:p>
      <w:pPr>
        <w:spacing w:line="460" w:lineRule="exact"/>
        <w:rPr>
          <w:rFonts w:ascii="仿宋" w:hAnsi="仿宋" w:eastAsia="仿宋"/>
          <w:b/>
          <w:sz w:val="28"/>
          <w:szCs w:val="28"/>
        </w:rPr>
      </w:pPr>
      <w:r>
        <w:rPr>
          <w:rFonts w:ascii="仿宋" w:hAnsi="仿宋" w:eastAsia="仿宋"/>
          <w:sz w:val="28"/>
          <w:szCs w:val="28"/>
        </w:rPr>
        <w:t xml:space="preserve">  </w:t>
      </w:r>
      <w:r>
        <w:rPr>
          <w:rFonts w:hint="eastAsia" w:ascii="仿宋" w:hAnsi="仿宋" w:eastAsia="仿宋"/>
          <w:b/>
          <w:color w:val="FF0000"/>
          <w:sz w:val="28"/>
          <w:szCs w:val="28"/>
        </w:rPr>
        <w:t>注：需另附</w:t>
      </w:r>
      <w:r>
        <w:rPr>
          <w:rFonts w:hint="eastAsia" w:ascii="宋体" w:hAnsi="宋体" w:cs="宋体"/>
          <w:b/>
          <w:color w:val="FF0000"/>
          <w:kern w:val="0"/>
          <w:sz w:val="22"/>
          <w:szCs w:val="22"/>
        </w:rPr>
        <w:t>￠20至￠150之间的</w:t>
      </w:r>
      <w:r>
        <w:rPr>
          <w:rFonts w:hint="eastAsia" w:ascii="仿宋" w:hAnsi="仿宋" w:eastAsia="仿宋"/>
          <w:b/>
          <w:color w:val="FF0000"/>
          <w:sz w:val="28"/>
          <w:szCs w:val="28"/>
        </w:rPr>
        <w:t>清单。</w:t>
      </w:r>
    </w:p>
    <w:p>
      <w:pPr>
        <w:spacing w:line="46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二、采购流程</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（一）合同签订后，甲方根据需求向乙方发出采购订单，注明采购产品型号、规格；数量；交付时间等信息。</w:t>
      </w:r>
    </w:p>
    <w:p>
      <w:pPr>
        <w:spacing w:line="460" w:lineRule="exact"/>
        <w:ind w:firstLine="480"/>
        <w:rPr>
          <w:rFonts w:asciiTheme="minorEastAsia" w:hAnsiTheme="minorEastAsia" w:eastAsiaTheme="minorEastAsia"/>
          <w:sz w:val="24"/>
        </w:rPr>
      </w:pPr>
      <w:r>
        <w:rPr>
          <w:rFonts w:hint="eastAsia" w:asciiTheme="minorEastAsia" w:hAnsiTheme="minorEastAsia" w:eastAsiaTheme="minorEastAsia"/>
          <w:sz w:val="24"/>
        </w:rPr>
        <w:t>（二）乙方在收到甲方采购订单后，需在规定交付时间内，保质、保量按期交付，并提供产品送货单，应标明产品型号、规格，数量等信息。</w:t>
      </w:r>
    </w:p>
    <w:p>
      <w:pPr>
        <w:spacing w:line="460" w:lineRule="exact"/>
        <w:ind w:firstLine="352" w:firstLineChars="147"/>
        <w:rPr>
          <w:rFonts w:asciiTheme="minorEastAsia" w:hAnsiTheme="minorEastAsia" w:eastAsiaTheme="minorEastAsia"/>
          <w:b/>
          <w:sz w:val="24"/>
        </w:rPr>
      </w:pPr>
      <w:r>
        <w:rPr>
          <w:rFonts w:hint="eastAsia" w:asciiTheme="minorEastAsia" w:hAnsiTheme="minorEastAsia" w:eastAsiaTheme="minorEastAsia"/>
          <w:b/>
          <w:sz w:val="24"/>
        </w:rPr>
        <w:t>三、交货地点</w:t>
      </w:r>
    </w:p>
    <w:p>
      <w:pPr>
        <w:spacing w:line="460" w:lineRule="exact"/>
        <w:ind w:firstLine="720" w:firstLineChars="300"/>
        <w:rPr>
          <w:rFonts w:asciiTheme="minorEastAsia" w:hAnsiTheme="minorEastAsia" w:eastAsiaTheme="minorEastAsia"/>
          <w:sz w:val="24"/>
        </w:rPr>
      </w:pPr>
      <w:r>
        <w:rPr>
          <w:rFonts w:hint="eastAsia" w:asciiTheme="minorEastAsia" w:hAnsiTheme="minorEastAsia" w:eastAsiaTheme="minorEastAsia"/>
          <w:color w:val="000000"/>
          <w:sz w:val="24"/>
        </w:rPr>
        <w:t>交货地点：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甲方厂区内</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四、质量技术标准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（一）乙方提供的产品等级及质量有国家标准的应符合国家标准。无国家标准的应符合行业标准或企业标准，并满足询价文件产品技术质量要求。</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五、运输方式及费用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由乙方视情况自定运输方式，费用由乙方承担。</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六、验收</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sz w:val="24"/>
        </w:rPr>
        <w:t>（一）</w:t>
      </w:r>
      <w:r>
        <w:rPr>
          <w:rFonts w:hint="eastAsia" w:asciiTheme="minorEastAsia" w:hAnsiTheme="minorEastAsia" w:eastAsiaTheme="minorEastAsia"/>
          <w:kern w:val="0"/>
          <w:sz w:val="24"/>
        </w:rPr>
        <w:t>在货物送达甲方</w:t>
      </w:r>
      <w:r>
        <w:rPr>
          <w:rFonts w:hint="eastAsia" w:asciiTheme="minorEastAsia" w:hAnsiTheme="minorEastAsia" w:eastAsiaTheme="minorEastAsia"/>
          <w:color w:val="000000"/>
          <w:sz w:val="24"/>
          <w:u w:val="single"/>
        </w:rPr>
        <w:t>1</w:t>
      </w:r>
      <w:r>
        <w:rPr>
          <w:rFonts w:hint="eastAsia" w:asciiTheme="minorEastAsia" w:hAnsiTheme="minorEastAsia" w:eastAsiaTheme="minorEastAsia"/>
          <w:kern w:val="0"/>
          <w:sz w:val="24"/>
        </w:rPr>
        <w:t>日内，甲方根据技术要求组织验收</w:t>
      </w:r>
      <w:r>
        <w:rPr>
          <w:rFonts w:hint="eastAsia" w:asciiTheme="minorEastAsia" w:hAnsiTheme="minorEastAsia" w:eastAsiaTheme="minorEastAsia"/>
          <w:sz w:val="24"/>
        </w:rPr>
        <w:t>（需要使用时才能验收的，由使用后进行验收）</w:t>
      </w:r>
      <w:r>
        <w:rPr>
          <w:rFonts w:hint="eastAsia" w:asciiTheme="minorEastAsia" w:hAnsiTheme="minorEastAsia" w:eastAsiaTheme="minorEastAsia"/>
          <w:kern w:val="0"/>
          <w:sz w:val="24"/>
        </w:rPr>
        <w:t xml:space="preserve">，验收内容包括：型号、规格、数量、外观质量、及货物包装是否完好，所提供货物的送货清单等是否齐全。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（二）乙方所供产品的型号、规格、质量不符合规定的，由其负责包换或包退，并承担调换或退货而支付的实际费用。</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w:t>
      </w:r>
      <w:r>
        <w:rPr>
          <w:rFonts w:hint="eastAsia" w:asciiTheme="minorEastAsia" w:hAnsiTheme="minorEastAsia" w:eastAsiaTheme="minorEastAsia"/>
          <w:kern w:val="0"/>
          <w:sz w:val="24"/>
        </w:rPr>
        <w:t>货物最终验收后，乙方应对验收不符情况及时给予处理，并承担由此引起的一切后果。</w:t>
      </w:r>
    </w:p>
    <w:p>
      <w:pPr>
        <w:spacing w:line="460" w:lineRule="exact"/>
        <w:ind w:firstLine="480" w:firstLineChars="200"/>
        <w:rPr>
          <w:rFonts w:asciiTheme="minorEastAsia" w:hAnsiTheme="minorEastAsia" w:eastAsiaTheme="minorEastAsia"/>
          <w:kern w:val="0"/>
          <w:sz w:val="24"/>
        </w:rPr>
      </w:pPr>
      <w:r>
        <w:rPr>
          <w:rFonts w:hint="eastAsia" w:asciiTheme="minorEastAsia" w:hAnsiTheme="minorEastAsia" w:eastAsiaTheme="minorEastAsia"/>
          <w:kern w:val="0"/>
          <w:sz w:val="24"/>
        </w:rPr>
        <w:t>（四）甲方应按签订采购合同约定时间组织验收。</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kern w:val="0"/>
          <w:sz w:val="24"/>
        </w:rPr>
        <w:t>（五）</w:t>
      </w:r>
      <w:r>
        <w:rPr>
          <w:rFonts w:hint="eastAsia" w:asciiTheme="minorEastAsia" w:hAnsiTheme="minorEastAsia" w:eastAsiaTheme="minorEastAsia"/>
          <w:sz w:val="24"/>
        </w:rPr>
        <w:t>甲方在验收中，如发现有与合同规定不符的，应在</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u w:val="single"/>
        </w:rPr>
        <w:t>3</w:t>
      </w:r>
      <w:r>
        <w:rPr>
          <w:rFonts w:asciiTheme="minorEastAsia" w:hAnsiTheme="minorEastAsia" w:eastAsiaTheme="minorEastAsia"/>
          <w:color w:val="000000"/>
          <w:sz w:val="24"/>
          <w:u w:val="single"/>
        </w:rPr>
        <w:t xml:space="preserve">  </w:t>
      </w:r>
      <w:r>
        <w:rPr>
          <w:rFonts w:hint="eastAsia" w:asciiTheme="minorEastAsia" w:hAnsiTheme="minorEastAsia" w:eastAsiaTheme="minorEastAsia"/>
          <w:color w:val="000000"/>
          <w:sz w:val="24"/>
        </w:rPr>
        <w:t>天内向乙方提出书面意见，不签发验收单。乙方在接到甲方书面意见后，应在</w:t>
      </w:r>
      <w:r>
        <w:rPr>
          <w:rFonts w:asciiTheme="minorEastAsia" w:hAnsiTheme="minorEastAsia" w:eastAsiaTheme="minorEastAsia"/>
          <w:color w:val="000000"/>
          <w:sz w:val="24"/>
          <w:u w:val="single"/>
        </w:rPr>
        <w:t xml:space="preserve"> 5  </w:t>
      </w:r>
      <w:r>
        <w:rPr>
          <w:rFonts w:hint="eastAsia" w:asciiTheme="minorEastAsia" w:hAnsiTheme="minorEastAsia" w:eastAsiaTheme="minorEastAsia"/>
          <w:color w:val="000000"/>
          <w:sz w:val="24"/>
        </w:rPr>
        <w:t>天内予以处理，并将处理结果以书面形式告知甲方。</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七、付款方式</w:t>
      </w:r>
    </w:p>
    <w:p>
      <w:pPr>
        <w:spacing w:line="460" w:lineRule="exact"/>
        <w:ind w:firstLine="480" w:firstLineChars="200"/>
        <w:rPr>
          <w:rFonts w:asciiTheme="minorEastAsia" w:hAnsiTheme="minorEastAsia" w:eastAsiaTheme="minorEastAsia"/>
          <w:color w:val="000000"/>
          <w:sz w:val="24"/>
        </w:rPr>
      </w:pPr>
      <w:r>
        <w:rPr>
          <w:rFonts w:asciiTheme="minorEastAsia" w:hAnsiTheme="minorEastAsia" w:eastAsiaTheme="minorEastAsia"/>
          <w:color w:val="000000"/>
          <w:sz w:val="24"/>
        </w:rPr>
        <w:t xml:space="preserve"> </w:t>
      </w:r>
      <w:r>
        <w:rPr>
          <w:rFonts w:hint="eastAsia" w:asciiTheme="minorEastAsia" w:hAnsiTheme="minorEastAsia" w:eastAsiaTheme="minorEastAsia"/>
          <w:color w:val="000000"/>
          <w:sz w:val="24"/>
        </w:rPr>
        <w:t>（一）结算方式：月结算。从上月2</w:t>
      </w:r>
      <w:r>
        <w:rPr>
          <w:rFonts w:asciiTheme="minorEastAsia" w:hAnsiTheme="minorEastAsia" w:eastAsiaTheme="minorEastAsia"/>
          <w:color w:val="000000"/>
          <w:sz w:val="24"/>
        </w:rPr>
        <w:t>6</w:t>
      </w:r>
      <w:r>
        <w:rPr>
          <w:rFonts w:hint="eastAsia" w:asciiTheme="minorEastAsia" w:hAnsiTheme="minorEastAsia" w:eastAsiaTheme="minorEastAsia"/>
          <w:color w:val="000000"/>
          <w:sz w:val="24"/>
        </w:rPr>
        <w:t>日至下月2</w:t>
      </w:r>
      <w:r>
        <w:rPr>
          <w:rFonts w:asciiTheme="minorEastAsia" w:hAnsiTheme="minorEastAsia" w:eastAsiaTheme="minorEastAsia"/>
          <w:color w:val="000000"/>
          <w:sz w:val="24"/>
        </w:rPr>
        <w:t>5</w:t>
      </w:r>
      <w:r>
        <w:rPr>
          <w:rFonts w:hint="eastAsia" w:asciiTheme="minorEastAsia" w:hAnsiTheme="minorEastAsia" w:eastAsiaTheme="minorEastAsia"/>
          <w:color w:val="000000"/>
          <w:sz w:val="24"/>
        </w:rPr>
        <w:t>日作为结算起止日期。</w:t>
      </w:r>
    </w:p>
    <w:p>
      <w:pPr>
        <w:spacing w:line="460" w:lineRule="exact"/>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Pr>
          <w:rFonts w:asciiTheme="minorEastAsia" w:hAnsiTheme="minorEastAsia" w:eastAsiaTheme="minorEastAsia"/>
          <w:color w:val="000000"/>
          <w:sz w:val="24"/>
        </w:rPr>
        <w:t>10</w:t>
      </w:r>
      <w:r>
        <w:rPr>
          <w:rFonts w:hint="eastAsia" w:asciiTheme="minorEastAsia" w:hAnsiTheme="minorEastAsia" w:eastAsiaTheme="minorEastAsia"/>
          <w:color w:val="000000"/>
          <w:sz w:val="24"/>
        </w:rPr>
        <w:t>日内付款。</w:t>
      </w:r>
    </w:p>
    <w:p>
      <w:pPr>
        <w:spacing w:line="460" w:lineRule="exact"/>
        <w:ind w:right="-73" w:firstLine="470" w:firstLineChars="196"/>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八、风险抵押金</w:t>
      </w:r>
    </w:p>
    <w:p>
      <w:pPr>
        <w:spacing w:line="440" w:lineRule="exact"/>
        <w:ind w:firstLine="480"/>
        <w:rPr>
          <w:rFonts w:asciiTheme="minorEastAsia" w:hAnsiTheme="minorEastAsia" w:eastAsiaTheme="minorEastAsia"/>
          <w:color w:val="000000"/>
          <w:sz w:val="24"/>
        </w:rPr>
      </w:pPr>
      <w:r>
        <w:rPr>
          <w:rFonts w:hint="eastAsia" w:asciiTheme="minorEastAsia" w:hAnsiTheme="minorEastAsia" w:eastAsiaTheme="minorEastAsia"/>
          <w:color w:val="000000"/>
          <w:sz w:val="24"/>
        </w:rPr>
        <w:t>合同风险抵押金：为保证合同的正常履约，乙方在本合同签订后30个工作日内向甲方缴纳</w:t>
      </w:r>
      <w:r>
        <w:rPr>
          <w:rFonts w:hint="eastAsia" w:asciiTheme="minorEastAsia" w:hAnsiTheme="minorEastAsia" w:eastAsiaTheme="minorEastAsia"/>
          <w:b/>
          <w:color w:val="FF0000"/>
          <w:sz w:val="24"/>
        </w:rPr>
        <w:t>壹万元</w:t>
      </w:r>
      <w:r>
        <w:rPr>
          <w:rFonts w:hint="eastAsia" w:asciiTheme="minorEastAsia" w:hAnsiTheme="minorEastAsia" w:eastAsiaTheme="minorEastAsia"/>
          <w:color w:val="000000"/>
          <w:sz w:val="24"/>
        </w:rPr>
        <w:t>合同风险抵押金，本合同履行期限届满30个工作日内返还。若乙方未按期缴纳保证金，乙方认可甲方从支付其加工费中先行扣除。</w:t>
      </w:r>
    </w:p>
    <w:p>
      <w:pPr>
        <w:spacing w:line="460" w:lineRule="exact"/>
        <w:ind w:firstLine="480" w:firstLineChars="200"/>
        <w:rPr>
          <w:rFonts w:asciiTheme="minorEastAsia" w:hAnsiTheme="minorEastAsia" w:eastAsiaTheme="minorEastAsia"/>
          <w:b/>
          <w:color w:val="000000"/>
          <w:sz w:val="24"/>
        </w:rPr>
      </w:pPr>
      <w:r>
        <w:rPr>
          <w:rFonts w:hint="eastAsia" w:asciiTheme="minorEastAsia" w:hAnsiTheme="minorEastAsia" w:eastAsiaTheme="minorEastAsia"/>
          <w:b/>
          <w:color w:val="000000"/>
          <w:sz w:val="24"/>
        </w:rPr>
        <w:t>九、违约条款</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（一）</w:t>
      </w:r>
      <w:r>
        <w:rPr>
          <w:rFonts w:hint="eastAsia" w:asciiTheme="minorEastAsia" w:hAnsiTheme="minorEastAsia" w:eastAsiaTheme="minorEastAsia"/>
          <w:color w:val="FF0000"/>
          <w:sz w:val="24"/>
        </w:rPr>
        <w:t>乙方不按期完成采购清单的内容，应向甲方支付违约金，除甲方或不可抗力造成原因外，每延迟交付一天，按照风险抵押金的3%予以扣除</w:t>
      </w:r>
      <w:r>
        <w:rPr>
          <w:rFonts w:asciiTheme="minorEastAsia" w:hAnsiTheme="minorEastAsia" w:eastAsiaTheme="minorEastAsia"/>
          <w:color w:val="FF0000"/>
          <w:sz w:val="24"/>
        </w:rPr>
        <w:t xml:space="preserve">; </w:t>
      </w:r>
      <w:r>
        <w:rPr>
          <w:rFonts w:hint="eastAsia" w:asciiTheme="minorEastAsia" w:hAnsiTheme="minorEastAsia" w:eastAsiaTheme="minorEastAsia"/>
          <w:color w:val="FF0000"/>
          <w:sz w:val="24"/>
        </w:rPr>
        <w:t>单次采购延期超过</w:t>
      </w:r>
      <w:r>
        <w:rPr>
          <w:rFonts w:asciiTheme="minorEastAsia" w:hAnsiTheme="minorEastAsia" w:eastAsiaTheme="minorEastAsia"/>
          <w:color w:val="FF0000"/>
          <w:sz w:val="24"/>
          <w:u w:val="single"/>
        </w:rPr>
        <w:t>3</w:t>
      </w:r>
      <w:r>
        <w:rPr>
          <w:rFonts w:hint="eastAsia" w:asciiTheme="minorEastAsia" w:hAnsiTheme="minorEastAsia" w:eastAsiaTheme="minorEastAsia"/>
          <w:color w:val="FF0000"/>
          <w:sz w:val="24"/>
          <w:u w:val="single"/>
        </w:rPr>
        <w:t>次的</w:t>
      </w:r>
      <w:r>
        <w:rPr>
          <w:rFonts w:hint="eastAsia" w:asciiTheme="minorEastAsia" w:hAnsiTheme="minorEastAsia" w:eastAsiaTheme="minorEastAsia"/>
          <w:color w:val="FF0000"/>
          <w:sz w:val="24"/>
        </w:rPr>
        <w:t>，甲方有权强制解除合同，并要求乙方赔偿带来的一切损失。</w:t>
      </w:r>
      <w:r>
        <w:rPr>
          <w:rFonts w:asciiTheme="minorEastAsia" w:hAnsiTheme="minorEastAsia" w:eastAsiaTheme="minorEastAsia"/>
          <w:color w:val="FF0000"/>
          <w:sz w:val="24"/>
        </w:rPr>
        <w:t xml:space="preserve">     </w:t>
      </w:r>
      <w:r>
        <w:rPr>
          <w:rFonts w:asciiTheme="minorEastAsia" w:hAnsiTheme="minorEastAsia" w:eastAsiaTheme="minorEastAsia"/>
          <w:sz w:val="24"/>
        </w:rPr>
        <w:t xml:space="preserve">          </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（二）如乙方私自调换产品材质，甲方有权拒绝支付</w:t>
      </w:r>
      <w:r>
        <w:rPr>
          <w:rFonts w:asciiTheme="minorEastAsia" w:hAnsiTheme="minorEastAsia" w:eastAsiaTheme="minorEastAsia"/>
          <w:sz w:val="24"/>
        </w:rPr>
        <w:t> </w:t>
      </w:r>
      <w:r>
        <w:rPr>
          <w:rFonts w:hint="eastAsia" w:asciiTheme="minorEastAsia" w:hAnsiTheme="minorEastAsia" w:eastAsiaTheme="minorEastAsia"/>
          <w:sz w:val="24"/>
        </w:rPr>
        <w:t>采购金额，同时扣除全额风险抵押金。</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（四）本项目不得转让分包，如有发生，无条件清理退场，所造成的一切损失由乙方负责。</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十、知识产权</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（一）</w:t>
      </w:r>
      <w:r>
        <w:rPr>
          <w:rFonts w:hint="eastAsia" w:cs="仿宋" w:asciiTheme="minorEastAsia" w:hAnsiTheme="minorEastAsia" w:eastAsiaTheme="minorEastAsia"/>
          <w:color w:val="000000"/>
          <w:sz w:val="24"/>
        </w:rPr>
        <w:t>乙方担保本合同产品及附属不存在知识产权纠纷。</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（二）</w:t>
      </w:r>
      <w:r>
        <w:rPr>
          <w:rFonts w:hint="eastAsia" w:cs="仿宋" w:asciiTheme="minorEastAsia" w:hAnsiTheme="minorEastAsia" w:eastAsiaTheme="minorEastAsia"/>
          <w:color w:val="000000"/>
          <w:sz w:val="24"/>
        </w:rPr>
        <w:t>当第三人主张知识产权的权利时，乙方应承担的责任：</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（三）</w:t>
      </w:r>
      <w:r>
        <w:rPr>
          <w:rFonts w:hint="eastAsia" w:cs="仿宋" w:asciiTheme="minorEastAsia" w:hAnsiTheme="minorEastAsia" w:eastAsiaTheme="minorEastAsia"/>
          <w:color w:val="000000"/>
          <w:sz w:val="24"/>
        </w:rPr>
        <w:t>采取必要应对措施，包括诉讼的和非诉讼的措施。</w:t>
      </w:r>
    </w:p>
    <w:p>
      <w:pPr>
        <w:spacing w:line="460" w:lineRule="exact"/>
        <w:ind w:firstLine="480" w:firstLineChars="200"/>
        <w:rPr>
          <w:rFonts w:cs="仿宋" w:asciiTheme="minorEastAsia" w:hAnsiTheme="minorEastAsia" w:eastAsiaTheme="minorEastAsia"/>
          <w:color w:val="000000"/>
          <w:sz w:val="24"/>
        </w:rPr>
      </w:pPr>
      <w:r>
        <w:rPr>
          <w:rFonts w:hint="eastAsia" w:asciiTheme="minorEastAsia" w:hAnsiTheme="minorEastAsia" w:eastAsiaTheme="minorEastAsia"/>
          <w:sz w:val="24"/>
        </w:rPr>
        <w:t>（四）</w:t>
      </w:r>
      <w:r>
        <w:rPr>
          <w:rFonts w:hint="eastAsia" w:cs="仿宋" w:asciiTheme="minorEastAsia" w:hAnsiTheme="minorEastAsia" w:eastAsiaTheme="minorEastAsia"/>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Theme="minorEastAsia" w:hAnsiTheme="minorEastAsia" w:eastAsiaTheme="minorEastAsia"/>
          <w:b/>
          <w:sz w:val="24"/>
        </w:rPr>
      </w:pPr>
      <w:r>
        <w:rPr>
          <w:rFonts w:hint="eastAsia" w:cs="仿宋" w:asciiTheme="minorEastAsia" w:hAnsiTheme="minorEastAsia" w:eastAsiaTheme="minorEastAsia"/>
          <w:color w:val="000000"/>
          <w:sz w:val="24"/>
        </w:rPr>
        <w:t>（五）承担甲方因此遭受的所有损失，包括但不限于赔偿金、和解金、行政罚金、律师费、诉讼费以及处理该争议的必要差旅费。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十一、合同生效及审核</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本合同经甲方、乙方签字盖章后生效，合同签订的内容不能超出询价采购文件和报价文件的实质性内容。</w:t>
      </w:r>
    </w:p>
    <w:p>
      <w:pPr>
        <w:spacing w:line="460" w:lineRule="exact"/>
        <w:ind w:firstLine="480" w:firstLineChars="200"/>
        <w:rPr>
          <w:rFonts w:asciiTheme="minorEastAsia" w:hAnsiTheme="minorEastAsia" w:eastAsiaTheme="minorEastAsia"/>
          <w:b/>
          <w:sz w:val="24"/>
        </w:rPr>
      </w:pPr>
      <w:r>
        <w:rPr>
          <w:rFonts w:hint="eastAsia" w:asciiTheme="minorEastAsia" w:hAnsiTheme="minorEastAsia" w:eastAsiaTheme="minorEastAsia"/>
          <w:b/>
          <w:sz w:val="24"/>
        </w:rPr>
        <w:t>十二、合同的组成部分</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本合同经甲方、乙方签字盖章后生效，合同期限：从</w:t>
      </w:r>
      <w:r>
        <w:rPr>
          <w:rFonts w:hint="eastAsia" w:asciiTheme="minorEastAsia" w:hAnsiTheme="minorEastAsia" w:eastAsiaTheme="minorEastAsia"/>
          <w:sz w:val="24"/>
          <w:lang w:eastAsia="zh-CN"/>
        </w:rPr>
        <w:t>2023</w:t>
      </w:r>
      <w:r>
        <w:rPr>
          <w:rFonts w:hint="eastAsia" w:asciiTheme="minorEastAsia" w:hAnsiTheme="minorEastAsia" w:eastAsiaTheme="minorEastAsia"/>
          <w:sz w:val="24"/>
        </w:rPr>
        <w:t>年   月   至2023年  月日模具钢材公开比价确定新供应商前。合同签订的内容不能超出询价采购文件和报价文件的实质性内容。</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十三、本合同壹式肆份，以中文书写，甲方、乙方各执两份。</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十四、本合同一切未尽事宜，按合同法有关规定执行，无相关规定的，由甲乙双方协商解决或交由甲方所在地丹阳人民法院管辖。</w:t>
      </w:r>
    </w:p>
    <w:p>
      <w:pPr>
        <w:spacing w:line="460" w:lineRule="exact"/>
        <w:jc w:val="center"/>
        <w:rPr>
          <w:rFonts w:asciiTheme="minorEastAsia" w:hAnsiTheme="minorEastAsia" w:eastAsiaTheme="minorEastAsia"/>
          <w:b/>
          <w:bCs/>
          <w:sz w:val="24"/>
        </w:rPr>
      </w:pP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甲方：</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乙方：</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（盖章）</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u w:val="single"/>
        </w:rPr>
      </w:pPr>
      <w:r>
        <w:rPr>
          <w:rFonts w:hint="eastAsia" w:asciiTheme="minorEastAsia" w:hAnsiTheme="minorEastAsia" w:eastAsiaTheme="minorEastAsia"/>
          <w:sz w:val="24"/>
        </w:rPr>
        <w:t>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地址：</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法定（授权）代表人：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联系人：</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rPr>
          <w:rFonts w:asciiTheme="minorEastAsia" w:hAnsiTheme="minorEastAsia" w:eastAsiaTheme="minorEastAsia"/>
          <w:sz w:val="24"/>
        </w:rPr>
      </w:pP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联系电话：</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p>
    <w:p>
      <w:pPr>
        <w:widowControl/>
        <w:snapToGrid w:val="0"/>
        <w:spacing w:before="19" w:line="460" w:lineRule="exact"/>
        <w:ind w:firstLine="840" w:firstLineChars="350"/>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年</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月</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w:t>
      </w:r>
    </w:p>
    <w:p>
      <w:pPr>
        <w:rPr>
          <w:rFonts w:asciiTheme="minorEastAsia" w:hAnsiTheme="minorEastAsia" w:eastAsiaTheme="minorEastAsia"/>
        </w:rPr>
      </w:pPr>
    </w:p>
    <w:p>
      <w:pPr>
        <w:spacing w:line="540" w:lineRule="exac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540" w:lineRule="exact"/>
        <w:ind w:firstLine="840" w:firstLineChars="35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6"/>
          <w:szCs w:val="36"/>
          <w:lang w:eastAsia="zh-CN"/>
        </w:rPr>
        <w:t>2023</w:t>
      </w:r>
      <w:r>
        <w:rPr>
          <w:rFonts w:hint="eastAsia" w:asciiTheme="minorEastAsia" w:hAnsiTheme="minorEastAsia" w:eastAsiaTheme="minorEastAsia"/>
          <w:sz w:val="36"/>
          <w:szCs w:val="36"/>
        </w:rPr>
        <w:t>年度模具钢材采购项目</w:t>
      </w:r>
    </w:p>
    <w:p>
      <w:pPr>
        <w:spacing w:line="540" w:lineRule="exact"/>
        <w:rPr>
          <w:rFonts w:asciiTheme="minorEastAsia" w:hAnsiTheme="minorEastAsia" w:eastAsiaTheme="minorEastAsia"/>
          <w:sz w:val="24"/>
        </w:rPr>
      </w:pPr>
    </w:p>
    <w:p>
      <w:pPr>
        <w:spacing w:line="540" w:lineRule="exact"/>
        <w:jc w:val="center"/>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p>
    <w:p>
      <w:pPr>
        <w:pStyle w:val="2"/>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bookmarkStart w:id="0" w:name="_GoBack"/>
      <w:bookmarkEnd w:id="0"/>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5"/>
        <w:tblW w:w="9337" w:type="dxa"/>
        <w:tblInd w:w="93" w:type="dxa"/>
        <w:tblLayout w:type="fixed"/>
        <w:tblCellMar>
          <w:top w:w="0" w:type="dxa"/>
          <w:left w:w="108" w:type="dxa"/>
          <w:bottom w:w="0" w:type="dxa"/>
          <w:right w:w="108" w:type="dxa"/>
        </w:tblCellMar>
      </w:tblPr>
      <w:tblGrid>
        <w:gridCol w:w="1433"/>
        <w:gridCol w:w="1276"/>
        <w:gridCol w:w="1134"/>
        <w:gridCol w:w="850"/>
        <w:gridCol w:w="1276"/>
        <w:gridCol w:w="1365"/>
        <w:gridCol w:w="2003"/>
      </w:tblGrid>
      <w:tr>
        <w:tblPrEx>
          <w:tblLayout w:type="fixed"/>
          <w:tblCellMar>
            <w:top w:w="0" w:type="dxa"/>
            <w:left w:w="108" w:type="dxa"/>
            <w:bottom w:w="0" w:type="dxa"/>
            <w:right w:w="108" w:type="dxa"/>
          </w:tblCellMar>
        </w:tblPrEx>
        <w:trPr>
          <w:trHeight w:val="633"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标的名称</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规格</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单位</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单价（元）</w:t>
            </w:r>
          </w:p>
        </w:tc>
        <w:tc>
          <w:tcPr>
            <w:tcW w:w="136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rPr>
              <w:t>交付期（天）</w:t>
            </w:r>
          </w:p>
        </w:tc>
        <w:tc>
          <w:tcPr>
            <w:tcW w:w="200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备注</w:t>
            </w:r>
          </w:p>
        </w:tc>
      </w:tr>
      <w:tr>
        <w:tblPrEx>
          <w:tblLayout w:type="fixed"/>
          <w:tblCellMar>
            <w:top w:w="0" w:type="dxa"/>
            <w:left w:w="108" w:type="dxa"/>
            <w:bottom w:w="0" w:type="dxa"/>
            <w:right w:w="108" w:type="dxa"/>
          </w:tblCellMar>
        </w:tblPrEx>
        <w:trPr>
          <w:trHeight w:val="450" w:hRule="atLeast"/>
        </w:trPr>
        <w:tc>
          <w:tcPr>
            <w:tcW w:w="1433" w:type="dxa"/>
            <w:vMerge w:val="restart"/>
            <w:tcBorders>
              <w:top w:val="nil"/>
              <w:left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球墨铸铁</w:t>
            </w:r>
          </w:p>
        </w:tc>
        <w:tc>
          <w:tcPr>
            <w:tcW w:w="1276" w:type="dxa"/>
            <w:vMerge w:val="restart"/>
            <w:tcBorders>
              <w:top w:val="nil"/>
              <w:left w:val="nil"/>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QT500-7</w:t>
            </w:r>
          </w:p>
        </w:tc>
        <w:tc>
          <w:tcPr>
            <w:tcW w:w="1134" w:type="dxa"/>
            <w:tcBorders>
              <w:top w:val="nil"/>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￠20</w:t>
            </w:r>
          </w:p>
        </w:tc>
        <w:tc>
          <w:tcPr>
            <w:tcW w:w="850" w:type="dxa"/>
            <w:vMerge w:val="restart"/>
            <w:tcBorders>
              <w:top w:val="nil"/>
              <w:left w:val="nil"/>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hint="eastAsia" w:ascii="宋体" w:hAnsi="宋体" w:cs="宋体"/>
                <w:b/>
                <w:color w:val="000000"/>
                <w:kern w:val="0"/>
                <w:sz w:val="22"/>
              </w:rPr>
              <w:t>公斤</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 w:val="22"/>
              </w:rPr>
            </w:pPr>
          </w:p>
        </w:tc>
        <w:tc>
          <w:tcPr>
            <w:tcW w:w="1365" w:type="dxa"/>
            <w:tcBorders>
              <w:top w:val="single" w:color="auto" w:sz="4" w:space="0"/>
              <w:left w:val="nil"/>
              <w:bottom w:val="single" w:color="auto" w:sz="4" w:space="0"/>
              <w:right w:val="single" w:color="auto" w:sz="4" w:space="0"/>
            </w:tcBorders>
          </w:tcPr>
          <w:p>
            <w:pPr>
              <w:widowControl/>
              <w:jc w:val="center"/>
              <w:rPr>
                <w:rFonts w:ascii="Arial" w:hAnsi="Arial" w:cs="Arial"/>
                <w:b/>
                <w:color w:val="333333"/>
                <w:szCs w:val="21"/>
                <w:shd w:val="clear" w:color="auto" w:fill="FFFFFF"/>
              </w:rPr>
            </w:pPr>
          </w:p>
        </w:tc>
        <w:tc>
          <w:tcPr>
            <w:tcW w:w="2003" w:type="dxa"/>
            <w:vMerge w:val="restart"/>
            <w:tcBorders>
              <w:top w:val="nil"/>
              <w:left w:val="single" w:color="auto" w:sz="4" w:space="0"/>
              <w:right w:val="single" w:color="auto" w:sz="4" w:space="0"/>
            </w:tcBorders>
            <w:shd w:val="clear" w:color="auto" w:fill="auto"/>
            <w:noWrap/>
            <w:vAlign w:val="center"/>
          </w:tcPr>
          <w:p>
            <w:pPr>
              <w:widowControl/>
              <w:jc w:val="center"/>
              <w:rPr>
                <w:rFonts w:ascii="宋体" w:hAnsi="宋体" w:cs="宋体"/>
                <w:b/>
                <w:color w:val="000000"/>
                <w:kern w:val="0"/>
                <w:sz w:val="22"/>
              </w:rPr>
            </w:pPr>
            <w:r>
              <w:rPr>
                <w:rFonts w:ascii="Arial" w:hAnsi="Arial" w:cs="Arial"/>
                <w:b/>
                <w:color w:val="333333"/>
                <w:szCs w:val="21"/>
                <w:shd w:val="clear" w:color="auto" w:fill="FFFFFF"/>
              </w:rPr>
              <w:t>GB/T1348-20</w:t>
            </w:r>
            <w:r>
              <w:rPr>
                <w:rFonts w:hint="eastAsia" w:ascii="Arial" w:hAnsi="Arial" w:cs="Arial"/>
                <w:b/>
                <w:color w:val="333333"/>
                <w:szCs w:val="21"/>
                <w:shd w:val="clear" w:color="auto" w:fill="FFFFFF"/>
              </w:rPr>
              <w:t>19</w:t>
            </w:r>
          </w:p>
        </w:tc>
      </w:tr>
      <w:tr>
        <w:tblPrEx>
          <w:tblLayout w:type="fixed"/>
          <w:tblCellMar>
            <w:top w:w="0" w:type="dxa"/>
            <w:left w:w="108" w:type="dxa"/>
            <w:bottom w:w="0" w:type="dxa"/>
            <w:right w:w="108" w:type="dxa"/>
          </w:tblCellMar>
        </w:tblPrEx>
        <w:trPr>
          <w:trHeight w:val="18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￠25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12"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￠35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75"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￠40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3"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￠45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￠50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￠55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63"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￠60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50"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￠65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￠70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￠75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￠80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￠85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￠90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￠95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￠100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￠120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pPr>
            <w:r>
              <w:rPr>
                <w:rFonts w:hint="eastAsia" w:ascii="宋体" w:hAnsi="宋体" w:cs="宋体"/>
                <w:color w:val="000000"/>
                <w:kern w:val="0"/>
                <w:sz w:val="22"/>
              </w:rPr>
              <w:t>￠150</w:t>
            </w:r>
          </w:p>
        </w:tc>
        <w:tc>
          <w:tcPr>
            <w:tcW w:w="850"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冷作模具钢</w:t>
            </w:r>
          </w:p>
        </w:tc>
        <w:tc>
          <w:tcPr>
            <w:tcW w:w="1276"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Cr12MoV</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b/>
                <w:color w:val="000000"/>
                <w:kern w:val="0"/>
                <w:sz w:val="22"/>
              </w:rPr>
              <w:t>￠20</w:t>
            </w:r>
          </w:p>
        </w:tc>
        <w:tc>
          <w:tcPr>
            <w:tcW w:w="850"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公斤</w:t>
            </w: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r>
              <w:rPr>
                <w:rFonts w:ascii="Arial" w:hAnsi="Arial" w:cs="Arial"/>
                <w:color w:val="333333"/>
                <w:szCs w:val="21"/>
                <w:shd w:val="clear" w:color="auto" w:fill="FFFFFF"/>
              </w:rPr>
              <w:t>GB/T34564.1-2017</w:t>
            </w: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￠25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￠35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￠40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￠45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￠50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￠55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￠60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￠65</w:t>
            </w:r>
          </w:p>
        </w:tc>
        <w:tc>
          <w:tcPr>
            <w:tcW w:w="850"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冷作模具钢</w:t>
            </w:r>
          </w:p>
        </w:tc>
        <w:tc>
          <w:tcPr>
            <w:tcW w:w="1276"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ascii="宋体" w:hAnsi="宋体" w:cs="宋体"/>
                <w:color w:val="000000"/>
                <w:kern w:val="0"/>
                <w:sz w:val="22"/>
                <w:szCs w:val="22"/>
              </w:rPr>
              <w:t>Cr12MoV</w:t>
            </w: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￠70</w:t>
            </w:r>
          </w:p>
        </w:tc>
        <w:tc>
          <w:tcPr>
            <w:tcW w:w="850" w:type="dxa"/>
            <w:vMerge w:val="restart"/>
            <w:tcBorders>
              <w:top w:val="single" w:color="auto" w:sz="4" w:space="0"/>
              <w:left w:val="nil"/>
              <w:right w:val="single" w:color="auto" w:sz="4" w:space="0"/>
            </w:tcBorders>
            <w:shd w:val="clear" w:color="auto" w:fill="auto"/>
            <w:noWrap/>
            <w:vAlign w:val="center"/>
          </w:tcPr>
          <w:p>
            <w:pPr>
              <w:jc w:val="center"/>
              <w:rPr>
                <w:rFonts w:ascii="宋体" w:hAnsi="宋体" w:cs="宋体"/>
                <w:color w:val="000000"/>
                <w:kern w:val="0"/>
                <w:sz w:val="22"/>
              </w:rPr>
            </w:pPr>
            <w:r>
              <w:rPr>
                <w:rFonts w:hint="eastAsia" w:ascii="宋体" w:hAnsi="宋体" w:cs="宋体"/>
                <w:color w:val="000000"/>
                <w:kern w:val="0"/>
                <w:sz w:val="22"/>
              </w:rPr>
              <w:t>公斤</w:t>
            </w: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restart"/>
            <w:tcBorders>
              <w:top w:val="single" w:color="auto" w:sz="4" w:space="0"/>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r>
              <w:rPr>
                <w:rFonts w:ascii="Arial" w:hAnsi="Arial" w:cs="Arial"/>
                <w:color w:val="333333"/>
                <w:szCs w:val="21"/>
                <w:shd w:val="clear" w:color="auto" w:fill="FFFFFF"/>
              </w:rPr>
              <w:t>GB/T34564.1-2017</w:t>
            </w: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￠75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￠80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￠85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￠90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￠95</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￠100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￠120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￠130</w:t>
            </w:r>
          </w:p>
        </w:tc>
        <w:tc>
          <w:tcPr>
            <w:tcW w:w="850" w:type="dxa"/>
            <w:vMerge w:val="continue"/>
            <w:tcBorders>
              <w:left w:val="nil"/>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r>
        <w:tblPrEx>
          <w:tblLayout w:type="fixed"/>
          <w:tblCellMar>
            <w:top w:w="0" w:type="dxa"/>
            <w:left w:w="108" w:type="dxa"/>
            <w:bottom w:w="0" w:type="dxa"/>
            <w:right w:w="108" w:type="dxa"/>
          </w:tblCellMar>
        </w:tblPrEx>
        <w:trPr>
          <w:trHeight w:val="137" w:hRule="atLeast"/>
        </w:trPr>
        <w:tc>
          <w:tcPr>
            <w:tcW w:w="143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134" w:type="dxa"/>
            <w:tcBorders>
              <w:top w:val="single" w:color="auto" w:sz="4" w:space="0"/>
              <w:left w:val="nil"/>
              <w:bottom w:val="single" w:color="auto" w:sz="4" w:space="0"/>
              <w:right w:val="single" w:color="auto" w:sz="4" w:space="0"/>
            </w:tcBorders>
            <w:shd w:val="clear" w:color="auto" w:fill="auto"/>
            <w:noWrap/>
          </w:tcPr>
          <w:p>
            <w:pPr>
              <w:jc w:val="center"/>
              <w:rPr>
                <w:rFonts w:ascii="宋体" w:hAnsi="宋体" w:cs="宋体"/>
                <w:color w:val="000000"/>
                <w:kern w:val="0"/>
                <w:sz w:val="22"/>
              </w:rPr>
            </w:pPr>
            <w:r>
              <w:rPr>
                <w:rFonts w:hint="eastAsia" w:ascii="宋体" w:hAnsi="宋体" w:cs="宋体"/>
                <w:color w:val="000000"/>
                <w:kern w:val="0"/>
                <w:sz w:val="22"/>
              </w:rPr>
              <w:t>￠150</w:t>
            </w:r>
          </w:p>
        </w:tc>
        <w:tc>
          <w:tcPr>
            <w:tcW w:w="850" w:type="dxa"/>
            <w:vMerge w:val="continue"/>
            <w:tcBorders>
              <w:left w:val="nil"/>
              <w:bottom w:val="single" w:color="auto" w:sz="4" w:space="0"/>
              <w:right w:val="single" w:color="auto" w:sz="4" w:space="0"/>
            </w:tcBorders>
            <w:shd w:val="clear" w:color="auto" w:fill="auto"/>
            <w:noWrap/>
            <w:vAlign w:val="center"/>
          </w:tcPr>
          <w:p>
            <w:pPr>
              <w:jc w:val="center"/>
              <w:rPr>
                <w:rFonts w:ascii="宋体" w:hAnsi="宋体" w:cs="宋体"/>
                <w:color w:val="000000"/>
                <w:kern w:val="0"/>
                <w:sz w:val="22"/>
              </w:rPr>
            </w:pPr>
          </w:p>
        </w:tc>
        <w:tc>
          <w:tcPr>
            <w:tcW w:w="1276" w:type="dxa"/>
            <w:tcBorders>
              <w:top w:val="single" w:color="auto" w:sz="4" w:space="0"/>
              <w:left w:val="nil"/>
              <w:bottom w:val="single" w:color="auto" w:sz="4" w:space="0"/>
              <w:right w:val="single" w:color="auto" w:sz="4" w:space="0"/>
            </w:tcBorders>
            <w:shd w:val="clear" w:color="auto" w:fill="auto"/>
            <w:noWrap/>
          </w:tcPr>
          <w:p>
            <w:pPr>
              <w:jc w:val="center"/>
            </w:pPr>
          </w:p>
        </w:tc>
        <w:tc>
          <w:tcPr>
            <w:tcW w:w="1365" w:type="dxa"/>
            <w:tcBorders>
              <w:top w:val="single" w:color="auto" w:sz="4" w:space="0"/>
              <w:left w:val="nil"/>
              <w:bottom w:val="single" w:color="auto" w:sz="4" w:space="0"/>
              <w:right w:val="single" w:color="auto" w:sz="4" w:space="0"/>
            </w:tcBorders>
          </w:tcPr>
          <w:p>
            <w:pPr>
              <w:jc w:val="center"/>
              <w:rPr>
                <w:rFonts w:ascii="Arial" w:hAnsi="Arial" w:cs="Arial"/>
                <w:color w:val="333333"/>
                <w:szCs w:val="21"/>
                <w:shd w:val="clear" w:color="auto" w:fill="FFFFFF"/>
              </w:rPr>
            </w:pPr>
          </w:p>
        </w:tc>
        <w:tc>
          <w:tcPr>
            <w:tcW w:w="2003" w:type="dxa"/>
            <w:vMerge w:val="continue"/>
            <w:tcBorders>
              <w:left w:val="single" w:color="auto" w:sz="4" w:space="0"/>
              <w:bottom w:val="single" w:color="auto" w:sz="4" w:space="0"/>
              <w:right w:val="single" w:color="auto" w:sz="4" w:space="0"/>
            </w:tcBorders>
            <w:shd w:val="clear" w:color="auto" w:fill="auto"/>
            <w:noWrap/>
            <w:vAlign w:val="center"/>
          </w:tcPr>
          <w:p>
            <w:pPr>
              <w:jc w:val="center"/>
              <w:rPr>
                <w:rFonts w:ascii="Arial" w:hAnsi="Arial" w:cs="Arial"/>
                <w:color w:val="333333"/>
                <w:szCs w:val="21"/>
                <w:shd w:val="clear" w:color="auto" w:fill="FFFFFF"/>
              </w:rPr>
            </w:pPr>
          </w:p>
        </w:tc>
      </w:tr>
    </w:tbl>
    <w:p>
      <w:pPr>
        <w:spacing w:line="460" w:lineRule="exact"/>
        <w:rPr>
          <w:rFonts w:asciiTheme="majorEastAsia" w:hAnsiTheme="majorEastAsia" w:eastAsiaTheme="majorEastAsia"/>
          <w:sz w:val="28"/>
          <w:szCs w:val="28"/>
        </w:rPr>
      </w:pPr>
      <w:r>
        <w:rPr>
          <w:rFonts w:hint="eastAsia" w:ascii="仿宋" w:hAnsi="仿宋" w:eastAsia="仿宋"/>
          <w:sz w:val="28"/>
          <w:szCs w:val="28"/>
        </w:rPr>
        <w:t>备注：</w:t>
      </w:r>
      <w:r>
        <w:rPr>
          <w:rFonts w:hint="eastAsia" w:asciiTheme="majorEastAsia" w:hAnsiTheme="majorEastAsia" w:eastAsiaTheme="majorEastAsia"/>
          <w:sz w:val="28"/>
          <w:szCs w:val="28"/>
        </w:rPr>
        <w:t>含税单价（</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%的增值税专用发票）</w:t>
      </w:r>
    </w:p>
    <w:p>
      <w:pPr>
        <w:spacing w:line="46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712" w:firstLineChars="297"/>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rPr>
        <w:lang w:val="zh-CN"/>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211D"/>
    <w:rsid w:val="0024046B"/>
    <w:rsid w:val="00BB211D"/>
    <w:rsid w:val="00DF01B3"/>
    <w:rsid w:val="00DF4BE5"/>
    <w:rsid w:val="04563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7"/>
    <w:qFormat/>
    <w:uiPriority w:val="99"/>
    <w:rPr>
      <w:rFonts w:ascii="宋体" w:hAnsi="Courier New"/>
      <w:kern w:val="0"/>
      <w:szCs w:val="21"/>
    </w:rPr>
  </w:style>
  <w:style w:type="paragraph" w:styleId="3">
    <w:name w:val="Date"/>
    <w:basedOn w:val="1"/>
    <w:next w:val="1"/>
    <w:link w:val="8"/>
    <w:qFormat/>
    <w:uiPriority w:val="99"/>
    <w:pPr>
      <w:ind w:left="100" w:leftChars="2500"/>
    </w:pPr>
    <w:rPr>
      <w:kern w:val="0"/>
      <w:sz w:val="24"/>
    </w:rPr>
  </w:style>
  <w:style w:type="paragraph" w:styleId="4">
    <w:name w:val="footer"/>
    <w:basedOn w:val="1"/>
    <w:link w:val="9"/>
    <w:qFormat/>
    <w:uiPriority w:val="99"/>
    <w:pPr>
      <w:tabs>
        <w:tab w:val="center" w:pos="4153"/>
        <w:tab w:val="right" w:pos="8306"/>
      </w:tabs>
      <w:snapToGrid w:val="0"/>
      <w:jc w:val="left"/>
    </w:pPr>
    <w:rPr>
      <w:kern w:val="0"/>
      <w:sz w:val="18"/>
      <w:szCs w:val="18"/>
    </w:rPr>
  </w:style>
  <w:style w:type="character" w:customStyle="1" w:styleId="7">
    <w:name w:val="纯文本 Char"/>
    <w:basedOn w:val="6"/>
    <w:link w:val="2"/>
    <w:qFormat/>
    <w:uiPriority w:val="99"/>
    <w:rPr>
      <w:rFonts w:ascii="宋体" w:hAnsi="Courier New" w:eastAsia="宋体" w:cs="Times New Roman"/>
      <w:kern w:val="0"/>
      <w:szCs w:val="21"/>
    </w:rPr>
  </w:style>
  <w:style w:type="character" w:customStyle="1" w:styleId="8">
    <w:name w:val="日期 Char"/>
    <w:basedOn w:val="6"/>
    <w:link w:val="3"/>
    <w:qFormat/>
    <w:uiPriority w:val="99"/>
    <w:rPr>
      <w:rFonts w:ascii="Times New Roman" w:hAnsi="Times New Roman" w:eastAsia="宋体" w:cs="Times New Roman"/>
      <w:kern w:val="0"/>
      <w:sz w:val="24"/>
      <w:szCs w:val="24"/>
    </w:rPr>
  </w:style>
  <w:style w:type="character" w:customStyle="1" w:styleId="9">
    <w:name w:val="页脚 Char"/>
    <w:basedOn w:val="6"/>
    <w:link w:val="4"/>
    <w:qFormat/>
    <w:uiPriority w:val="99"/>
    <w:rPr>
      <w:rFonts w:ascii="Times New Roman" w:hAnsi="Times New Roman" w:eastAsia="宋体" w:cs="Times New Roman"/>
      <w:kern w:val="0"/>
      <w:sz w:val="18"/>
      <w:szCs w:val="18"/>
    </w:rPr>
  </w:style>
  <w:style w:type="paragraph" w:customStyle="1" w:styleId="10">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1167</Words>
  <Characters>6658</Characters>
  <Lines>55</Lines>
  <Paragraphs>15</Paragraphs>
  <TotalTime>10</TotalTime>
  <ScaleCrop>false</ScaleCrop>
  <LinksUpToDate>false</LinksUpToDate>
  <CharactersWithSpaces>7810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2022-01-25T10:54:00Z</dcterms:created>
  <dc:creator>微软用户</dc:creator>
  <cp:lastModifiedBy>Administrator</cp:lastModifiedBy>
  <dcterms:modified xsi:type="dcterms:W3CDTF">2023-02-23T02:20:04Z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