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DYGM-WZDD-2023-21</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金刚石砂轮采购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w:t>
      </w:r>
      <w:r>
        <w:rPr>
          <w:rFonts w:hint="eastAsia" w:hAnsi="宋体"/>
          <w:b/>
          <w:sz w:val="36"/>
          <w:szCs w:val="36"/>
          <w:lang w:val="en-US" w:eastAsia="zh-CN"/>
        </w:rPr>
        <w:t>0</w:t>
      </w:r>
      <w:r>
        <w:rPr>
          <w:rFonts w:hint="eastAsia" w:hAnsi="宋体"/>
          <w:b/>
          <w:sz w:val="36"/>
          <w:szCs w:val="36"/>
        </w:rPr>
        <w:t>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b/>
          <w:sz w:val="24"/>
          <w:u w:val="single"/>
        </w:rPr>
        <w:t>金刚石砂轮采购</w:t>
      </w:r>
      <w:r>
        <w:rPr>
          <w:rFonts w:hint="eastAsia" w:asciiTheme="minorEastAsia" w:hAnsiTheme="minorEastAsia" w:eastAsiaTheme="minorEastAsia"/>
          <w:sz w:val="24"/>
        </w:rPr>
        <w:t>项目面向社会比选合格供应商。公司本着“公开、公平、公正”的原则和“互利共赢、共同发展”的理念，热忱欢迎有意愿与我公司合作的潜在供应商积极参与询价采购。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项目内容：金刚石砂轮采购项目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（一）具</w:t>
      </w:r>
      <w:r>
        <w:rPr>
          <w:rFonts w:asciiTheme="minorEastAsia" w:hAnsiTheme="minorEastAsia" w:eastAsiaTheme="minorEastAsia"/>
          <w:sz w:val="24"/>
        </w:rPr>
        <w:t>有独立承担民事责任的能力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w:t>
      </w:r>
      <w:r>
        <w:rPr>
          <w:rFonts w:asciiTheme="minorEastAsia" w:hAnsiTheme="minorEastAsia" w:eastAsiaTheme="minorEastAsia"/>
          <w:sz w:val="24"/>
        </w:rPr>
        <w:t>具有</w:t>
      </w:r>
      <w:r>
        <w:rPr>
          <w:rFonts w:hint="eastAsia" w:asciiTheme="minorEastAsia" w:hAnsiTheme="minorEastAsia" w:eastAsiaTheme="minorEastAsia"/>
          <w:sz w:val="24"/>
        </w:rPr>
        <w:t>履行</w:t>
      </w:r>
      <w:r>
        <w:rPr>
          <w:rFonts w:asciiTheme="minorEastAsia" w:hAnsiTheme="minorEastAsia" w:eastAsiaTheme="minorEastAsia"/>
          <w:sz w:val="24"/>
        </w:rPr>
        <w:t>合同</w:t>
      </w:r>
      <w:r>
        <w:rPr>
          <w:rFonts w:hint="eastAsia" w:asciiTheme="minorEastAsia" w:hAnsiTheme="minorEastAsia" w:eastAsiaTheme="minorEastAsia"/>
          <w:sz w:val="24"/>
        </w:rPr>
        <w:t>所</w:t>
      </w:r>
      <w:r>
        <w:rPr>
          <w:rFonts w:asciiTheme="minorEastAsia" w:hAnsiTheme="minorEastAsia" w:eastAsiaTheme="minorEastAsia"/>
          <w:sz w:val="24"/>
        </w:rPr>
        <w:t>必需的</w:t>
      </w:r>
      <w:r>
        <w:rPr>
          <w:rFonts w:hint="eastAsia" w:asciiTheme="minorEastAsia" w:hAnsiTheme="minorEastAsia" w:eastAsiaTheme="minorEastAsia"/>
          <w:sz w:val="24"/>
        </w:rPr>
        <w:t>设备</w:t>
      </w:r>
      <w:r>
        <w:rPr>
          <w:rFonts w:asciiTheme="minorEastAsia" w:hAnsiTheme="minorEastAsia" w:eastAsiaTheme="minorEastAsia"/>
          <w:sz w:val="24"/>
        </w:rPr>
        <w:t>和</w:t>
      </w:r>
      <w:r>
        <w:rPr>
          <w:rFonts w:hint="eastAsia" w:asciiTheme="minorEastAsia" w:hAnsiTheme="minorEastAsia" w:eastAsiaTheme="minorEastAsia"/>
          <w:sz w:val="24"/>
        </w:rPr>
        <w:t>专业</w:t>
      </w:r>
      <w:r>
        <w:rPr>
          <w:rFonts w:asciiTheme="minorEastAsia" w:hAnsiTheme="minorEastAsia" w:eastAsiaTheme="minorEastAsia"/>
          <w:sz w:val="24"/>
        </w:rPr>
        <w:t>技术能力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（三）能提供和本业务相符的增值税专用发票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asciiTheme="minorEastAsia" w:hAnsiTheme="minorEastAsia" w:eastAsiaTheme="minorEastAsia"/>
          <w:sz w:val="24"/>
        </w:rPr>
        <w:t xml:space="preserve"> </w:t>
      </w:r>
      <w:r>
        <w:rPr>
          <w:rFonts w:hint="eastAsia" w:asciiTheme="minorEastAsia" w:hAnsiTheme="minorEastAsia" w:eastAsiaTheme="minorEastAsia"/>
          <w:sz w:val="24"/>
        </w:rPr>
        <w:t>年2月</w:t>
      </w:r>
      <w:r>
        <w:rPr>
          <w:rFonts w:hint="eastAsia" w:asciiTheme="minorEastAsia" w:hAnsiTheme="minorEastAsia" w:eastAsiaTheme="minorEastAsia"/>
          <w:sz w:val="24"/>
          <w:lang w:val="en-US" w:eastAsia="zh-CN"/>
        </w:rPr>
        <w:t>22</w:t>
      </w:r>
      <w:r>
        <w:rPr>
          <w:rFonts w:hint="eastAsia" w:asciiTheme="minorEastAsia" w:hAnsiTheme="minorEastAsia" w:eastAsiaTheme="minorEastAsia"/>
          <w:sz w:val="24"/>
        </w:rPr>
        <w:t>日</w:t>
      </w:r>
      <w:r>
        <w:rPr>
          <w:rFonts w:asciiTheme="minorEastAsia" w:hAnsiTheme="minorEastAsia" w:eastAsiaTheme="minorEastAsia"/>
          <w:sz w:val="24"/>
        </w:rPr>
        <w:t>—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（七）全部比价文件资料需装</w:t>
      </w:r>
      <w:r>
        <w:rPr>
          <w:rFonts w:asciiTheme="minorEastAsia" w:hAnsiTheme="minorEastAsia" w:eastAsiaTheme="minorEastAsia"/>
          <w:sz w:val="24"/>
        </w:rPr>
        <w:t>订成册</w:t>
      </w:r>
      <w:r>
        <w:rPr>
          <w:rFonts w:hint="eastAsia" w:asciiTheme="minorEastAsia" w:hAnsiTheme="minorEastAsia" w:eastAsiaTheme="minorEastAsia"/>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w:t>
      </w:r>
      <w:r>
        <w:rPr>
          <w:rFonts w:hint="eastAsia" w:asciiTheme="minorEastAsia" w:hAnsiTheme="minorEastAsia" w:eastAsiaTheme="minorEastAsia"/>
          <w:sz w:val="24"/>
          <w:lang w:val="en-US" w:eastAsia="zh-CN"/>
        </w:rPr>
        <w:t>0</w:t>
      </w:r>
      <w:r>
        <w:rPr>
          <w:rFonts w:hint="eastAsia" w:asciiTheme="minorEastAsia" w:hAnsiTheme="minorEastAsia" w:eastAsiaTheme="minorEastAsia"/>
          <w:sz w:val="24"/>
        </w:rPr>
        <w:t>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w:t>
      </w:r>
      <w:r>
        <w:rPr>
          <w:rFonts w:hint="eastAsia" w:asciiTheme="minorEastAsia" w:hAnsiTheme="minorEastAsia" w:eastAsiaTheme="minorEastAsia"/>
          <w:sz w:val="24"/>
          <w:lang w:eastAsia="zh-CN"/>
        </w:rPr>
        <w:t>二十二</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DYGM-WZDD-2023-21</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甲方（需求方）：丹阳光明光电有限公司    地址：江苏省丹阳市开发区九曲路2</w:t>
      </w:r>
      <w:r>
        <w:rPr>
          <w:rFonts w:asciiTheme="majorEastAsia" w:hAnsiTheme="majorEastAsia" w:eastAsiaTheme="majorEastAsia"/>
          <w:sz w:val="24"/>
        </w:rPr>
        <w:t>98</w:t>
      </w:r>
      <w:r>
        <w:rPr>
          <w:rFonts w:hint="eastAsia" w:asciiTheme="majorEastAsia" w:hAnsiTheme="majorEastAsia" w:eastAsiaTheme="majorEastAsia"/>
          <w:sz w:val="24"/>
        </w:rPr>
        <w:t>号</w:t>
      </w:r>
    </w:p>
    <w:p>
      <w:pPr>
        <w:spacing w:line="360" w:lineRule="auto"/>
        <w:ind w:left="-4" w:leftChars="-2"/>
        <w:rPr>
          <w:rFonts w:asciiTheme="majorEastAsia" w:hAnsiTheme="majorEastAsia" w:eastAsiaTheme="majorEastAsia"/>
          <w:sz w:val="24"/>
        </w:rPr>
      </w:pPr>
      <w:r>
        <w:rPr>
          <w:rFonts w:hint="eastAsia" w:asciiTheme="majorEastAsia" w:hAnsiTheme="majorEastAsia" w:eastAsiaTheme="majorEastAsia"/>
          <w:sz w:val="24"/>
        </w:rPr>
        <w:t>乙方（供应方）：                        地址：</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   甲方向乙方开展202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年度金刚石砂轮定点采购项目，为保证双方权利和义务，特订立本协议（合同），以便共同遵守。</w:t>
      </w:r>
    </w:p>
    <w:p>
      <w:pPr>
        <w:spacing w:line="360" w:lineRule="auto"/>
        <w:ind w:firstLine="360" w:firstLineChars="150"/>
        <w:rPr>
          <w:rFonts w:asciiTheme="majorEastAsia" w:hAnsiTheme="majorEastAsia" w:eastAsiaTheme="majorEastAsia"/>
          <w:sz w:val="24"/>
        </w:rPr>
      </w:pPr>
      <w:r>
        <w:rPr>
          <w:rFonts w:hint="eastAsia" w:asciiTheme="majorEastAsia" w:hAnsiTheme="majorEastAsia" w:eastAsiaTheme="majorEastAsia"/>
          <w:sz w:val="24"/>
        </w:rPr>
        <w:t>采购内容：202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年度金刚石砂轮片定点采购；</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甲方责任和义务</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（1）甲方负责向乙方发出采购订单；</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（2）甲方负责向乙方提供与采购订单的产品的规格、型号及技术要求，包括但不限于工艺技术标准、质量标准等；</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（3）在乙方按甲方要求完成采购订单任务且交付后，经过甲方受入检合格，甲方应按合同约定对乙方进行结算。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乙方责任与义务</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（1）乙方负责按照甲方提供的采购订单要求，按质、按量、按期交货。</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）乙方对甲方提供的技术、质量文件资料负完全保密责任，不得将相关资料泄露给任何第三方；否则一经查实，甲方有权取消乙方定点供应商资格。</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四、产品质量标准：以甲方提供的产品规格、型号及技术要求为准。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五、验收标准及方法：按照甲方提供的规格、型号、技术要求、质量管理标准执行，若验收不合格并按照以下规定执行：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（1）由乙方负责调换或重新制作，并承担由此造成的一切损失。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）在协议执行过程中若发生</w:t>
      </w:r>
      <w:r>
        <w:rPr>
          <w:rFonts w:asciiTheme="majorEastAsia" w:hAnsiTheme="majorEastAsia" w:eastAsiaTheme="majorEastAsia"/>
          <w:sz w:val="24"/>
        </w:rPr>
        <w:t>5</w:t>
      </w:r>
      <w:r>
        <w:rPr>
          <w:rFonts w:hint="eastAsia" w:asciiTheme="majorEastAsia" w:hAnsiTheme="majorEastAsia" w:eastAsiaTheme="majorEastAsia"/>
          <w:sz w:val="24"/>
        </w:rPr>
        <w:t>次以上不合格的，甲方有权解除协议。</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六、运输方式：采购的产品由乙方送达甲方公司。运费及运输途中的一切风险由乙方承担。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七、纳期：交货期按照单次采购订单为准，任何一方要求提前或延期的，应当事先与对方达成协议，并按协议执行。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八、合同期限及费用结算：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（1）合同期限：202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   月  日至 202</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年   月   日。</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（2）结算方式：月结算。上月26日至下月25日作为结算起止日期。</w:t>
      </w:r>
    </w:p>
    <w:p>
      <w:pPr>
        <w:spacing w:line="460" w:lineRule="exact"/>
        <w:rPr>
          <w:rFonts w:asciiTheme="majorEastAsia" w:hAnsiTheme="majorEastAsia" w:eastAsiaTheme="majorEastAsia"/>
          <w:color w:val="FF0000"/>
          <w:sz w:val="24"/>
        </w:rPr>
      </w:pPr>
      <w:r>
        <w:rPr>
          <w:rFonts w:hint="eastAsia" w:asciiTheme="majorEastAsia" w:hAnsiTheme="majorEastAsia" w:eastAsiaTheme="majorEastAsia"/>
          <w:sz w:val="24"/>
        </w:rPr>
        <w:t>（3）结算流程：甲方采购员应在结算截止日后2天内对当月验收合格后的采购产品进行统计，编制结算清单发送给乙方，乙方确认无误后，</w:t>
      </w:r>
      <w:r>
        <w:rPr>
          <w:rFonts w:hint="eastAsia" w:asciiTheme="majorEastAsia" w:hAnsiTheme="majorEastAsia" w:eastAsiaTheme="majorEastAsia"/>
          <w:color w:val="FF0000"/>
          <w:sz w:val="24"/>
        </w:rPr>
        <w:t>开具增值税专用发票</w:t>
      </w:r>
      <w:r>
        <w:rPr>
          <w:rFonts w:hint="eastAsia" w:asciiTheme="majorEastAsia" w:hAnsiTheme="majorEastAsia" w:eastAsiaTheme="majorEastAsia"/>
          <w:sz w:val="24"/>
        </w:rPr>
        <w:t>；甲方收到发票后</w:t>
      </w:r>
      <w:r>
        <w:rPr>
          <w:rFonts w:asciiTheme="majorEastAsia" w:hAnsiTheme="majorEastAsia" w:eastAsiaTheme="majorEastAsia"/>
          <w:sz w:val="24"/>
        </w:rPr>
        <w:t>10</w:t>
      </w:r>
      <w:r>
        <w:rPr>
          <w:rFonts w:hint="eastAsia" w:asciiTheme="majorEastAsia" w:hAnsiTheme="majorEastAsia" w:eastAsiaTheme="majorEastAsia"/>
          <w:sz w:val="24"/>
        </w:rPr>
        <w:t>日内付款。</w:t>
      </w:r>
      <w:r>
        <w:rPr>
          <w:rFonts w:hint="eastAsia" w:asciiTheme="majorEastAsia" w:hAnsiTheme="majorEastAsia" w:eastAsiaTheme="majorEastAsia"/>
          <w:color w:val="FF0000"/>
          <w:sz w:val="24"/>
        </w:rPr>
        <w:t>由于乙方开具发票不符合相关法规要求，给甲方造成的涉税损失由乙方全额承担。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九、采购业务内容</w:t>
      </w:r>
    </w:p>
    <w:tbl>
      <w:tblPr>
        <w:tblStyle w:val="15"/>
        <w:tblW w:w="11020" w:type="dxa"/>
        <w:tblInd w:w="-963" w:type="dxa"/>
        <w:tblLayout w:type="fixed"/>
        <w:tblCellMar>
          <w:top w:w="0" w:type="dxa"/>
          <w:left w:w="108" w:type="dxa"/>
          <w:bottom w:w="0" w:type="dxa"/>
          <w:right w:w="108" w:type="dxa"/>
        </w:tblCellMar>
      </w:tblPr>
      <w:tblGrid>
        <w:gridCol w:w="1600"/>
        <w:gridCol w:w="2100"/>
        <w:gridCol w:w="2620"/>
        <w:gridCol w:w="920"/>
        <w:gridCol w:w="1180"/>
        <w:gridCol w:w="1180"/>
        <w:gridCol w:w="1420"/>
      </w:tblGrid>
      <w:tr>
        <w:tblPrEx>
          <w:tblLayout w:type="fixed"/>
          <w:tblCellMar>
            <w:top w:w="0" w:type="dxa"/>
            <w:left w:w="108" w:type="dxa"/>
            <w:bottom w:w="0" w:type="dxa"/>
            <w:right w:w="108" w:type="dxa"/>
          </w:tblCellMar>
        </w:tblPrEx>
        <w:trPr>
          <w:trHeight w:val="810" w:hRule="atLeast"/>
        </w:trPr>
        <w:tc>
          <w:tcPr>
            <w:tcW w:w="16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序号</w:t>
            </w:r>
          </w:p>
        </w:tc>
        <w:tc>
          <w:tcPr>
            <w:tcW w:w="21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物资名称</w:t>
            </w:r>
          </w:p>
        </w:tc>
        <w:tc>
          <w:tcPr>
            <w:tcW w:w="26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型号</w:t>
            </w:r>
          </w:p>
        </w:tc>
        <w:tc>
          <w:tcPr>
            <w:tcW w:w="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单位</w:t>
            </w:r>
          </w:p>
        </w:tc>
        <w:tc>
          <w:tcPr>
            <w:tcW w:w="11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单价</w:t>
            </w:r>
          </w:p>
        </w:tc>
        <w:tc>
          <w:tcPr>
            <w:tcW w:w="11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交付期</w:t>
            </w:r>
          </w:p>
        </w:tc>
        <w:tc>
          <w:tcPr>
            <w:tcW w:w="14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备注</w:t>
            </w:r>
          </w:p>
        </w:tc>
      </w:tr>
      <w:tr>
        <w:tblPrEx>
          <w:tblLayout w:type="fixed"/>
          <w:tblCellMar>
            <w:top w:w="0" w:type="dxa"/>
            <w:left w:w="108" w:type="dxa"/>
            <w:bottom w:w="0" w:type="dxa"/>
            <w:right w:w="108" w:type="dxa"/>
          </w:tblCellMar>
        </w:tblPrEx>
        <w:trPr>
          <w:trHeight w:val="810" w:hRule="atLeast"/>
        </w:trPr>
        <w:tc>
          <w:tcPr>
            <w:tcW w:w="16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1</w:t>
            </w:r>
          </w:p>
        </w:tc>
        <w:tc>
          <w:tcPr>
            <w:tcW w:w="21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金刚石砂轮</w:t>
            </w:r>
          </w:p>
        </w:tc>
        <w:tc>
          <w:tcPr>
            <w:tcW w:w="2620" w:type="dxa"/>
            <w:tcBorders>
              <w:top w:val="nil"/>
              <w:left w:val="nil"/>
              <w:bottom w:val="single" w:color="auto" w:sz="4" w:space="0"/>
              <w:right w:val="single" w:color="auto" w:sz="4" w:space="0"/>
            </w:tcBorders>
            <w:shd w:val="clear" w:color="auto" w:fill="auto"/>
            <w:vAlign w:val="center"/>
          </w:tcPr>
          <w:p>
            <w:pPr>
              <w:widowControl/>
              <w:jc w:val="center"/>
              <w:rPr>
                <w:rFonts w:ascii="Calibri" w:hAnsi="Calibri" w:cs="Calibri"/>
                <w:color w:val="000000"/>
                <w:kern w:val="0"/>
                <w:sz w:val="22"/>
                <w:szCs w:val="22"/>
              </w:rPr>
            </w:pPr>
            <w:r>
              <w:rPr>
                <w:rFonts w:ascii="Calibri" w:hAnsi="Calibri" w:cs="Calibri"/>
                <w:color w:val="000000"/>
                <w:kern w:val="0"/>
                <w:sz w:val="22"/>
                <w:szCs w:val="22"/>
              </w:rPr>
              <w:t xml:space="preserve">150# </w:t>
            </w:r>
            <w:r>
              <w:rPr>
                <w:rFonts w:hint="eastAsia" w:ascii="宋体" w:hAnsi="宋体" w:cs="Calibri"/>
                <w:color w:val="000000"/>
                <w:kern w:val="0"/>
                <w:sz w:val="22"/>
                <w:szCs w:val="22"/>
              </w:rPr>
              <w:t>Ф</w:t>
            </w:r>
            <w:r>
              <w:rPr>
                <w:rFonts w:ascii="Calibri" w:hAnsi="Calibri" w:cs="Calibri"/>
                <w:color w:val="000000"/>
                <w:kern w:val="0"/>
                <w:sz w:val="22"/>
                <w:szCs w:val="22"/>
              </w:rPr>
              <w:t>200*</w:t>
            </w:r>
            <w:r>
              <w:rPr>
                <w:rFonts w:hint="eastAsia" w:ascii="宋体" w:hAnsi="宋体" w:cs="Calibri"/>
                <w:color w:val="000000"/>
                <w:kern w:val="0"/>
                <w:sz w:val="22"/>
                <w:szCs w:val="22"/>
              </w:rPr>
              <w:t>Ф</w:t>
            </w:r>
            <w:r>
              <w:rPr>
                <w:rFonts w:ascii="Calibri" w:hAnsi="Calibri" w:cs="Calibri"/>
                <w:color w:val="000000"/>
                <w:kern w:val="0"/>
                <w:sz w:val="22"/>
                <w:szCs w:val="22"/>
              </w:rPr>
              <w:t>18*20</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片</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Layout w:type="fixed"/>
          <w:tblCellMar>
            <w:top w:w="0" w:type="dxa"/>
            <w:left w:w="108" w:type="dxa"/>
            <w:bottom w:w="0" w:type="dxa"/>
            <w:right w:w="108" w:type="dxa"/>
          </w:tblCellMar>
        </w:tblPrEx>
        <w:trPr>
          <w:trHeight w:val="810" w:hRule="atLeast"/>
        </w:trPr>
        <w:tc>
          <w:tcPr>
            <w:tcW w:w="16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w:t>
            </w:r>
          </w:p>
        </w:tc>
        <w:tc>
          <w:tcPr>
            <w:tcW w:w="21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金刚石砂轮</w:t>
            </w:r>
          </w:p>
        </w:tc>
        <w:tc>
          <w:tcPr>
            <w:tcW w:w="26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120# </w:t>
            </w:r>
            <w:r>
              <w:rPr>
                <w:rFonts w:hint="eastAsia" w:ascii="宋体" w:hAnsi="宋体" w:cs="宋体"/>
                <w:color w:val="000000"/>
                <w:kern w:val="0"/>
                <w:sz w:val="22"/>
                <w:szCs w:val="22"/>
              </w:rPr>
              <w:t>Ф</w:t>
            </w:r>
            <w:r>
              <w:rPr>
                <w:rFonts w:ascii="Calibri" w:hAnsi="Calibri" w:eastAsia="仿宋_GB2312" w:cs="Calibri"/>
                <w:color w:val="000000"/>
                <w:kern w:val="0"/>
                <w:sz w:val="22"/>
                <w:szCs w:val="22"/>
              </w:rPr>
              <w:t>200*</w:t>
            </w:r>
            <w:r>
              <w:rPr>
                <w:rFonts w:hint="eastAsia" w:ascii="宋体" w:hAnsi="宋体" w:cs="宋体"/>
                <w:color w:val="000000"/>
                <w:kern w:val="0"/>
                <w:sz w:val="22"/>
                <w:szCs w:val="22"/>
              </w:rPr>
              <w:t>Ф</w:t>
            </w:r>
            <w:r>
              <w:rPr>
                <w:rFonts w:ascii="Calibri" w:hAnsi="Calibri" w:eastAsia="仿宋_GB2312" w:cs="Calibri"/>
                <w:color w:val="000000"/>
                <w:kern w:val="0"/>
                <w:sz w:val="22"/>
                <w:szCs w:val="22"/>
              </w:rPr>
              <w:t>18*20</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片</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Layout w:type="fixed"/>
          <w:tblCellMar>
            <w:top w:w="0" w:type="dxa"/>
            <w:left w:w="108" w:type="dxa"/>
            <w:bottom w:w="0" w:type="dxa"/>
            <w:right w:w="108" w:type="dxa"/>
          </w:tblCellMar>
        </w:tblPrEx>
        <w:trPr>
          <w:trHeight w:val="810" w:hRule="atLeast"/>
        </w:trPr>
        <w:tc>
          <w:tcPr>
            <w:tcW w:w="16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21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金刚石砂轮</w:t>
            </w:r>
          </w:p>
        </w:tc>
        <w:tc>
          <w:tcPr>
            <w:tcW w:w="26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100# </w:t>
            </w:r>
            <w:r>
              <w:rPr>
                <w:rFonts w:hint="eastAsia" w:ascii="宋体" w:hAnsi="宋体" w:cs="宋体"/>
                <w:color w:val="000000"/>
                <w:kern w:val="0"/>
                <w:sz w:val="22"/>
                <w:szCs w:val="22"/>
              </w:rPr>
              <w:t>Ф</w:t>
            </w:r>
            <w:r>
              <w:rPr>
                <w:rFonts w:ascii="Calibri" w:hAnsi="Calibri" w:eastAsia="仿宋_GB2312" w:cs="Calibri"/>
                <w:color w:val="000000"/>
                <w:kern w:val="0"/>
                <w:sz w:val="22"/>
                <w:szCs w:val="22"/>
              </w:rPr>
              <w:t>200*</w:t>
            </w:r>
            <w:r>
              <w:rPr>
                <w:rFonts w:hint="eastAsia" w:ascii="宋体" w:hAnsi="宋体" w:cs="宋体"/>
                <w:color w:val="000000"/>
                <w:kern w:val="0"/>
                <w:sz w:val="22"/>
                <w:szCs w:val="22"/>
              </w:rPr>
              <w:t>Ф</w:t>
            </w:r>
            <w:r>
              <w:rPr>
                <w:rFonts w:ascii="Calibri" w:hAnsi="Calibri" w:eastAsia="仿宋_GB2312" w:cs="Calibri"/>
                <w:color w:val="000000"/>
                <w:kern w:val="0"/>
                <w:sz w:val="22"/>
                <w:szCs w:val="22"/>
              </w:rPr>
              <w:t>18*20</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十、甲方的违约责任：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（1）中途无故解除协议，应承担由此造成的一切经济损失。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（2）甲方应提供的采购信息、技术要求应全面、完整，若因甲方提供的信息不完整造成的采购损失由甲方承担。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十一、乙方的违约责任：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（1）采购产品必须满足甲方质量，技术要求，未达到要求的，视实际情况承担相应责任；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w:t>
      </w:r>
      <w:r>
        <w:rPr>
          <w:rFonts w:hint="eastAsia" w:asciiTheme="majorEastAsia" w:hAnsiTheme="majorEastAsia" w:eastAsiaTheme="majorEastAsia"/>
          <w:color w:val="FF0000"/>
          <w:sz w:val="24"/>
        </w:rPr>
        <w:t>逾期交付产品，每逾期一天向甲方偿付该批产品采购费5%的违约金</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）乙方不得无故拒绝接收采购订单，否则，由此造成的一切损失由乙方承担。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十二、不在以上报价项目内的其他采购项目，将按照市场价进行报价，双方通过协商确定最终价格，以价格谈判表作为本协议（合同）的补充项。</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十三、本合同如发生纠纷，当事人双方应当及时协商解决，协商不成，由丹阳市人民法院处理。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十四、本合同未尽事宜，由双方共同协商，作出补充规定，补充规定与本合同具有同等法律效力。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十五、本合同一式三份，甲方两份，乙方一份，具有同等法律效力。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甲方（需求方）：（盖章）                   乙方（供应方）：（盖章）</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委托代理人：（签字）                      委托代理人：（签字）</w:t>
      </w:r>
    </w:p>
    <w:p>
      <w:pPr>
        <w:rPr>
          <w:rFonts w:asciiTheme="majorEastAsia" w:hAnsiTheme="majorEastAsia" w:eastAsiaTheme="majorEastAsia"/>
        </w:rPr>
      </w:pPr>
      <w:r>
        <w:rPr>
          <w:rFonts w:hint="eastAsia" w:asciiTheme="majorEastAsia" w:hAnsiTheme="majorEastAsia" w:eastAsiaTheme="majorEastAsia"/>
          <w:sz w:val="24"/>
        </w:rPr>
        <w:t xml:space="preserve">日期：                                   日期：        </w:t>
      </w: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项目名称：金刚石砂轮采购项目</w:t>
      </w:r>
    </w:p>
    <w:p>
      <w:pPr>
        <w:spacing w:line="540" w:lineRule="exact"/>
        <w:rPr>
          <w:rFonts w:asciiTheme="minorEastAsia" w:hAnsiTheme="minorEastAsia" w:eastAsiaTheme="minorEastAsia"/>
          <w:sz w:val="24"/>
        </w:rPr>
      </w:pPr>
    </w:p>
    <w:p>
      <w:pPr>
        <w:spacing w:line="540" w:lineRule="exact"/>
        <w:jc w:val="center"/>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bookmarkStart w:id="2" w:name="_GoBack"/>
      <w:bookmarkEnd w:id="2"/>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11020" w:type="dxa"/>
        <w:tblInd w:w="-821" w:type="dxa"/>
        <w:tblLayout w:type="fixed"/>
        <w:tblCellMar>
          <w:top w:w="0" w:type="dxa"/>
          <w:left w:w="108" w:type="dxa"/>
          <w:bottom w:w="0" w:type="dxa"/>
          <w:right w:w="108" w:type="dxa"/>
        </w:tblCellMar>
      </w:tblPr>
      <w:tblGrid>
        <w:gridCol w:w="1600"/>
        <w:gridCol w:w="2100"/>
        <w:gridCol w:w="2620"/>
        <w:gridCol w:w="920"/>
        <w:gridCol w:w="1180"/>
        <w:gridCol w:w="1180"/>
        <w:gridCol w:w="1420"/>
      </w:tblGrid>
      <w:tr>
        <w:tblPrEx>
          <w:tblLayout w:type="fixed"/>
          <w:tblCellMar>
            <w:top w:w="0" w:type="dxa"/>
            <w:left w:w="108" w:type="dxa"/>
            <w:bottom w:w="0" w:type="dxa"/>
            <w:right w:w="108" w:type="dxa"/>
          </w:tblCellMar>
        </w:tblPrEx>
        <w:trPr>
          <w:trHeight w:val="810" w:hRule="atLeast"/>
        </w:trPr>
        <w:tc>
          <w:tcPr>
            <w:tcW w:w="16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序号</w:t>
            </w:r>
          </w:p>
        </w:tc>
        <w:tc>
          <w:tcPr>
            <w:tcW w:w="21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物资名称</w:t>
            </w:r>
          </w:p>
        </w:tc>
        <w:tc>
          <w:tcPr>
            <w:tcW w:w="26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型号</w:t>
            </w:r>
          </w:p>
        </w:tc>
        <w:tc>
          <w:tcPr>
            <w:tcW w:w="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单位</w:t>
            </w:r>
          </w:p>
        </w:tc>
        <w:tc>
          <w:tcPr>
            <w:tcW w:w="11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单价</w:t>
            </w:r>
          </w:p>
        </w:tc>
        <w:tc>
          <w:tcPr>
            <w:tcW w:w="11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交付期</w:t>
            </w:r>
          </w:p>
        </w:tc>
        <w:tc>
          <w:tcPr>
            <w:tcW w:w="14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备注</w:t>
            </w:r>
          </w:p>
        </w:tc>
      </w:tr>
      <w:tr>
        <w:tblPrEx>
          <w:tblLayout w:type="fixed"/>
          <w:tblCellMar>
            <w:top w:w="0" w:type="dxa"/>
            <w:left w:w="108" w:type="dxa"/>
            <w:bottom w:w="0" w:type="dxa"/>
            <w:right w:w="108" w:type="dxa"/>
          </w:tblCellMar>
        </w:tblPrEx>
        <w:trPr>
          <w:trHeight w:val="810" w:hRule="atLeast"/>
        </w:trPr>
        <w:tc>
          <w:tcPr>
            <w:tcW w:w="16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1</w:t>
            </w:r>
          </w:p>
        </w:tc>
        <w:tc>
          <w:tcPr>
            <w:tcW w:w="21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金刚石砂轮</w:t>
            </w:r>
          </w:p>
        </w:tc>
        <w:tc>
          <w:tcPr>
            <w:tcW w:w="2620" w:type="dxa"/>
            <w:tcBorders>
              <w:top w:val="nil"/>
              <w:left w:val="nil"/>
              <w:bottom w:val="single" w:color="auto" w:sz="4" w:space="0"/>
              <w:right w:val="single" w:color="auto" w:sz="4" w:space="0"/>
            </w:tcBorders>
            <w:shd w:val="clear" w:color="auto" w:fill="auto"/>
            <w:vAlign w:val="center"/>
          </w:tcPr>
          <w:p>
            <w:pPr>
              <w:widowControl/>
              <w:jc w:val="center"/>
              <w:rPr>
                <w:rFonts w:ascii="Calibri" w:hAnsi="Calibri" w:cs="Calibri"/>
                <w:color w:val="000000"/>
                <w:kern w:val="0"/>
                <w:sz w:val="22"/>
                <w:szCs w:val="22"/>
              </w:rPr>
            </w:pPr>
            <w:r>
              <w:rPr>
                <w:rFonts w:ascii="Calibri" w:hAnsi="Calibri" w:cs="Calibri"/>
                <w:color w:val="000000"/>
                <w:kern w:val="0"/>
                <w:sz w:val="22"/>
                <w:szCs w:val="22"/>
              </w:rPr>
              <w:t xml:space="preserve">150# </w:t>
            </w:r>
            <w:r>
              <w:rPr>
                <w:rFonts w:hint="eastAsia" w:ascii="宋体" w:hAnsi="宋体" w:cs="Calibri"/>
                <w:color w:val="000000"/>
                <w:kern w:val="0"/>
                <w:sz w:val="22"/>
                <w:szCs w:val="22"/>
              </w:rPr>
              <w:t>Ф</w:t>
            </w:r>
            <w:r>
              <w:rPr>
                <w:rFonts w:ascii="Calibri" w:hAnsi="Calibri" w:cs="Calibri"/>
                <w:color w:val="000000"/>
                <w:kern w:val="0"/>
                <w:sz w:val="22"/>
                <w:szCs w:val="22"/>
              </w:rPr>
              <w:t>200*</w:t>
            </w:r>
            <w:r>
              <w:rPr>
                <w:rFonts w:hint="eastAsia" w:ascii="宋体" w:hAnsi="宋体" w:cs="Calibri"/>
                <w:color w:val="000000"/>
                <w:kern w:val="0"/>
                <w:sz w:val="22"/>
                <w:szCs w:val="22"/>
              </w:rPr>
              <w:t>Ф</w:t>
            </w:r>
            <w:r>
              <w:rPr>
                <w:rFonts w:ascii="Calibri" w:hAnsi="Calibri" w:cs="Calibri"/>
                <w:color w:val="000000"/>
                <w:kern w:val="0"/>
                <w:sz w:val="22"/>
                <w:szCs w:val="22"/>
              </w:rPr>
              <w:t>18*20</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片</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Layout w:type="fixed"/>
          <w:tblCellMar>
            <w:top w:w="0" w:type="dxa"/>
            <w:left w:w="108" w:type="dxa"/>
            <w:bottom w:w="0" w:type="dxa"/>
            <w:right w:w="108" w:type="dxa"/>
          </w:tblCellMar>
        </w:tblPrEx>
        <w:trPr>
          <w:trHeight w:val="810" w:hRule="atLeast"/>
        </w:trPr>
        <w:tc>
          <w:tcPr>
            <w:tcW w:w="16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w:t>
            </w:r>
          </w:p>
        </w:tc>
        <w:tc>
          <w:tcPr>
            <w:tcW w:w="21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金刚石砂轮</w:t>
            </w:r>
          </w:p>
        </w:tc>
        <w:tc>
          <w:tcPr>
            <w:tcW w:w="26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120# </w:t>
            </w:r>
            <w:r>
              <w:rPr>
                <w:rFonts w:hint="eastAsia" w:ascii="宋体" w:hAnsi="宋体" w:cs="宋体"/>
                <w:color w:val="000000"/>
                <w:kern w:val="0"/>
                <w:sz w:val="22"/>
                <w:szCs w:val="22"/>
              </w:rPr>
              <w:t>Ф</w:t>
            </w:r>
            <w:r>
              <w:rPr>
                <w:rFonts w:ascii="Calibri" w:hAnsi="Calibri" w:eastAsia="仿宋_GB2312" w:cs="Calibri"/>
                <w:color w:val="000000"/>
                <w:kern w:val="0"/>
                <w:sz w:val="22"/>
                <w:szCs w:val="22"/>
              </w:rPr>
              <w:t>200*</w:t>
            </w:r>
            <w:r>
              <w:rPr>
                <w:rFonts w:hint="eastAsia" w:ascii="宋体" w:hAnsi="宋体" w:cs="宋体"/>
                <w:color w:val="000000"/>
                <w:kern w:val="0"/>
                <w:sz w:val="22"/>
                <w:szCs w:val="22"/>
              </w:rPr>
              <w:t>Ф</w:t>
            </w:r>
            <w:r>
              <w:rPr>
                <w:rFonts w:ascii="Calibri" w:hAnsi="Calibri" w:eastAsia="仿宋_GB2312" w:cs="Calibri"/>
                <w:color w:val="000000"/>
                <w:kern w:val="0"/>
                <w:sz w:val="22"/>
                <w:szCs w:val="22"/>
              </w:rPr>
              <w:t>18*20</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片</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Layout w:type="fixed"/>
          <w:tblCellMar>
            <w:top w:w="0" w:type="dxa"/>
            <w:left w:w="108" w:type="dxa"/>
            <w:bottom w:w="0" w:type="dxa"/>
            <w:right w:w="108" w:type="dxa"/>
          </w:tblCellMar>
        </w:tblPrEx>
        <w:trPr>
          <w:trHeight w:val="810" w:hRule="atLeast"/>
        </w:trPr>
        <w:tc>
          <w:tcPr>
            <w:tcW w:w="16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21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金刚石砂轮</w:t>
            </w:r>
          </w:p>
        </w:tc>
        <w:tc>
          <w:tcPr>
            <w:tcW w:w="26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100# </w:t>
            </w:r>
            <w:r>
              <w:rPr>
                <w:rFonts w:hint="eastAsia" w:ascii="宋体" w:hAnsi="宋体" w:cs="宋体"/>
                <w:color w:val="000000"/>
                <w:kern w:val="0"/>
                <w:sz w:val="22"/>
                <w:szCs w:val="22"/>
              </w:rPr>
              <w:t>Ф</w:t>
            </w:r>
            <w:r>
              <w:rPr>
                <w:rFonts w:ascii="Calibri" w:hAnsi="Calibri" w:eastAsia="仿宋_GB2312" w:cs="Calibri"/>
                <w:color w:val="000000"/>
                <w:kern w:val="0"/>
                <w:sz w:val="22"/>
                <w:szCs w:val="22"/>
              </w:rPr>
              <w:t>200*</w:t>
            </w:r>
            <w:r>
              <w:rPr>
                <w:rFonts w:hint="eastAsia" w:ascii="宋体" w:hAnsi="宋体" w:cs="宋体"/>
                <w:color w:val="000000"/>
                <w:kern w:val="0"/>
                <w:sz w:val="22"/>
                <w:szCs w:val="22"/>
              </w:rPr>
              <w:t>Ф</w:t>
            </w:r>
            <w:r>
              <w:rPr>
                <w:rFonts w:ascii="Calibri" w:hAnsi="Calibri" w:eastAsia="仿宋_GB2312" w:cs="Calibri"/>
                <w:color w:val="000000"/>
                <w:kern w:val="0"/>
                <w:sz w:val="22"/>
                <w:szCs w:val="22"/>
              </w:rPr>
              <w:t>18*20</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snapToGrid w:val="0"/>
        <w:spacing w:before="160" w:line="460" w:lineRule="exact"/>
        <w:jc w:val="center"/>
        <w:rPr>
          <w:rFonts w:asciiTheme="minorEastAsia" w:hAnsiTheme="minorEastAsia" w:eastAsiaTheme="minorEastAsia"/>
          <w:sz w:val="2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4</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DDE"/>
    <w:rsid w:val="001D7F20"/>
    <w:rsid w:val="001E3B8C"/>
    <w:rsid w:val="001F046B"/>
    <w:rsid w:val="001F06CE"/>
    <w:rsid w:val="001F20BA"/>
    <w:rsid w:val="001F558B"/>
    <w:rsid w:val="001F5BA4"/>
    <w:rsid w:val="002068FC"/>
    <w:rsid w:val="002129C6"/>
    <w:rsid w:val="00220690"/>
    <w:rsid w:val="002227A3"/>
    <w:rsid w:val="002232E6"/>
    <w:rsid w:val="00224555"/>
    <w:rsid w:val="00226144"/>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7FC"/>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82EC1"/>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74C73"/>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 w:val="7EA769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58C56D-DC3B-47BD-ABD2-E2FCC3DDFE9F}">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13</Pages>
  <Words>725</Words>
  <Characters>4136</Characters>
  <Lines>34</Lines>
  <Paragraphs>9</Paragraphs>
  <TotalTime>2</TotalTime>
  <ScaleCrop>false</ScaleCrop>
  <LinksUpToDate>false</LinksUpToDate>
  <CharactersWithSpaces>4852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2023-02-22T07:01:35Z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