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DYGM-WZND-2023-07</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2023年度饮用纯净水采购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u w:val="single"/>
          <w:lang w:eastAsia="zh-CN"/>
        </w:rPr>
        <w:t>2023年度饮用纯净水采购</w:t>
      </w:r>
      <w:r>
        <w:rPr>
          <w:rFonts w:hint="eastAsia" w:asciiTheme="minorEastAsia" w:hAnsiTheme="minorEastAsia" w:eastAsiaTheme="minorEastAsia"/>
          <w:sz w:val="24"/>
        </w:rPr>
        <w:t>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u w:val="single"/>
          <w:lang w:eastAsia="zh-CN"/>
        </w:rPr>
        <w:t>2023年度饮用纯净水采购</w:t>
      </w:r>
      <w:r>
        <w:rPr>
          <w:rFonts w:hint="eastAsia" w:asciiTheme="minorEastAsia" w:hAnsiTheme="minorEastAsia" w:eastAsiaTheme="minorEastAsia"/>
          <w:sz w:val="24"/>
        </w:rPr>
        <w:t>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21</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pStyle w:val="13"/>
        <w:shd w:val="clear" w:color="auto" w:fill="FFFFFF"/>
        <w:spacing w:before="0" w:beforeAutospacing="0" w:after="0" w:afterAutospacing="0" w:line="465" w:lineRule="atLeast"/>
        <w:rPr>
          <w:rFonts w:hint="eastAsia" w:asciiTheme="minorEastAsia" w:hAnsiTheme="minorEastAsia" w:eastAsiaTheme="minorEastAsia"/>
          <w:sz w:val="24"/>
        </w:rPr>
      </w:pPr>
      <w:r>
        <w:rPr>
          <w:rFonts w:hint="eastAsia" w:asciiTheme="minorEastAsia" w:hAnsiTheme="minorEastAsia" w:eastAsiaTheme="minorEastAsia"/>
          <w:color w:val="000000"/>
        </w:rPr>
        <w:t>本公告在“成都</w:t>
      </w:r>
      <w:r>
        <w:rPr>
          <w:rFonts w:hint="eastAsia" w:asciiTheme="minorEastAsia" w:hAnsiTheme="minorEastAsia" w:eastAsiaTheme="minorEastAsia"/>
          <w:color w:val="000000"/>
          <w:highlight w:val="none"/>
        </w:rPr>
        <w:t>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Fonts w:hint="eastAsia" w:asciiTheme="minorEastAsia" w:hAnsiTheme="minorEastAsia" w:eastAsiaTheme="minorEastAsia"/>
          <w:color w:val="000000"/>
          <w:highlight w:val="none"/>
        </w:rPr>
        <w:t>www.cdgmgd.com</w:t>
      </w:r>
      <w:r>
        <w:rPr>
          <w:rFonts w:hint="eastAsia" w:asciiTheme="minorEastAsia" w:hAnsiTheme="minorEastAsia" w:eastAsiaTheme="minorEastAsia"/>
          <w:color w:val="000000"/>
          <w:highlight w:val="none"/>
        </w:rPr>
        <w:fldChar w:fldCharType="end"/>
      </w:r>
      <w:r>
        <w:rPr>
          <w:rFonts w:hint="eastAsia" w:asciiTheme="minorEastAsia" w:hAnsiTheme="minorEastAsia" w:eastAsiaTheme="minorEastAsia"/>
          <w:color w:val="000000"/>
          <w:highlight w:val="none"/>
        </w:rPr>
        <w:t> ）”《供求信息》专栏发布</w:t>
      </w:r>
      <w:bookmarkStart w:id="2" w:name="_GoBack"/>
      <w:bookmarkEnd w:id="2"/>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二十一</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DYGM-WZND-2023-07</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甲方向乙方开展2</w:t>
      </w:r>
      <w:r>
        <w:rPr>
          <w:rFonts w:ascii="华文仿宋" w:hAnsi="华文仿宋" w:eastAsia="华文仿宋"/>
          <w:sz w:val="24"/>
        </w:rPr>
        <w:t>02</w:t>
      </w:r>
      <w:r>
        <w:rPr>
          <w:rFonts w:hint="eastAsia" w:ascii="华文仿宋" w:hAnsi="华文仿宋" w:eastAsia="华文仿宋"/>
          <w:sz w:val="24"/>
          <w:lang w:val="en-US" w:eastAsia="zh-CN"/>
        </w:rPr>
        <w:t>3</w:t>
      </w:r>
      <w:r>
        <w:rPr>
          <w:rFonts w:hint="eastAsia" w:ascii="华文仿宋" w:hAnsi="华文仿宋" w:eastAsia="华文仿宋"/>
          <w:sz w:val="24"/>
        </w:rPr>
        <w:t>年度饮用纯净水定点采购项目，为保证双方权利和义务，特订立本协议（合同），以便共同遵守。</w:t>
      </w:r>
    </w:p>
    <w:p>
      <w:pPr>
        <w:spacing w:line="360" w:lineRule="auto"/>
        <w:rPr>
          <w:rFonts w:ascii="华文仿宋" w:hAnsi="华文仿宋" w:eastAsia="华文仿宋"/>
          <w:sz w:val="24"/>
        </w:rPr>
      </w:pPr>
      <w:r>
        <w:rPr>
          <w:rFonts w:hint="eastAsia" w:ascii="华文仿宋" w:hAnsi="华文仿宋" w:eastAsia="华文仿宋"/>
          <w:sz w:val="24"/>
        </w:rPr>
        <w:t>采购内容：2</w:t>
      </w:r>
      <w:r>
        <w:rPr>
          <w:rFonts w:ascii="华文仿宋" w:hAnsi="华文仿宋" w:eastAsia="华文仿宋"/>
          <w:sz w:val="24"/>
        </w:rPr>
        <w:t>02</w:t>
      </w:r>
      <w:r>
        <w:rPr>
          <w:rFonts w:hint="eastAsia" w:ascii="华文仿宋" w:hAnsi="华文仿宋" w:eastAsia="华文仿宋"/>
          <w:sz w:val="24"/>
          <w:lang w:val="en-US" w:eastAsia="zh-CN"/>
        </w:rPr>
        <w:t>3</w:t>
      </w:r>
      <w:r>
        <w:rPr>
          <w:rFonts w:hint="eastAsia" w:ascii="华文仿宋" w:hAnsi="华文仿宋" w:eastAsia="华文仿宋"/>
          <w:sz w:val="24"/>
        </w:rPr>
        <w:t>年度饮用纯净水定点采购；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（1）合同期限：202</w:t>
      </w:r>
      <w:r>
        <w:rPr>
          <w:rFonts w:hint="eastAsia" w:ascii="华文仿宋" w:hAnsi="华文仿宋" w:eastAsia="华文仿宋"/>
          <w:sz w:val="24"/>
          <w:lang w:val="en-US" w:eastAsia="zh-CN"/>
        </w:rPr>
        <w:t>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开具增值税发票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日内付款。由于乙方开具发票不符合相关法规要求，给甲方造成的涉税损失由乙方全额承担。</w:t>
      </w:r>
    </w:p>
    <w:p>
      <w:pPr>
        <w:spacing w:line="360" w:lineRule="auto"/>
        <w:rPr>
          <w:rFonts w:ascii="华文仿宋" w:hAnsi="华文仿宋" w:eastAsia="华文仿宋"/>
          <w:sz w:val="24"/>
        </w:rPr>
      </w:pPr>
      <w:r>
        <w:rPr>
          <w:rFonts w:hint="eastAsia" w:ascii="华文仿宋" w:hAnsi="华文仿宋" w:eastAsia="华文仿宋"/>
          <w:sz w:val="24"/>
        </w:rPr>
        <w:t>九、采购业务内容</w:t>
      </w:r>
    </w:p>
    <w:tbl>
      <w:tblPr>
        <w:tblStyle w:val="15"/>
        <w:tblW w:w="947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710"/>
        <w:gridCol w:w="2268"/>
        <w:gridCol w:w="1134"/>
        <w:gridCol w:w="1134"/>
        <w:gridCol w:w="1152"/>
        <w:gridCol w:w="1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857"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序号</w:t>
            </w:r>
          </w:p>
        </w:tc>
        <w:tc>
          <w:tcPr>
            <w:tcW w:w="1710"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物资名称</w:t>
            </w:r>
          </w:p>
        </w:tc>
        <w:tc>
          <w:tcPr>
            <w:tcW w:w="2268"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型号规格/技术标准</w:t>
            </w:r>
          </w:p>
        </w:tc>
        <w:tc>
          <w:tcPr>
            <w:tcW w:w="1134"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单位</w:t>
            </w:r>
          </w:p>
        </w:tc>
        <w:tc>
          <w:tcPr>
            <w:tcW w:w="1134"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单价</w:t>
            </w:r>
          </w:p>
        </w:tc>
        <w:tc>
          <w:tcPr>
            <w:tcW w:w="1152" w:type="dxa"/>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交付期</w:t>
            </w:r>
          </w:p>
        </w:tc>
        <w:tc>
          <w:tcPr>
            <w:tcW w:w="1223" w:type="dxa"/>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857" w:type="dxa"/>
            <w:shd w:val="clear" w:color="auto" w:fill="auto"/>
            <w:noWrap/>
            <w:vAlign w:val="center"/>
          </w:tcPr>
          <w:p>
            <w:pPr>
              <w:spacing w:line="500" w:lineRule="exact"/>
              <w:ind w:firstLine="360" w:firstLineChars="150"/>
              <w:jc w:val="center"/>
              <w:rPr>
                <w:rFonts w:ascii="华文仿宋" w:hAnsi="华文仿宋" w:eastAsia="华文仿宋"/>
                <w:sz w:val="24"/>
                <w:szCs w:val="22"/>
              </w:rPr>
            </w:pPr>
            <w:r>
              <w:rPr>
                <w:rFonts w:hint="eastAsia" w:ascii="华文仿宋" w:hAnsi="华文仿宋" w:eastAsia="华文仿宋"/>
                <w:sz w:val="24"/>
                <w:szCs w:val="22"/>
              </w:rPr>
              <w:t>1</w:t>
            </w:r>
          </w:p>
        </w:tc>
        <w:tc>
          <w:tcPr>
            <w:tcW w:w="1710"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纯净水</w:t>
            </w:r>
          </w:p>
        </w:tc>
        <w:tc>
          <w:tcPr>
            <w:tcW w:w="2268"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18L</w:t>
            </w:r>
          </w:p>
        </w:tc>
        <w:tc>
          <w:tcPr>
            <w:tcW w:w="1134"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桶</w:t>
            </w:r>
          </w:p>
        </w:tc>
        <w:tc>
          <w:tcPr>
            <w:tcW w:w="1134" w:type="dxa"/>
            <w:shd w:val="clear" w:color="auto" w:fill="auto"/>
            <w:noWrap/>
            <w:vAlign w:val="center"/>
          </w:tcPr>
          <w:p>
            <w:pPr>
              <w:spacing w:line="500" w:lineRule="exact"/>
              <w:jc w:val="center"/>
              <w:rPr>
                <w:rFonts w:ascii="华文仿宋" w:hAnsi="华文仿宋" w:eastAsia="华文仿宋"/>
                <w:sz w:val="24"/>
                <w:szCs w:val="22"/>
              </w:rPr>
            </w:pPr>
          </w:p>
        </w:tc>
        <w:tc>
          <w:tcPr>
            <w:tcW w:w="1152" w:type="dxa"/>
          </w:tcPr>
          <w:p>
            <w:pPr>
              <w:spacing w:line="500" w:lineRule="exact"/>
              <w:jc w:val="center"/>
              <w:rPr>
                <w:rFonts w:ascii="华文仿宋" w:hAnsi="华文仿宋" w:eastAsia="华文仿宋"/>
                <w:sz w:val="24"/>
                <w:szCs w:val="22"/>
              </w:rPr>
            </w:pPr>
          </w:p>
        </w:tc>
        <w:tc>
          <w:tcPr>
            <w:tcW w:w="1223" w:type="dxa"/>
            <w:vAlign w:val="center"/>
          </w:tcPr>
          <w:p>
            <w:pPr>
              <w:spacing w:line="500" w:lineRule="exact"/>
              <w:jc w:val="center"/>
              <w:rPr>
                <w:rFonts w:ascii="华文仿宋" w:hAnsi="华文仿宋" w:eastAsia="华文仿宋"/>
                <w:sz w:val="24"/>
                <w:szCs w:val="22"/>
              </w:rPr>
            </w:pP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华文仿宋" w:hAnsi="华文仿宋" w:eastAsia="华文仿宋"/>
          <w:sz w:val="24"/>
        </w:rPr>
      </w:pPr>
      <w:r>
        <w:rPr>
          <w:rFonts w:hint="eastAsia" w:ascii="华文仿宋" w:hAnsi="华文仿宋" w:eastAsia="华文仿宋"/>
          <w:sz w:val="24"/>
        </w:rPr>
        <w:t xml:space="preserve">日期：                                   日期：         </w:t>
      </w:r>
    </w:p>
    <w:p>
      <w:pPr>
        <w:spacing w:line="360" w:lineRule="auto"/>
        <w:rPr>
          <w:rFonts w:ascii="华文仿宋" w:hAnsi="华文仿宋" w:eastAsia="华文仿宋"/>
          <w:sz w:val="2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ascii="黑体" w:hAnsi="黑体" w:eastAsia="黑体"/>
          <w:sz w:val="44"/>
          <w:szCs w:val="44"/>
        </w:rPr>
      </w:pPr>
    </w:p>
    <w:p>
      <w:pPr>
        <w:spacing w:line="360" w:lineRule="auto"/>
        <w:ind w:firstLine="1760" w:firstLineChars="40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2023年度饮用纯净水采购</w:t>
      </w:r>
      <w:r>
        <w:rPr>
          <w:rFonts w:hint="eastAsia" w:asciiTheme="minorEastAsia" w:hAnsiTheme="minorEastAsia" w:eastAsiaTheme="minorEastAsia"/>
          <w:sz w:val="36"/>
          <w:szCs w:val="36"/>
        </w:rPr>
        <w:t>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tabs>
          <w:tab w:val="left" w:pos="7230"/>
        </w:tabs>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47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710"/>
        <w:gridCol w:w="2268"/>
        <w:gridCol w:w="1134"/>
        <w:gridCol w:w="1134"/>
        <w:gridCol w:w="1152"/>
        <w:gridCol w:w="1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857"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序号</w:t>
            </w:r>
          </w:p>
        </w:tc>
        <w:tc>
          <w:tcPr>
            <w:tcW w:w="1710"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物资名称</w:t>
            </w:r>
          </w:p>
        </w:tc>
        <w:tc>
          <w:tcPr>
            <w:tcW w:w="2268"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型号规格/技术标准</w:t>
            </w:r>
          </w:p>
        </w:tc>
        <w:tc>
          <w:tcPr>
            <w:tcW w:w="1134"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单位</w:t>
            </w:r>
          </w:p>
        </w:tc>
        <w:tc>
          <w:tcPr>
            <w:tcW w:w="1134"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单价</w:t>
            </w:r>
          </w:p>
        </w:tc>
        <w:tc>
          <w:tcPr>
            <w:tcW w:w="1152" w:type="dxa"/>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交付期</w:t>
            </w:r>
          </w:p>
        </w:tc>
        <w:tc>
          <w:tcPr>
            <w:tcW w:w="1223" w:type="dxa"/>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857" w:type="dxa"/>
            <w:shd w:val="clear" w:color="auto" w:fill="auto"/>
            <w:noWrap/>
            <w:vAlign w:val="center"/>
          </w:tcPr>
          <w:p>
            <w:pPr>
              <w:spacing w:line="500" w:lineRule="exact"/>
              <w:ind w:firstLine="360" w:firstLineChars="150"/>
              <w:jc w:val="center"/>
              <w:rPr>
                <w:rFonts w:ascii="华文仿宋" w:hAnsi="华文仿宋" w:eastAsia="华文仿宋"/>
                <w:sz w:val="24"/>
                <w:szCs w:val="22"/>
              </w:rPr>
            </w:pPr>
            <w:r>
              <w:rPr>
                <w:rFonts w:hint="eastAsia" w:ascii="华文仿宋" w:hAnsi="华文仿宋" w:eastAsia="华文仿宋"/>
                <w:sz w:val="24"/>
                <w:szCs w:val="22"/>
              </w:rPr>
              <w:t>1</w:t>
            </w:r>
          </w:p>
        </w:tc>
        <w:tc>
          <w:tcPr>
            <w:tcW w:w="1710"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纯净水</w:t>
            </w:r>
          </w:p>
        </w:tc>
        <w:tc>
          <w:tcPr>
            <w:tcW w:w="2268"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18L</w:t>
            </w:r>
          </w:p>
        </w:tc>
        <w:tc>
          <w:tcPr>
            <w:tcW w:w="1134" w:type="dxa"/>
            <w:shd w:val="clear" w:color="auto" w:fill="auto"/>
            <w:noWrap/>
            <w:vAlign w:val="center"/>
          </w:tcPr>
          <w:p>
            <w:pPr>
              <w:spacing w:line="500" w:lineRule="exact"/>
              <w:jc w:val="center"/>
              <w:rPr>
                <w:rFonts w:ascii="华文仿宋" w:hAnsi="华文仿宋" w:eastAsia="华文仿宋"/>
                <w:sz w:val="24"/>
                <w:szCs w:val="22"/>
              </w:rPr>
            </w:pPr>
            <w:r>
              <w:rPr>
                <w:rFonts w:hint="eastAsia" w:ascii="华文仿宋" w:hAnsi="华文仿宋" w:eastAsia="华文仿宋"/>
                <w:sz w:val="24"/>
                <w:szCs w:val="22"/>
              </w:rPr>
              <w:t>桶</w:t>
            </w:r>
          </w:p>
        </w:tc>
        <w:tc>
          <w:tcPr>
            <w:tcW w:w="1134" w:type="dxa"/>
            <w:shd w:val="clear" w:color="auto" w:fill="auto"/>
            <w:noWrap/>
            <w:vAlign w:val="center"/>
          </w:tcPr>
          <w:p>
            <w:pPr>
              <w:spacing w:line="500" w:lineRule="exact"/>
              <w:jc w:val="center"/>
              <w:rPr>
                <w:rFonts w:ascii="华文仿宋" w:hAnsi="华文仿宋" w:eastAsia="华文仿宋"/>
                <w:sz w:val="24"/>
                <w:szCs w:val="22"/>
              </w:rPr>
            </w:pPr>
          </w:p>
        </w:tc>
        <w:tc>
          <w:tcPr>
            <w:tcW w:w="1152" w:type="dxa"/>
          </w:tcPr>
          <w:p>
            <w:pPr>
              <w:spacing w:line="500" w:lineRule="exact"/>
              <w:jc w:val="center"/>
              <w:rPr>
                <w:rFonts w:ascii="华文仿宋" w:hAnsi="华文仿宋" w:eastAsia="华文仿宋"/>
                <w:sz w:val="24"/>
                <w:szCs w:val="22"/>
              </w:rPr>
            </w:pPr>
          </w:p>
        </w:tc>
        <w:tc>
          <w:tcPr>
            <w:tcW w:w="1223" w:type="dxa"/>
            <w:vAlign w:val="center"/>
          </w:tcPr>
          <w:p>
            <w:pPr>
              <w:spacing w:line="500" w:lineRule="exact"/>
              <w:jc w:val="center"/>
              <w:rPr>
                <w:rFonts w:ascii="华文仿宋" w:hAnsi="华文仿宋" w:eastAsia="华文仿宋"/>
                <w:sz w:val="24"/>
                <w:szCs w:val="22"/>
              </w:rPr>
            </w:pPr>
          </w:p>
        </w:tc>
      </w:tr>
    </w:tbl>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133"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FDC"/>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A7AB7"/>
    <w:rsid w:val="007B3380"/>
    <w:rsid w:val="007B4FE1"/>
    <w:rsid w:val="007C12A4"/>
    <w:rsid w:val="007C7930"/>
    <w:rsid w:val="007D0B3A"/>
    <w:rsid w:val="007D3ECC"/>
    <w:rsid w:val="007D5894"/>
    <w:rsid w:val="007D7EBC"/>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2A12"/>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14AE"/>
    <w:rsid w:val="00C224D1"/>
    <w:rsid w:val="00C24FB5"/>
    <w:rsid w:val="00C268BC"/>
    <w:rsid w:val="00C3589F"/>
    <w:rsid w:val="00C36DBA"/>
    <w:rsid w:val="00C427F3"/>
    <w:rsid w:val="00C42B15"/>
    <w:rsid w:val="00C44074"/>
    <w:rsid w:val="00C50A9E"/>
    <w:rsid w:val="00C50E8C"/>
    <w:rsid w:val="00C52741"/>
    <w:rsid w:val="00C5324D"/>
    <w:rsid w:val="00C545E2"/>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E5E4F"/>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A5351"/>
    <w:rsid w:val="00DB3AE4"/>
    <w:rsid w:val="00DC675C"/>
    <w:rsid w:val="00DD1E2E"/>
    <w:rsid w:val="00DD323E"/>
    <w:rsid w:val="00DD74CC"/>
    <w:rsid w:val="00DE5D4C"/>
    <w:rsid w:val="00DE7DA6"/>
    <w:rsid w:val="00E00735"/>
    <w:rsid w:val="00E011DC"/>
    <w:rsid w:val="00E01533"/>
    <w:rsid w:val="00E0158A"/>
    <w:rsid w:val="00E024D9"/>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4658B"/>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6DC104E"/>
    <w:rsid w:val="582F4FA6"/>
    <w:rsid w:val="5BA84B60"/>
    <w:rsid w:val="5FFB256E"/>
    <w:rsid w:val="61F973E0"/>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99"/>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Strong"/>
    <w:basedOn w:val="17"/>
    <w:qFormat/>
    <w:locked/>
    <w:uiPriority w:val="22"/>
    <w:rPr>
      <w:b/>
      <w:bCs/>
    </w:rPr>
  </w:style>
  <w:style w:type="character" w:styleId="19">
    <w:name w:val="Emphasis"/>
    <w:basedOn w:val="17"/>
    <w:qFormat/>
    <w:locked/>
    <w:uiPriority w:val="20"/>
    <w:rPr>
      <w:i/>
      <w:iCs/>
    </w:rPr>
  </w:style>
  <w:style w:type="character" w:styleId="20">
    <w:name w:val="annotation reference"/>
    <w:basedOn w:val="17"/>
    <w:semiHidden/>
    <w:qFormat/>
    <w:uiPriority w:val="99"/>
    <w:rPr>
      <w:rFonts w:cs="Times New Roman"/>
      <w:sz w:val="21"/>
    </w:rPr>
  </w:style>
  <w:style w:type="character" w:customStyle="1" w:styleId="21">
    <w:name w:val="标题 2 Char"/>
    <w:basedOn w:val="17"/>
    <w:link w:val="3"/>
    <w:qFormat/>
    <w:locked/>
    <w:uiPriority w:val="99"/>
    <w:rPr>
      <w:rFonts w:ascii="Arial" w:hAnsi="Arial" w:eastAsia="黑体" w:cs="Times New Roman"/>
      <w:b/>
      <w:sz w:val="20"/>
    </w:rPr>
  </w:style>
  <w:style w:type="character" w:customStyle="1" w:styleId="22">
    <w:name w:val="纯文本 Char"/>
    <w:basedOn w:val="17"/>
    <w:link w:val="7"/>
    <w:qFormat/>
    <w:locked/>
    <w:uiPriority w:val="99"/>
    <w:rPr>
      <w:rFonts w:ascii="宋体" w:hAnsi="Courier New" w:eastAsia="宋体" w:cs="Times New Roman"/>
      <w:sz w:val="21"/>
    </w:rPr>
  </w:style>
  <w:style w:type="character" w:customStyle="1" w:styleId="23">
    <w:name w:val="正文文本缩进 Char"/>
    <w:basedOn w:val="17"/>
    <w:link w:val="6"/>
    <w:qFormat/>
    <w:locked/>
    <w:uiPriority w:val="99"/>
    <w:rPr>
      <w:rFonts w:ascii="Times New Roman" w:hAnsi="Times New Roman" w:eastAsia="宋体" w:cs="Times New Roman"/>
      <w:sz w:val="24"/>
    </w:rPr>
  </w:style>
  <w:style w:type="character" w:customStyle="1" w:styleId="24">
    <w:name w:val="日期 Char"/>
    <w:basedOn w:val="17"/>
    <w:link w:val="8"/>
    <w:qFormat/>
    <w:locked/>
    <w:uiPriority w:val="99"/>
    <w:rPr>
      <w:rFonts w:ascii="Times New Roman" w:hAnsi="Times New Roman" w:eastAsia="宋体" w:cs="Times New Roman"/>
      <w:sz w:val="24"/>
    </w:rPr>
  </w:style>
  <w:style w:type="paragraph" w:customStyle="1" w:styleId="2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Char"/>
    <w:basedOn w:val="17"/>
    <w:link w:val="9"/>
    <w:qFormat/>
    <w:locked/>
    <w:uiPriority w:val="99"/>
    <w:rPr>
      <w:rFonts w:ascii="Times New Roman" w:hAnsi="Times New Roman" w:eastAsia="宋体" w:cs="Times New Roman"/>
      <w:sz w:val="24"/>
    </w:rPr>
  </w:style>
  <w:style w:type="character" w:customStyle="1" w:styleId="27">
    <w:name w:val="页眉 Char"/>
    <w:basedOn w:val="17"/>
    <w:link w:val="12"/>
    <w:semiHidden/>
    <w:qFormat/>
    <w:locked/>
    <w:uiPriority w:val="99"/>
    <w:rPr>
      <w:rFonts w:ascii="Times New Roman" w:hAnsi="Times New Roman" w:eastAsia="宋体" w:cs="Times New Roman"/>
      <w:sz w:val="18"/>
    </w:rPr>
  </w:style>
  <w:style w:type="character" w:customStyle="1" w:styleId="28">
    <w:name w:val="页脚 Char"/>
    <w:basedOn w:val="17"/>
    <w:link w:val="11"/>
    <w:qFormat/>
    <w:locked/>
    <w:uiPriority w:val="99"/>
    <w:rPr>
      <w:rFonts w:ascii="Times New Roman" w:hAnsi="Times New Roman" w:eastAsia="宋体" w:cs="Times New Roman"/>
      <w:sz w:val="18"/>
    </w:rPr>
  </w:style>
  <w:style w:type="character" w:customStyle="1" w:styleId="29">
    <w:name w:val="批注文字 Char"/>
    <w:basedOn w:val="17"/>
    <w:link w:val="4"/>
    <w:semiHidden/>
    <w:qFormat/>
    <w:locked/>
    <w:uiPriority w:val="99"/>
    <w:rPr>
      <w:rFonts w:ascii="Times New Roman" w:hAnsi="Times New Roman" w:cs="Times New Roman"/>
      <w:sz w:val="24"/>
    </w:rPr>
  </w:style>
  <w:style w:type="character" w:customStyle="1" w:styleId="30">
    <w:name w:val="批注主题 Char"/>
    <w:basedOn w:val="29"/>
    <w:link w:val="14"/>
    <w:semiHidden/>
    <w:qFormat/>
    <w:locked/>
    <w:uiPriority w:val="99"/>
    <w:rPr>
      <w:rFonts w:ascii="Times New Roman" w:hAnsi="Times New Roman" w:cs="Times New Roman"/>
      <w:b/>
      <w:sz w:val="24"/>
    </w:rPr>
  </w:style>
  <w:style w:type="character" w:customStyle="1" w:styleId="31">
    <w:name w:val="批注框文本 Char"/>
    <w:basedOn w:val="17"/>
    <w:link w:val="10"/>
    <w:semiHidden/>
    <w:qFormat/>
    <w:locked/>
    <w:uiPriority w:val="99"/>
    <w:rPr>
      <w:rFonts w:ascii="Times New Roman" w:hAnsi="Times New Roman" w:cs="Times New Roman"/>
      <w:sz w:val="18"/>
    </w:rPr>
  </w:style>
  <w:style w:type="character" w:customStyle="1" w:styleId="32">
    <w:name w:val="正文文本 Char"/>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5FC7AD-1060-4CFC-A597-F666547CF24B}">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724</Words>
  <Characters>4133</Characters>
  <Lines>34</Lines>
  <Paragraphs>9</Paragraphs>
  <TotalTime>0</TotalTime>
  <ScaleCrop>false</ScaleCrop>
  <LinksUpToDate>false</LinksUpToDate>
  <CharactersWithSpaces>4848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2023-02-21T08:00:14Z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