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asciiTheme="majorEastAsia" w:hAnsiTheme="majorEastAsia" w:eastAsiaTheme="majorEastAsia"/>
          <w:b/>
          <w:bCs/>
          <w:color w:val="FF0000"/>
          <w:spacing w:val="38"/>
          <w:sz w:val="24"/>
        </w:rPr>
      </w:pPr>
      <w:r>
        <w:rPr>
          <w:rFonts w:hint="eastAsia" w:asciiTheme="majorEastAsia" w:hAnsiTheme="majorEastAsia" w:eastAsiaTheme="majorEastAsia"/>
          <w:b/>
          <w:bCs/>
          <w:spacing w:val="38"/>
          <w:sz w:val="24"/>
        </w:rPr>
        <w:t>询价采购编号：GMPT2023-003</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sz w:val="32"/>
        </w:rPr>
      </w:pPr>
    </w:p>
    <w:p>
      <w:pPr>
        <w:autoSpaceDE w:val="0"/>
        <w:autoSpaceDN w:val="0"/>
        <w:adjustRightInd w:val="0"/>
        <w:spacing w:line="660" w:lineRule="exact"/>
        <w:jc w:val="center"/>
        <w:rPr>
          <w:rFonts w:asciiTheme="majorEastAsia" w:hAnsiTheme="majorEastAsia" w:eastAsiaTheme="majorEastAsia"/>
          <w:sz w:val="36"/>
          <w:szCs w:val="36"/>
        </w:rPr>
      </w:pPr>
      <w:r>
        <w:rPr>
          <w:rFonts w:hint="eastAsia" w:asciiTheme="majorEastAsia" w:hAnsiTheme="majorEastAsia" w:eastAsiaTheme="majorEastAsia"/>
          <w:sz w:val="36"/>
          <w:szCs w:val="36"/>
        </w:rPr>
        <w:t>设备名称：</w:t>
      </w:r>
      <w:r>
        <w:rPr>
          <w:rFonts w:hint="eastAsia"/>
          <w:bCs/>
          <w:sz w:val="36"/>
          <w:szCs w:val="36"/>
        </w:rPr>
        <w:t>32公斤电子天平（1台）</w:t>
      </w:r>
    </w:p>
    <w:p>
      <w:pPr>
        <w:spacing w:line="660" w:lineRule="exact"/>
        <w:rPr>
          <w:rFonts w:asciiTheme="majorEastAsia" w:hAnsiTheme="majorEastAsia" w:eastAsiaTheme="majorEastAsia"/>
          <w:sz w:val="36"/>
        </w:rPr>
      </w:pPr>
    </w:p>
    <w:p>
      <w:pPr>
        <w:spacing w:line="800" w:lineRule="exact"/>
        <w:ind w:firstLine="2060" w:firstLineChars="650"/>
        <w:rPr>
          <w:rFonts w:asciiTheme="majorEastAsia" w:hAnsiTheme="majorEastAsia" w:eastAsiaTheme="majorEastAsia"/>
          <w:b/>
          <w:bCs/>
          <w:spacing w:val="38"/>
          <w:sz w:val="24"/>
        </w:rPr>
      </w:pP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asciiTheme="majorEastAsia" w:hAnsiTheme="majorEastAsia" w:eastAsiaTheme="majorEastAsia"/>
          <w:sz w:val="44"/>
          <w:szCs w:val="44"/>
        </w:rPr>
        <w:t>成都光明派特贵金属有限公司</w:t>
      </w:r>
    </w:p>
    <w:p>
      <w:pPr>
        <w:spacing w:line="500" w:lineRule="exact"/>
        <w:jc w:val="center"/>
        <w:rPr>
          <w:rFonts w:asciiTheme="majorEastAsia" w:hAnsiTheme="majorEastAsia" w:eastAsiaTheme="majorEastAsia"/>
          <w:sz w:val="44"/>
          <w:szCs w:val="44"/>
        </w:rPr>
      </w:pPr>
    </w:p>
    <w:p>
      <w:pPr>
        <w:pStyle w:val="6"/>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u w:val="single"/>
        </w:rPr>
        <w:t>二○二三</w:t>
      </w:r>
      <w:r>
        <w:rPr>
          <w:rFonts w:hint="eastAsia" w:asciiTheme="majorEastAsia" w:hAnsiTheme="majorEastAsia" w:eastAsiaTheme="majorEastAsia"/>
          <w:sz w:val="44"/>
          <w:szCs w:val="44"/>
        </w:rPr>
        <w:t>年二月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widowControl/>
        <w:jc w:val="left"/>
        <w:rPr>
          <w:rFonts w:asciiTheme="majorEastAsia" w:hAnsiTheme="majorEastAsia" w:eastAsiaTheme="majorEastAsia"/>
          <w:sz w:val="52"/>
        </w:rPr>
      </w:pPr>
      <w:r>
        <w:rPr>
          <w:rFonts w:asciiTheme="majorEastAsia" w:hAnsiTheme="majorEastAsia" w:eastAsiaTheme="majorEastAsia"/>
          <w:sz w:val="52"/>
        </w:rPr>
        <w:br w:type="page"/>
      </w:r>
    </w:p>
    <w:p>
      <w:pPr>
        <w:spacing w:line="500" w:lineRule="exact"/>
        <w:jc w:val="center"/>
        <w:rPr>
          <w:rFonts w:asciiTheme="majorEastAsia" w:hAnsiTheme="majorEastAsia" w:eastAsiaTheme="majorEastAsia"/>
          <w:sz w:val="52"/>
        </w:rPr>
      </w:pPr>
      <w:r>
        <w:rPr>
          <w:rFonts w:hint="eastAsia" w:asciiTheme="majorEastAsia" w:hAnsiTheme="majorEastAsia" w:eastAsiaTheme="majorEastAsia"/>
          <w:sz w:val="52"/>
        </w:rPr>
        <w:t>目录</w:t>
      </w:r>
    </w:p>
    <w:p>
      <w:pPr>
        <w:spacing w:line="500" w:lineRule="exact"/>
        <w:jc w:val="center"/>
        <w:rPr>
          <w:rFonts w:asciiTheme="majorEastAsia" w:hAnsiTheme="majorEastAsia" w:eastAsiaTheme="majorEastAsia"/>
          <w:sz w:val="44"/>
        </w:rPr>
      </w:pP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第一部分询价采购邀请函</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第二部分供应商须知</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第三部分技术要求</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第四部分评分标准</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第五部分合同条款</w:t>
      </w:r>
    </w:p>
    <w:p>
      <w:pPr>
        <w:spacing w:line="1200" w:lineRule="exact"/>
        <w:ind w:firstLine="1117" w:firstLineChars="399"/>
        <w:jc w:val="left"/>
        <w:rPr>
          <w:rFonts w:asciiTheme="majorEastAsia" w:hAnsiTheme="majorEastAsia" w:eastAsiaTheme="majorEastAsia"/>
          <w:sz w:val="28"/>
        </w:rPr>
      </w:pPr>
      <w:r>
        <w:rPr>
          <w:rFonts w:hint="eastAsia" w:asciiTheme="majorEastAsia" w:hAnsiTheme="majorEastAsia" w:eastAsiaTheme="majorEastAsia"/>
          <w:sz w:val="28"/>
        </w:rPr>
        <w:t>第六部分文件格式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widowControl/>
        <w:jc w:val="left"/>
        <w:rPr>
          <w:rFonts w:asciiTheme="majorEastAsia" w:hAnsiTheme="majorEastAsia" w:eastAsiaTheme="majorEastAsia"/>
          <w:bCs/>
          <w:sz w:val="32"/>
          <w:szCs w:val="32"/>
        </w:rPr>
      </w:pPr>
      <w:r>
        <w:rPr>
          <w:rFonts w:asciiTheme="majorEastAsia" w:hAnsiTheme="majorEastAsia" w:eastAsiaTheme="majorEastAsia"/>
          <w:bCs/>
          <w:sz w:val="32"/>
          <w:szCs w:val="32"/>
        </w:rPr>
        <w:br w:type="page"/>
      </w:r>
    </w:p>
    <w:p>
      <w:pPr>
        <w:spacing w:line="500" w:lineRule="exact"/>
        <w:ind w:firstLine="2891" w:firstLineChars="900"/>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各供应商：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成都光明派特贵金属有限公司就（</w:t>
      </w:r>
      <w:r>
        <w:rPr>
          <w:rFonts w:hint="eastAsia" w:asciiTheme="majorEastAsia" w:hAnsiTheme="majorEastAsia" w:eastAsiaTheme="majorEastAsia"/>
          <w:sz w:val="24"/>
          <w:u w:val="single"/>
        </w:rPr>
        <w:t>1台</w:t>
      </w:r>
      <w:r>
        <w:rPr>
          <w:rFonts w:hint="eastAsia"/>
          <w:bCs/>
          <w:sz w:val="24"/>
          <w:u w:val="single"/>
        </w:rPr>
        <w:t>32公斤电子天平</w:t>
      </w:r>
      <w:r>
        <w:rPr>
          <w:rFonts w:hint="eastAsia" w:asciiTheme="majorEastAsia" w:hAnsiTheme="majorEastAsia" w:eastAsiaTheme="majorEastAsia"/>
          <w:sz w:val="24"/>
        </w:rPr>
        <w:t>）组织询价采购，欢迎合格供应商前来报价。</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一、设备名称及编号</w:t>
      </w:r>
    </w:p>
    <w:p>
      <w:pPr>
        <w:pStyle w:val="5"/>
        <w:spacing w:line="460" w:lineRule="exact"/>
        <w:ind w:firstLine="120" w:firstLineChars="50"/>
        <w:rPr>
          <w:rFonts w:asciiTheme="majorEastAsia" w:hAnsiTheme="majorEastAsia" w:eastAsiaTheme="majorEastAsia"/>
        </w:rPr>
      </w:pPr>
      <w:r>
        <w:rPr>
          <w:rFonts w:hint="eastAsia" w:asciiTheme="majorEastAsia" w:hAnsiTheme="majorEastAsia" w:eastAsiaTheme="majorEastAsia"/>
        </w:rPr>
        <w:t>设备名称：</w:t>
      </w:r>
      <w:r>
        <w:rPr>
          <w:rFonts w:hint="eastAsia" w:asciiTheme="majorEastAsia" w:hAnsiTheme="majorEastAsia" w:eastAsiaTheme="majorEastAsia"/>
          <w:u w:val="single"/>
        </w:rPr>
        <w:t>1台</w:t>
      </w:r>
      <w:r>
        <w:rPr>
          <w:rFonts w:hint="eastAsia"/>
          <w:bCs/>
          <w:u w:val="single"/>
        </w:rPr>
        <w:t>32公斤电子天平</w:t>
      </w:r>
    </w:p>
    <w:p>
      <w:pPr>
        <w:spacing w:line="460" w:lineRule="exact"/>
        <w:ind w:firstLine="496" w:firstLineChars="200"/>
        <w:rPr>
          <w:rFonts w:asciiTheme="majorEastAsia" w:hAnsiTheme="majorEastAsia" w:eastAsiaTheme="majorEastAsia"/>
          <w:sz w:val="24"/>
        </w:rPr>
      </w:pPr>
      <w:r>
        <w:rPr>
          <w:rFonts w:hint="eastAsia" w:asciiTheme="majorEastAsia" w:hAnsiTheme="majorEastAsia" w:eastAsiaTheme="majorEastAsia"/>
          <w:bCs/>
          <w:spacing w:val="4"/>
          <w:w w:val="100"/>
          <w:kern w:val="0"/>
          <w:sz w:val="24"/>
          <w:fitText w:val="3118" w:id="-1436313086"/>
        </w:rPr>
        <w:t>询价采购编号：GMPT2023-0</w:t>
      </w:r>
      <w:r>
        <w:rPr>
          <w:rFonts w:hint="eastAsia" w:asciiTheme="majorEastAsia" w:hAnsiTheme="majorEastAsia" w:eastAsiaTheme="majorEastAsia"/>
          <w:bCs/>
          <w:spacing w:val="22"/>
          <w:w w:val="100"/>
          <w:kern w:val="0"/>
          <w:sz w:val="24"/>
          <w:fitText w:val="3118" w:id="-1436313086"/>
        </w:rPr>
        <w:t>0</w:t>
      </w:r>
      <w:r>
        <w:rPr>
          <w:rFonts w:hint="eastAsia" w:asciiTheme="majorEastAsia" w:hAnsiTheme="majorEastAsia" w:eastAsiaTheme="majorEastAsia"/>
          <w:bCs/>
          <w:kern w:val="0"/>
          <w:sz w:val="24"/>
        </w:rPr>
        <w:t>3</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二、简要说明</w:t>
      </w:r>
    </w:p>
    <w:p>
      <w:pPr>
        <w:pStyle w:val="5"/>
        <w:spacing w:after="0" w:line="460" w:lineRule="exact"/>
        <w:ind w:left="0" w:leftChars="0" w:firstLine="480" w:firstLineChars="200"/>
        <w:rPr>
          <w:rFonts w:asciiTheme="majorEastAsia" w:hAnsiTheme="majorEastAsia" w:eastAsiaTheme="majorEastAsia"/>
          <w:b/>
        </w:rPr>
      </w:pPr>
      <w:r>
        <w:rPr>
          <w:rFonts w:hint="eastAsia" w:asciiTheme="majorEastAsia" w:hAnsiTheme="majorEastAsia" w:eastAsiaTheme="majorEastAsia"/>
        </w:rPr>
        <w:t>成都光明派特贵金属有限公司拟采购</w:t>
      </w:r>
      <w:r>
        <w:rPr>
          <w:rFonts w:hint="eastAsia" w:asciiTheme="majorEastAsia" w:hAnsiTheme="majorEastAsia" w:eastAsiaTheme="majorEastAsia"/>
          <w:u w:val="single"/>
        </w:rPr>
        <w:t>1台</w:t>
      </w:r>
      <w:r>
        <w:rPr>
          <w:rFonts w:hint="eastAsia"/>
          <w:bCs/>
          <w:u w:val="single"/>
        </w:rPr>
        <w:t>32公斤电子天平</w:t>
      </w:r>
      <w:r>
        <w:rPr>
          <w:rFonts w:hint="eastAsia" w:asciiTheme="majorEastAsia" w:hAnsiTheme="majorEastAsia" w:eastAsiaTheme="majorEastAsia"/>
        </w:rPr>
        <w:t>，主要包括：</w:t>
      </w:r>
      <w:r>
        <w:rPr>
          <w:rFonts w:hint="eastAsia" w:asciiTheme="majorEastAsia" w:hAnsiTheme="majorEastAsia" w:eastAsiaTheme="majorEastAsia"/>
          <w:u w:val="single"/>
        </w:rPr>
        <w:t>运输、安装、调试及培训</w:t>
      </w:r>
      <w:r>
        <w:rPr>
          <w:rFonts w:hint="eastAsia" w:asciiTheme="majorEastAsia" w:hAnsiTheme="majorEastAsia" w:eastAsiaTheme="majorEastAsia"/>
        </w:rPr>
        <w:t>，详见询价采购文件第三部分技术响应。</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三、合格供应商资格要求</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供应商参加本次采购活动具备下列条件：</w:t>
      </w:r>
    </w:p>
    <w:p>
      <w:pPr>
        <w:pStyle w:val="5"/>
        <w:spacing w:after="0"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企业财务资信状况良好，具有独立承担民事责任的法人或其他经济组织；制造商或提供产品销售授权书的代理商。</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四、询价采购公告</w:t>
      </w:r>
    </w:p>
    <w:p>
      <w:pPr>
        <w:spacing w:line="460" w:lineRule="exact"/>
        <w:ind w:left="-14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asciiTheme="majorEastAsia" w:hAnsiTheme="majorEastAsia" w:eastAsiaTheme="majorEastAsia"/>
          <w:sz w:val="24"/>
        </w:rPr>
        <w:t>20</w:t>
      </w:r>
      <w:r>
        <w:rPr>
          <w:rFonts w:hint="eastAsia" w:asciiTheme="majorEastAsia" w:hAnsiTheme="majorEastAsia" w:eastAsiaTheme="majorEastAsia"/>
          <w:sz w:val="24"/>
        </w:rPr>
        <w:t>23年2月2</w:t>
      </w:r>
      <w:r>
        <w:rPr>
          <w:rFonts w:hint="eastAsia" w:asciiTheme="majorEastAsia" w:hAnsiTheme="majorEastAsia" w:eastAsiaTheme="majorEastAsia"/>
          <w:sz w:val="24"/>
          <w:lang w:val="en-US" w:eastAsia="zh-CN"/>
        </w:rPr>
        <w:t>1</w:t>
      </w:r>
      <w:r>
        <w:rPr>
          <w:rFonts w:hint="eastAsia" w:asciiTheme="majorEastAsia" w:hAnsiTheme="majorEastAsia" w:eastAsiaTheme="majorEastAsia"/>
          <w:sz w:val="24"/>
        </w:rPr>
        <w:t>日</w:t>
      </w:r>
      <w:r>
        <w:rPr>
          <w:rFonts w:asciiTheme="majorEastAsia" w:hAnsiTheme="majorEastAsia" w:eastAsiaTheme="majorEastAsia"/>
          <w:sz w:val="24"/>
        </w:rPr>
        <w:t>—  20</w:t>
      </w:r>
      <w:r>
        <w:rPr>
          <w:rFonts w:hint="eastAsia" w:asciiTheme="majorEastAsia" w:hAnsiTheme="majorEastAsia" w:eastAsiaTheme="majorEastAsia"/>
          <w:sz w:val="24"/>
        </w:rPr>
        <w:t>23年3月</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日。</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五、报价文件接收信息</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 xml:space="preserve">（一）报价文件接收截止时间： 2023年3月 </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日1</w:t>
      </w:r>
      <w:r>
        <w:rPr>
          <w:rFonts w:hint="eastAsia" w:asciiTheme="majorEastAsia" w:hAnsiTheme="majorEastAsia" w:eastAsiaTheme="majorEastAsia"/>
          <w:sz w:val="24"/>
          <w:lang w:val="en-US" w:eastAsia="zh-CN"/>
        </w:rPr>
        <w:t>7</w:t>
      </w:r>
      <w:r>
        <w:rPr>
          <w:rFonts w:hint="eastAsia" w:asciiTheme="majorEastAsia" w:hAnsiTheme="majorEastAsia" w:eastAsiaTheme="majorEastAsia"/>
          <w:sz w:val="24"/>
        </w:rPr>
        <w:t>:00。</w:t>
      </w:r>
    </w:p>
    <w:p>
      <w:pPr>
        <w:spacing w:line="460" w:lineRule="exact"/>
        <w:ind w:firstLine="480" w:firstLineChars="200"/>
        <w:jc w:val="left"/>
        <w:rPr>
          <w:rFonts w:cs="宋体" w:asciiTheme="majorEastAsia" w:hAnsiTheme="majorEastAsia" w:eastAsiaTheme="majorEastAsia"/>
          <w:kern w:val="0"/>
          <w:sz w:val="24"/>
        </w:rPr>
      </w:pPr>
      <w:r>
        <w:rPr>
          <w:rFonts w:hint="eastAsia" w:asciiTheme="majorEastAsia" w:hAnsiTheme="majorEastAsia" w:eastAsiaTheme="majorEastAsia"/>
          <w:sz w:val="24"/>
        </w:rPr>
        <w:t>（二）报价文件接收地点：</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firstLine="480" w:firstLineChars="200"/>
        <w:jc w:val="left"/>
        <w:rPr>
          <w:rFonts w:asciiTheme="majorEastAsia" w:hAnsiTheme="majorEastAsia" w:eastAsiaTheme="majorEastAsia"/>
          <w:sz w:val="24"/>
        </w:rPr>
      </w:pPr>
      <w:r>
        <w:rPr>
          <w:rFonts w:hint="eastAsia" w:asciiTheme="majorEastAsia" w:hAnsiTheme="majorEastAsia" w:eastAsiaTheme="majorEastAsia"/>
          <w:sz w:val="24"/>
        </w:rPr>
        <w:t>（三）报价文件接收人：</w:t>
      </w:r>
      <w:r>
        <w:rPr>
          <w:rFonts w:hint="eastAsia" w:cs="宋体" w:asciiTheme="majorEastAsia" w:hAnsiTheme="majorEastAsia" w:eastAsiaTheme="majorEastAsia"/>
          <w:kern w:val="0"/>
          <w:sz w:val="24"/>
        </w:rPr>
        <w:t>周芳     联系电话：028-88400151 15882165234</w:t>
      </w:r>
    </w:p>
    <w:p>
      <w:pPr>
        <w:pStyle w:val="5"/>
        <w:spacing w:after="0" w:line="460" w:lineRule="exact"/>
        <w:ind w:left="0" w:leftChars="0" w:firstLine="482" w:firstLineChars="200"/>
        <w:rPr>
          <w:rFonts w:asciiTheme="majorEastAsia" w:hAnsiTheme="majorEastAsia" w:eastAsiaTheme="majorEastAsia"/>
          <w:b/>
        </w:rPr>
      </w:pPr>
      <w:r>
        <w:rPr>
          <w:rFonts w:hint="eastAsia" w:asciiTheme="majorEastAsia" w:hAnsiTheme="majorEastAsia" w:eastAsiaTheme="majorEastAsia"/>
          <w:b/>
        </w:rPr>
        <w:t>六、本次询价采购联系事项</w:t>
      </w:r>
    </w:p>
    <w:p>
      <w:pPr>
        <w:spacing w:line="460" w:lineRule="exact"/>
        <w:ind w:left="181" w:leftChars="86" w:firstLine="501" w:firstLineChars="209"/>
        <w:rPr>
          <w:rFonts w:asciiTheme="majorEastAsia" w:hAnsiTheme="majorEastAsia" w:eastAsiaTheme="majorEastAsia"/>
          <w:bCs/>
          <w:iCs/>
          <w:sz w:val="24"/>
        </w:rPr>
      </w:pPr>
      <w:r>
        <w:rPr>
          <w:rFonts w:hint="eastAsia" w:asciiTheme="majorEastAsia" w:hAnsiTheme="majorEastAsia" w:eastAsiaTheme="majorEastAsia"/>
          <w:bCs/>
          <w:iCs/>
          <w:sz w:val="24"/>
        </w:rPr>
        <w:t>联系人：张</w:t>
      </w:r>
      <w:r>
        <w:rPr>
          <w:rFonts w:hint="eastAsia" w:cs="宋体" w:asciiTheme="majorEastAsia" w:hAnsiTheme="majorEastAsia" w:eastAsiaTheme="majorEastAsia"/>
          <w:iCs/>
          <w:kern w:val="0"/>
          <w:sz w:val="24"/>
        </w:rPr>
        <w:t>先生              联系电话：18054780553</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联系地址：</w:t>
      </w:r>
      <w:r>
        <w:rPr>
          <w:rFonts w:hint="eastAsia" w:cs="宋体" w:asciiTheme="majorEastAsia" w:hAnsiTheme="majorEastAsia" w:eastAsiaTheme="majorEastAsia"/>
          <w:kern w:val="0"/>
          <w:sz w:val="24"/>
        </w:rPr>
        <w:t>成都市龙泉驿区北京路636号成都光明派特贵金属有限公司</w:t>
      </w:r>
      <w:r>
        <w:rPr>
          <w:rFonts w:hint="eastAsia" w:asciiTheme="majorEastAsia" w:hAnsiTheme="majorEastAsia" w:eastAsiaTheme="majorEastAsia"/>
          <w:sz w:val="24"/>
        </w:rPr>
        <w:t>综合管理部</w:t>
      </w:r>
      <w:r>
        <w:rPr>
          <w:rFonts w:hint="eastAsia" w:cs="宋体" w:asciiTheme="majorEastAsia" w:hAnsiTheme="majorEastAsia" w:eastAsiaTheme="majorEastAsia"/>
          <w:kern w:val="0"/>
          <w:sz w:val="24"/>
        </w:rPr>
        <w:t>。</w:t>
      </w:r>
    </w:p>
    <w:p>
      <w:pPr>
        <w:spacing w:line="460" w:lineRule="exact"/>
        <w:ind w:left="2000" w:leftChars="324" w:hanging="1320" w:hangingChars="550"/>
        <w:rPr>
          <w:rFonts w:asciiTheme="majorEastAsia" w:hAnsiTheme="majorEastAsia" w:eastAsiaTheme="majorEastAsia"/>
          <w:bCs/>
          <w:iCs/>
          <w:sz w:val="24"/>
        </w:rPr>
      </w:pPr>
      <w:r>
        <w:rPr>
          <w:rFonts w:hint="eastAsia" w:asciiTheme="majorEastAsia" w:hAnsiTheme="majorEastAsia" w:eastAsiaTheme="majorEastAsia"/>
          <w:bCs/>
          <w:iCs/>
          <w:sz w:val="24"/>
        </w:rPr>
        <w:t>邮政编码：610100</w:t>
      </w:r>
    </w:p>
    <w:p>
      <w:pPr>
        <w:spacing w:line="460" w:lineRule="exact"/>
        <w:ind w:right="-58" w:firstLine="600" w:firstLineChars="250"/>
        <w:rPr>
          <w:rFonts w:asciiTheme="majorEastAsia" w:hAnsiTheme="majorEastAsia" w:eastAsiaTheme="majorEastAsia"/>
          <w:sz w:val="24"/>
          <w:u w:val="single"/>
        </w:rPr>
      </w:pPr>
      <w:r>
        <w:rPr>
          <w:rFonts w:hint="eastAsia" w:asciiTheme="majorEastAsia" w:hAnsiTheme="majorEastAsia" w:eastAsiaTheme="majorEastAsia"/>
          <w:sz w:val="24"/>
        </w:rPr>
        <w:t>采购单位监督</w:t>
      </w:r>
      <w:r>
        <w:rPr>
          <w:rFonts w:hint="eastAsia" w:asciiTheme="majorEastAsia" w:hAnsiTheme="majorEastAsia" w:eastAsiaTheme="majorEastAsia"/>
          <w:iCs/>
          <w:sz w:val="24"/>
        </w:rPr>
        <w:t>人：</w:t>
      </w:r>
      <w:r>
        <w:rPr>
          <w:rFonts w:hint="eastAsia" w:cs="宋体" w:asciiTheme="majorEastAsia" w:hAnsiTheme="majorEastAsia" w:eastAsiaTheme="majorEastAsia"/>
          <w:iCs/>
          <w:kern w:val="0"/>
          <w:sz w:val="24"/>
          <w:u w:val="single"/>
        </w:rPr>
        <w:t>郭小乐</w:t>
      </w:r>
      <w:r>
        <w:rPr>
          <w:rFonts w:hint="eastAsia" w:cs="宋体" w:asciiTheme="majorEastAsia" w:hAnsiTheme="majorEastAsia" w:eastAsiaTheme="majorEastAsia"/>
          <w:iCs/>
          <w:kern w:val="0"/>
          <w:sz w:val="24"/>
        </w:rPr>
        <w:t xml:space="preserve">             联系电话：</w:t>
      </w:r>
      <w:r>
        <w:rPr>
          <w:rFonts w:hint="eastAsia" w:cs="宋体" w:asciiTheme="majorEastAsia" w:hAnsiTheme="majorEastAsia" w:eastAsiaTheme="majorEastAsia"/>
          <w:iCs/>
          <w:kern w:val="0"/>
          <w:sz w:val="24"/>
          <w:u w:val="single"/>
        </w:rPr>
        <w:t>15982367206</w:t>
      </w:r>
    </w:p>
    <w:p>
      <w:pPr>
        <w:spacing w:line="500" w:lineRule="exact"/>
        <w:ind w:firstLine="3040" w:firstLineChars="950"/>
        <w:jc w:val="left"/>
        <w:rPr>
          <w:rFonts w:asciiTheme="majorEastAsia" w:hAnsiTheme="majorEastAsia" w:eastAsiaTheme="majorEastAsia"/>
          <w:sz w:val="32"/>
          <w:szCs w:val="32"/>
        </w:rPr>
      </w:pPr>
    </w:p>
    <w:p>
      <w:pPr>
        <w:spacing w:line="500" w:lineRule="exact"/>
        <w:ind w:firstLine="800" w:firstLineChars="250"/>
        <w:jc w:val="left"/>
        <w:rPr>
          <w:rFonts w:asciiTheme="majorEastAsia" w:hAnsiTheme="majorEastAsia" w:eastAsiaTheme="majorEastAsia"/>
          <w:sz w:val="32"/>
          <w:szCs w:val="32"/>
        </w:rPr>
      </w:pPr>
    </w:p>
    <w:p>
      <w:pPr>
        <w:widowControl/>
        <w:jc w:val="left"/>
        <w:rPr>
          <w:rFonts w:asciiTheme="majorEastAsia" w:hAnsiTheme="majorEastAsia" w:eastAsiaTheme="majorEastAsia"/>
          <w:sz w:val="32"/>
          <w:szCs w:val="32"/>
        </w:rPr>
      </w:pPr>
      <w:r>
        <w:rPr>
          <w:rFonts w:asciiTheme="majorEastAsia" w:hAnsiTheme="majorEastAsia" w:eastAsiaTheme="majorEastAsia"/>
          <w:sz w:val="32"/>
          <w:szCs w:val="32"/>
        </w:rPr>
        <w:br w:type="page"/>
      </w:r>
    </w:p>
    <w:p>
      <w:pPr>
        <w:spacing w:line="500" w:lineRule="exact"/>
        <w:ind w:firstLine="2731" w:firstLineChars="850"/>
        <w:jc w:val="left"/>
        <w:rPr>
          <w:rFonts w:asciiTheme="majorEastAsia" w:hAnsiTheme="majorEastAsia" w:eastAsiaTheme="majorEastAsia"/>
          <w:b/>
          <w:sz w:val="32"/>
          <w:szCs w:val="32"/>
        </w:rPr>
      </w:pPr>
      <w:r>
        <w:rPr>
          <w:rFonts w:hint="eastAsia" w:asciiTheme="majorEastAsia" w:hAnsiTheme="majorEastAsia" w:eastAsiaTheme="majorEastAsia"/>
          <w:b/>
          <w:sz w:val="32"/>
          <w:szCs w:val="32"/>
        </w:rPr>
        <w:t>第二部分供应商须知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hint="eastAsia" w:asciiTheme="majorEastAsia" w:hAnsiTheme="majorEastAsia" w:eastAsiaTheme="majorEastAsia"/>
                <w:szCs w:val="21"/>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asciiTheme="majorEastAsia" w:hAnsiTheme="majorEastAsia" w:eastAsiaTheme="majorEastAsia"/>
                <w:szCs w:val="21"/>
              </w:rPr>
            </w:pPr>
            <w:r>
              <w:rPr>
                <w:rFonts w:hint="eastAsia" w:asciiTheme="majorEastAsia" w:hAnsiTheme="majorEastAsia" w:eastAsiaTheme="majorEastAsia"/>
                <w:szCs w:val="21"/>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Theme="majorEastAsia" w:hAnsiTheme="majorEastAsia" w:eastAsiaTheme="majorEastAsia"/>
                <w:szCs w:val="21"/>
              </w:rPr>
            </w:pPr>
            <w:r>
              <w:rPr>
                <w:rFonts w:hint="eastAsia" w:asciiTheme="majorEastAsia" w:hAnsiTheme="majorEastAsia" w:eastAsiaTheme="majorEastAsia"/>
                <w:szCs w:val="21"/>
              </w:rPr>
              <w:t>采购人</w:t>
            </w:r>
          </w:p>
        </w:tc>
        <w:tc>
          <w:tcPr>
            <w:tcW w:w="6255" w:type="dxa"/>
            <w:tcBorders>
              <w:top w:val="single" w:color="auto" w:sz="4" w:space="0"/>
              <w:left w:val="single" w:color="auto" w:sz="4" w:space="0"/>
              <w:bottom w:val="single" w:color="auto" w:sz="4" w:space="0"/>
            </w:tcBorders>
            <w:vAlign w:val="center"/>
          </w:tcPr>
          <w:p>
            <w:pPr>
              <w:pStyle w:val="23"/>
              <w:ind w:left="2016" w:hanging="2016" w:hangingChars="96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名称：成都光明派特贵金属有限公司</w:t>
            </w:r>
          </w:p>
          <w:p>
            <w:pPr>
              <w:pStyle w:val="23"/>
              <w:tabs>
                <w:tab w:val="left" w:pos="7356"/>
              </w:tabs>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地址：成都市龙泉驿区北京路636号</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联系人：张</w:t>
            </w:r>
            <w:r>
              <w:rPr>
                <w:rFonts w:hint="eastAsia" w:asciiTheme="majorEastAsia" w:hAnsiTheme="majorEastAsia" w:eastAsiaTheme="majorEastAsia"/>
                <w:iCs/>
                <w:color w:val="auto"/>
                <w:sz w:val="21"/>
                <w:szCs w:val="21"/>
                <w:u w:val="single"/>
              </w:rPr>
              <w:t>先生</w:t>
            </w:r>
          </w:p>
          <w:p>
            <w:pPr>
              <w:snapToGrid w:val="0"/>
              <w:rPr>
                <w:rFonts w:asciiTheme="majorEastAsia" w:hAnsiTheme="majorEastAsia" w:eastAsiaTheme="majorEastAsia"/>
                <w:szCs w:val="21"/>
              </w:rPr>
            </w:pPr>
            <w:r>
              <w:rPr>
                <w:rFonts w:hint="eastAsia" w:asciiTheme="majorEastAsia" w:hAnsiTheme="majorEastAsia" w:eastAsiaTheme="majorEastAsia"/>
                <w:szCs w:val="21"/>
              </w:rPr>
              <w:t>电话：18054780553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asciiTheme="majorEastAsia" w:hAnsiTheme="majorEastAsia" w:eastAsiaTheme="majorEastAsia"/>
                <w:szCs w:val="21"/>
              </w:rPr>
            </w:pPr>
            <w:r>
              <w:rPr>
                <w:rFonts w:hint="eastAsia" w:asciiTheme="majorEastAsia" w:hAnsiTheme="majorEastAsia" w:eastAsiaTheme="majorEastAsia"/>
                <w:szCs w:val="21"/>
              </w:rPr>
              <w:t>设备名称</w:t>
            </w:r>
          </w:p>
        </w:tc>
        <w:tc>
          <w:tcPr>
            <w:tcW w:w="6255" w:type="dxa"/>
            <w:tcBorders>
              <w:top w:val="single" w:color="auto" w:sz="4" w:space="0"/>
              <w:left w:val="single" w:color="auto" w:sz="4" w:space="0"/>
              <w:bottom w:val="single" w:color="auto" w:sz="4" w:space="0"/>
            </w:tcBorders>
            <w:vAlign w:val="center"/>
          </w:tcPr>
          <w:p>
            <w:pPr>
              <w:snapToGrid w:val="0"/>
              <w:rPr>
                <w:rFonts w:asciiTheme="majorEastAsia" w:hAnsiTheme="majorEastAsia" w:eastAsiaTheme="majorEastAsia"/>
                <w:szCs w:val="21"/>
              </w:rPr>
            </w:pPr>
            <w:r>
              <w:rPr>
                <w:rFonts w:hint="eastAsia"/>
                <w:bCs/>
                <w:szCs w:val="21"/>
                <w:u w:val="single"/>
              </w:rPr>
              <w:t>1台32公斤电子天平</w:t>
            </w:r>
            <w:r>
              <w:rPr>
                <w:rFonts w:hint="eastAsia" w:asciiTheme="majorEastAsia" w:hAnsiTheme="majorEastAsia" w:eastAsiaTheme="majorEastAsia"/>
                <w:szCs w:val="21"/>
              </w:rPr>
              <w:t>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最高限额</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rPr>
                <w:rFonts w:asciiTheme="majorEastAsia" w:hAnsiTheme="majorEastAsia" w:eastAsiaTheme="majorEastAsia"/>
                <w:color w:val="FF0000"/>
                <w:sz w:val="21"/>
                <w:szCs w:val="21"/>
              </w:rPr>
            </w:pPr>
            <w:r>
              <w:rPr>
                <w:rFonts w:hint="eastAsia" w:asciiTheme="majorEastAsia" w:hAnsiTheme="majorEastAsia" w:eastAsiaTheme="majorEastAsia"/>
                <w:color w:val="FF0000"/>
                <w:sz w:val="21"/>
                <w:szCs w:val="21"/>
              </w:rPr>
              <w:t>限价12</w:t>
            </w:r>
            <w:r>
              <w:rPr>
                <w:rFonts w:asciiTheme="majorEastAsia" w:hAnsiTheme="majorEastAsia" w:eastAsiaTheme="majorEastAsia"/>
                <w:color w:val="FF0000"/>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供应商资质条件、能力和信誉</w:t>
            </w:r>
          </w:p>
        </w:tc>
        <w:tc>
          <w:tcPr>
            <w:tcW w:w="6255" w:type="dxa"/>
            <w:tcBorders>
              <w:top w:val="single" w:color="auto" w:sz="4" w:space="0"/>
              <w:left w:val="single" w:color="auto" w:sz="4" w:space="0"/>
              <w:bottom w:val="single" w:color="auto" w:sz="4" w:space="0"/>
            </w:tcBorders>
          </w:tcPr>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资质条件：</w:t>
            </w:r>
            <w:r>
              <w:rPr>
                <w:rFonts w:hint="eastAsia" w:asciiTheme="majorEastAsia" w:hAnsiTheme="majorEastAsia" w:eastAsiaTheme="majorEastAsia"/>
                <w:color w:val="auto"/>
                <w:sz w:val="21"/>
                <w:szCs w:val="21"/>
                <w:u w:val="single"/>
              </w:rPr>
              <w:t>设备制造商</w:t>
            </w:r>
          </w:p>
          <w:p>
            <w:pPr>
              <w:pStyle w:val="23"/>
              <w:rPr>
                <w:rFonts w:asciiTheme="majorEastAsia" w:hAnsiTheme="majorEastAsia" w:eastAsiaTheme="majorEastAsia"/>
                <w:color w:val="auto"/>
                <w:sz w:val="21"/>
                <w:szCs w:val="21"/>
              </w:rPr>
            </w:pPr>
            <w:r>
              <w:rPr>
                <w:rFonts w:hint="eastAsia" w:asciiTheme="majorEastAsia" w:hAnsiTheme="majorEastAsia" w:eastAsiaTheme="majorEastAsia"/>
                <w:color w:val="auto"/>
                <w:sz w:val="21"/>
                <w:szCs w:val="21"/>
              </w:rPr>
              <w:t>财务要求：</w:t>
            </w:r>
            <w:r>
              <w:rPr>
                <w:rFonts w:asciiTheme="majorEastAsia" w:hAnsiTheme="majorEastAsia" w:eastAsiaTheme="majorEastAsia"/>
                <w:color w:val="auto"/>
                <w:sz w:val="21"/>
                <w:szCs w:val="21"/>
              </w:rPr>
              <w:t>3</w:t>
            </w:r>
            <w:r>
              <w:rPr>
                <w:rFonts w:hint="eastAsia" w:asciiTheme="majorEastAsia" w:hAnsiTheme="majorEastAsia" w:eastAsiaTheme="majorEastAsia"/>
                <w:color w:val="auto"/>
                <w:sz w:val="21"/>
                <w:szCs w:val="21"/>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asciiTheme="majorEastAsia" w:hAnsiTheme="majorEastAsia" w:eastAsiaTheme="majorEastAsia"/>
                <w:szCs w:val="21"/>
                <w:u w:val="single"/>
              </w:rPr>
              <w:t>不</w:t>
            </w:r>
            <w:r>
              <w:rPr>
                <w:rFonts w:hint="eastAsia" w:asciiTheme="majorEastAsia" w:hAnsiTheme="majorEastAsia" w:eastAsiaTheme="majorEastAsia"/>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供应商在收到书面答复</w:t>
            </w:r>
            <w:r>
              <w:rPr>
                <w:rFonts w:cs="仿宋_GB2312" w:asciiTheme="majorEastAsia" w:hAnsiTheme="majorEastAsia" w:eastAsiaTheme="majorEastAsia"/>
                <w:kern w:val="0"/>
                <w:szCs w:val="21"/>
              </w:rPr>
              <w:t>(</w:t>
            </w:r>
            <w:r>
              <w:rPr>
                <w:rFonts w:hint="eastAsia" w:cs="仿宋_GB2312" w:asciiTheme="majorEastAsia" w:hAnsiTheme="majorEastAsia" w:eastAsiaTheme="majorEastAsia"/>
                <w:kern w:val="0"/>
                <w:szCs w:val="21"/>
              </w:rPr>
              <w:t>补遗书</w:t>
            </w:r>
            <w:r>
              <w:rPr>
                <w:rFonts w:cs="仿宋_GB2312" w:asciiTheme="majorEastAsia" w:hAnsiTheme="majorEastAsia" w:eastAsiaTheme="majorEastAsia"/>
                <w:kern w:val="0"/>
                <w:szCs w:val="21"/>
              </w:rPr>
              <w:t>)48</w:t>
            </w:r>
            <w:r>
              <w:rPr>
                <w:rFonts w:hint="eastAsia" w:cs="仿宋_GB2312" w:asciiTheme="majorEastAsia" w:hAnsiTheme="majorEastAsia" w:eastAsiaTheme="majorEastAsia"/>
                <w:kern w:val="0"/>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r>
              <w:rPr>
                <w:rFonts w:asciiTheme="majorEastAsia" w:hAnsiTheme="majorEastAsia" w:eastAsiaTheme="majorEastAsia"/>
                <w:szCs w:val="21"/>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响应文件由正本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份；副本</w:t>
            </w:r>
            <w:r>
              <w:rPr>
                <w:rFonts w:cs="仿宋_GB2312" w:asciiTheme="majorEastAsia" w:hAnsiTheme="majorEastAsia" w:eastAsiaTheme="majorEastAsia"/>
                <w:kern w:val="0"/>
                <w:szCs w:val="21"/>
              </w:rPr>
              <w:t>1</w:t>
            </w:r>
            <w:r>
              <w:rPr>
                <w:rFonts w:hint="eastAsia" w:cs="仿宋_GB2312" w:asciiTheme="majorEastAsia" w:hAnsiTheme="majorEastAsia" w:eastAsiaTheme="majorEastAsia"/>
                <w:kern w:val="0"/>
                <w:szCs w:val="21"/>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Cs w:val="21"/>
              </w:rPr>
            </w:pP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Theme="majorEastAsia" w:hAnsiTheme="majorEastAsia" w:eastAsiaTheme="majorEastAsia"/>
                <w:szCs w:val="21"/>
              </w:rPr>
            </w:pPr>
            <w:r>
              <w:rPr>
                <w:rFonts w:hint="eastAsia" w:cs="仿宋_GB2312" w:asciiTheme="majorEastAsia" w:hAnsiTheme="majorEastAsia" w:eastAsiaTheme="majorEastAsia"/>
                <w:kern w:val="0"/>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23"/>
              <w:rPr>
                <w:rFonts w:cs="仿宋_GB2312" w:asciiTheme="majorEastAsia" w:hAnsiTheme="majorEastAsia" w:eastAsiaTheme="majorEastAsia"/>
                <w:color w:val="auto"/>
                <w:sz w:val="21"/>
                <w:szCs w:val="21"/>
              </w:rPr>
            </w:pPr>
            <w:r>
              <w:rPr>
                <w:rFonts w:cs="仿宋_GB2312" w:asciiTheme="majorEastAsia" w:hAnsiTheme="majorEastAsia" w:eastAsiaTheme="majorEastAsia"/>
                <w:color w:val="auto"/>
                <w:sz w:val="21"/>
                <w:szCs w:val="21"/>
              </w:rPr>
              <w:t>1.</w:t>
            </w:r>
            <w:r>
              <w:rPr>
                <w:rFonts w:hint="eastAsia" w:cs="仿宋_GB2312" w:asciiTheme="majorEastAsia" w:hAnsiTheme="majorEastAsia" w:eastAsiaTheme="majorEastAsia"/>
                <w:color w:val="auto"/>
                <w:sz w:val="21"/>
                <w:szCs w:val="21"/>
              </w:rPr>
              <w:t>装订牢固，并应编制目录和连续页码（封面和扉页除外）；</w:t>
            </w:r>
          </w:p>
          <w:p>
            <w:pPr>
              <w:autoSpaceDE w:val="0"/>
              <w:autoSpaceDN w:val="0"/>
              <w:adjustRightInd w:val="0"/>
              <w:rPr>
                <w:rFonts w:cs="仿宋_GB2312" w:asciiTheme="majorEastAsia" w:hAnsiTheme="majorEastAsia" w:eastAsiaTheme="majorEastAsia"/>
                <w:kern w:val="0"/>
                <w:szCs w:val="21"/>
              </w:rPr>
            </w:pPr>
            <w:r>
              <w:rPr>
                <w:rFonts w:asciiTheme="majorEastAsia" w:hAnsiTheme="majorEastAsia" w:eastAsiaTheme="majorEastAsia"/>
                <w:szCs w:val="21"/>
              </w:rPr>
              <w:t>2.</w:t>
            </w:r>
            <w:r>
              <w:rPr>
                <w:rFonts w:hint="eastAsia" w:asciiTheme="majorEastAsia" w:hAnsiTheme="majorEastAsia" w:eastAsiaTheme="majorEastAsia"/>
                <w:szCs w:val="21"/>
              </w:rPr>
              <w:t>报价函、商务部分和技术部分集中装订成</w:t>
            </w:r>
            <w:r>
              <w:rPr>
                <w:rFonts w:asciiTheme="majorEastAsia" w:hAnsiTheme="majorEastAsia" w:eastAsiaTheme="majorEastAsia"/>
                <w:szCs w:val="21"/>
              </w:rPr>
              <w:t>1</w:t>
            </w:r>
            <w:r>
              <w:rPr>
                <w:rFonts w:hint="eastAsia" w:asciiTheme="majorEastAsia" w:hAnsiTheme="majorEastAsia" w:eastAsiaTheme="majorEastAsia"/>
                <w:szCs w:val="21"/>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封套上写明</w:t>
            </w:r>
          </w:p>
        </w:tc>
        <w:tc>
          <w:tcPr>
            <w:tcW w:w="6255" w:type="dxa"/>
            <w:tcBorders>
              <w:top w:val="single" w:color="auto" w:sz="4" w:space="0"/>
              <w:left w:val="single" w:color="auto" w:sz="4" w:space="0"/>
              <w:bottom w:val="single" w:color="auto" w:sz="4" w:space="0"/>
            </w:tcBorders>
            <w:vAlign w:val="center"/>
          </w:tcPr>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采购人的地址：成都市龙泉驿区</w:t>
            </w:r>
            <w:r>
              <w:rPr>
                <w:rFonts w:hint="eastAsia" w:asciiTheme="majorEastAsia" w:hAnsiTheme="majorEastAsia" w:eastAsiaTheme="majorEastAsia"/>
                <w:color w:val="auto"/>
                <w:sz w:val="21"/>
                <w:szCs w:val="21"/>
              </w:rPr>
              <w:t>北京路636号</w:t>
            </w:r>
          </w:p>
          <w:p>
            <w:pPr>
              <w:pStyle w:val="23"/>
              <w:ind w:left="630" w:hanging="630" w:hangingChars="300"/>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采购人名称：成都光明派特贵金属有限公司</w:t>
            </w:r>
          </w:p>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成都光明派特贵金属有限公司</w:t>
            </w:r>
            <w:r>
              <w:rPr>
                <w:rFonts w:hint="eastAsia"/>
                <w:bCs/>
                <w:szCs w:val="21"/>
                <w:u w:val="single"/>
              </w:rPr>
              <w:t>1台32公斤电子天平</w:t>
            </w:r>
            <w:r>
              <w:rPr>
                <w:rFonts w:hint="eastAsia" w:cs="仿宋_GB2312" w:asciiTheme="majorEastAsia" w:hAnsiTheme="majorEastAsia" w:eastAsiaTheme="majorEastAsia"/>
                <w:kern w:val="0"/>
                <w:szCs w:val="21"/>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有效期</w:t>
            </w:r>
            <w:r>
              <w:rPr>
                <w:rFonts w:cs="仿宋_GB2312" w:asciiTheme="majorEastAsia" w:hAnsiTheme="majorEastAsia" w:eastAsiaTheme="majorEastAsia"/>
                <w:kern w:val="0"/>
                <w:szCs w:val="21"/>
                <w:u w:val="single"/>
              </w:rPr>
              <w:t>90</w:t>
            </w:r>
            <w:r>
              <w:rPr>
                <w:rFonts w:hint="eastAsia" w:cs="仿宋_GB2312" w:asciiTheme="majorEastAsia" w:hAnsiTheme="majorEastAsia" w:eastAsiaTheme="majorEastAsia"/>
                <w:kern w:val="0"/>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ajorEastAsia" w:hAnsiTheme="majorEastAsia" w:eastAsiaTheme="majorEastAsia"/>
                <w:szCs w:val="21"/>
              </w:rPr>
            </w:pPr>
            <w:r>
              <w:rPr>
                <w:rFonts w:hint="eastAsia" w:cs="仿宋_GB2312" w:asciiTheme="majorEastAsia" w:hAnsiTheme="majorEastAsia" w:eastAsiaTheme="majorEastAsia"/>
                <w:kern w:val="0"/>
                <w:szCs w:val="21"/>
              </w:rPr>
              <w:t>成都市龙泉驿区</w:t>
            </w:r>
            <w:r>
              <w:rPr>
                <w:rFonts w:hint="eastAsia" w:cs="宋体" w:asciiTheme="majorEastAsia" w:hAnsiTheme="majorEastAsia" w:eastAsiaTheme="majorEastAsia"/>
                <w:kern w:val="0"/>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23"/>
              <w:jc w:val="both"/>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公开报价时间和地点</w:t>
            </w:r>
          </w:p>
        </w:tc>
        <w:tc>
          <w:tcPr>
            <w:tcW w:w="6255" w:type="dxa"/>
            <w:tcBorders>
              <w:top w:val="single" w:color="auto" w:sz="4" w:space="0"/>
              <w:left w:val="single" w:color="auto" w:sz="4" w:space="0"/>
              <w:bottom w:val="single" w:color="auto" w:sz="4" w:space="0"/>
            </w:tcBorders>
          </w:tcPr>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公开报价时间：同报价截止时间</w:t>
            </w:r>
          </w:p>
          <w:p>
            <w:pPr>
              <w:pStyle w:val="23"/>
              <w:rPr>
                <w:rFonts w:cs="仿宋_GB2312" w:asciiTheme="majorEastAsia" w:hAnsiTheme="majorEastAsia" w:eastAsiaTheme="majorEastAsia"/>
                <w:color w:val="auto"/>
                <w:sz w:val="21"/>
                <w:szCs w:val="21"/>
              </w:rPr>
            </w:pPr>
            <w:r>
              <w:rPr>
                <w:rFonts w:hint="eastAsia" w:cs="仿宋_GB2312" w:asciiTheme="majorEastAsia" w:hAnsiTheme="majorEastAsia" w:eastAsiaTheme="majorEastAsia"/>
                <w:color w:val="auto"/>
                <w:sz w:val="21"/>
                <w:szCs w:val="21"/>
              </w:rPr>
              <w:t>公开报价地点：成都市龙泉驿区</w:t>
            </w:r>
            <w:r>
              <w:rPr>
                <w:rFonts w:hint="eastAsia" w:asciiTheme="majorEastAsia" w:hAnsiTheme="majorEastAsia" w:eastAsiaTheme="majorEastAsia"/>
                <w:color w:val="auto"/>
                <w:sz w:val="21"/>
                <w:szCs w:val="21"/>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Cs w:val="21"/>
              </w:rPr>
            </w:pPr>
            <w:r>
              <w:rPr>
                <w:rFonts w:cs="仿宋_GB2312" w:asciiTheme="majorEastAsia" w:hAnsiTheme="majorEastAsia" w:eastAsiaTheme="majorEastAsia"/>
                <w:kern w:val="0"/>
                <w:szCs w:val="21"/>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cs="仿宋_GB2312" w:asciiTheme="majorEastAsia" w:hAnsiTheme="majorEastAsia" w:eastAsiaTheme="majorEastAsia"/>
                <w:kern w:val="0"/>
                <w:szCs w:val="21"/>
              </w:rPr>
            </w:pPr>
            <w:r>
              <w:rPr>
                <w:rFonts w:hint="eastAsia" w:cs="仿宋_GB2312" w:asciiTheme="majorEastAsia" w:hAnsiTheme="majorEastAsia" w:eastAsiaTheme="majorEastAsia"/>
                <w:kern w:val="0"/>
                <w:sz w:val="24"/>
              </w:rPr>
              <w:t>满足技术条件最低价中标法</w:t>
            </w:r>
          </w:p>
        </w:tc>
      </w:tr>
    </w:tbl>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一、供应商参加采购活动应当符合国家相关法律法规。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w:t>
      </w:r>
      <w:r>
        <w:rPr>
          <w:rFonts w:asciiTheme="majorEastAsia" w:hAnsiTheme="majorEastAsia" w:eastAsiaTheme="majorEastAsia"/>
          <w:sz w:val="24"/>
        </w:rPr>
        <w:t>10</w:t>
      </w:r>
      <w:r>
        <w:rPr>
          <w:rFonts w:hint="eastAsia" w:asciiTheme="majorEastAsia" w:hAnsiTheme="majorEastAsia" w:eastAsiaTheme="majorEastAsia"/>
          <w:sz w:val="24"/>
        </w:rPr>
        <w:t>个工作日内与采购人签订合同，并在规定时间内供货。</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pPr>
        <w:spacing w:line="48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五、报价文件应包括：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（四）所投货物详细技术参数及原厂商针对此项目授权书原件；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（六）报价单位认为适宜的与本项目相关的其他资格证明资料。</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r>
        <w:rPr>
          <w:rFonts w:hint="eastAsia" w:asciiTheme="majorEastAsia" w:hAnsiTheme="majorEastAsia" w:eastAsiaTheme="majorEastAsia"/>
          <w:b/>
          <w:sz w:val="24"/>
          <w:u w:val="single"/>
        </w:rPr>
        <w:t>供应商在递交询价报价文件时，必须是密封完好的，密封件正面应标明单位名称，并在封口处加盖单位公章。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六、报价文件接受截止时间及地点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23</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3</w:t>
      </w:r>
      <w:r>
        <w:rPr>
          <w:rFonts w:hint="eastAsia" w:asciiTheme="majorEastAsia" w:hAnsiTheme="majorEastAsia" w:eastAsiaTheme="majorEastAsia"/>
          <w:sz w:val="24"/>
        </w:rPr>
        <w:t>月</w:t>
      </w:r>
      <w:r>
        <w:rPr>
          <w:rFonts w:hint="eastAsia" w:asciiTheme="majorEastAsia" w:hAnsiTheme="majorEastAsia" w:eastAsiaTheme="majorEastAsia"/>
          <w:sz w:val="24"/>
          <w:lang w:val="en-US" w:eastAsia="zh-CN"/>
        </w:rPr>
        <w:t>3</w:t>
      </w:r>
      <w:r>
        <w:rPr>
          <w:rFonts w:hint="eastAsia" w:asciiTheme="majorEastAsia" w:hAnsiTheme="majorEastAsia" w:eastAsiaTheme="majorEastAsia"/>
          <w:sz w:val="24"/>
        </w:rPr>
        <w:t>日1</w:t>
      </w:r>
      <w:r>
        <w:rPr>
          <w:rFonts w:hint="eastAsia" w:asciiTheme="majorEastAsia" w:hAnsiTheme="majorEastAsia" w:eastAsiaTheme="majorEastAsia"/>
          <w:sz w:val="24"/>
          <w:lang w:val="en-US" w:eastAsia="zh-CN"/>
        </w:rPr>
        <w:t>7</w:t>
      </w:r>
      <w:bookmarkStart w:id="11" w:name="_GoBack"/>
      <w:bookmarkEnd w:id="11"/>
      <w:r>
        <w:rPr>
          <w:rFonts w:hint="eastAsia" w:asciiTheme="majorEastAsia" w:hAnsiTheme="majorEastAsia" w:eastAsiaTheme="majorEastAsia"/>
          <w:sz w:val="24"/>
        </w:rPr>
        <w:t>:00时，截止时间后，将拒绝接收新的报价文件。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（二）投送地点：成都光明派特贵金属有限公司综合管理部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七、下列情况将被视为无效报价文件：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（三）报价文件中的各项内容填列不完整和有涂改现象的，供应商公章和供应商代表签字不齐的；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（五）供应商擅自改变货物型号、配置的；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（六）供应商的报价材料密封不合要求的；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（七）其他询价小组认为的其他非实质性响应的；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（八）法律、法规规定的其他情况。</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十、报价文件的评审</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（二）审查是否所有供应商的报价均超过采购预算：出现所有供应商的报价均超过采购预算、采购人没有支付能力的情况时采购无效，询价小组有权决定拒绝所有报价文件。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．对于经审查确定为资格合格的供应商，询价小组将审查其报价文件是否对询价文件的所有事项、格式、条款和技术规范等要求都做出了实质性响应。</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）明显不符合询价文件规定的技术规格、技术标准；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）报价文件载明的货物检验标准和方法等明显不符合询价文件要求；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5</w:t>
      </w:r>
      <w:r>
        <w:rPr>
          <w:rFonts w:hint="eastAsia" w:asciiTheme="majorEastAsia" w:hAnsiTheme="majorEastAsia" w:eastAsiaTheme="majorEastAsia"/>
          <w:sz w:val="24"/>
        </w:rPr>
        <w:t>）询价文件要求提供样机（样品）但供应商未提供；</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6</w:t>
      </w:r>
      <w:r>
        <w:rPr>
          <w:rFonts w:hint="eastAsia" w:asciiTheme="majorEastAsia" w:hAnsiTheme="majorEastAsia" w:eastAsiaTheme="majorEastAsia"/>
          <w:sz w:val="24"/>
        </w:rPr>
        <w:t>）报价文件附有采购人不能接受的条件；</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7</w:t>
      </w:r>
      <w:r>
        <w:rPr>
          <w:rFonts w:hint="eastAsia" w:asciiTheme="majorEastAsia" w:hAnsiTheme="majorEastAsia" w:eastAsiaTheme="majorEastAsia"/>
          <w:sz w:val="24"/>
        </w:rPr>
        <w:t>）不符合询价文件规定的其他实质性要求；</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十一、出现下列情形之一的，询价小组有权否决所有供应商的报价或取消采购活动：</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．参与报价的供应商不足三家的；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．供应商的报价均超过了采购预算，采购单位不能支付的；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5</w:t>
      </w:r>
      <w:r>
        <w:rPr>
          <w:rFonts w:hint="eastAsia" w:asciiTheme="majorEastAsia" w:hAnsiTheme="majorEastAsia" w:eastAsiaTheme="majorEastAsia"/>
          <w:sz w:val="24"/>
        </w:rPr>
        <w:t>．询价小组经评审认为所有报价文件都不符合询价文件要求的。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十二</w:t>
      </w:r>
      <w:bookmarkStart w:id="0" w:name="_Toc217446103"/>
      <w:r>
        <w:rPr>
          <w:rFonts w:hint="eastAsia" w:asciiTheme="majorEastAsia" w:hAnsiTheme="majorEastAsia" w:eastAsiaTheme="majorEastAsia"/>
          <w:sz w:val="24"/>
        </w:rPr>
        <w:t>、评审细则及标准</w:t>
      </w:r>
      <w:bookmarkEnd w:id="0"/>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．评审小组只对通过初审的响应文件，根据询价通知书规定的评审程序、评分办法及标准进行评价和比较。</w:t>
      </w:r>
    </w:p>
    <w:p>
      <w:pPr>
        <w:spacing w:line="46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．本次综合评分的因素是：</w:t>
      </w:r>
      <w:r>
        <w:rPr>
          <w:rFonts w:hint="eastAsia" w:cs="仿宋_GB2312" w:asciiTheme="majorEastAsia" w:hAnsiTheme="majorEastAsia" w:eastAsiaTheme="majorEastAsia"/>
          <w:kern w:val="0"/>
          <w:sz w:val="24"/>
        </w:rPr>
        <w:t>满足技术条件最低价中标法</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3．在评审过程中，响应文件有下列情况之一，评审小组成员应当按照询价通知书规定的非实质性偏离进行扣分：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）响应文件未按询价通知书要求编制目录、页码；</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）认定的与询价通知书第五章规定的技术、商务和其他规定要求不符的非实质性偏离。</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）认定的其他非实质性偏离。</w:t>
      </w:r>
    </w:p>
    <w:p>
      <w:pPr>
        <w:widowControl/>
        <w:jc w:val="left"/>
        <w:rPr>
          <w:rFonts w:ascii="宋体" w:hAnsi="宋体"/>
          <w:b/>
          <w:sz w:val="32"/>
          <w:szCs w:val="32"/>
        </w:rPr>
      </w:pPr>
      <w:r>
        <w:rPr>
          <w:rFonts w:ascii="宋体" w:hAnsi="宋体"/>
          <w:b/>
          <w:sz w:val="32"/>
          <w:szCs w:val="32"/>
        </w:rPr>
        <w:br w:type="page"/>
      </w:r>
    </w:p>
    <w:p>
      <w:pPr>
        <w:spacing w:line="480" w:lineRule="auto"/>
        <w:ind w:firstLine="3373" w:firstLineChars="1050"/>
        <w:rPr>
          <w:color w:val="FF0000"/>
          <w:sz w:val="32"/>
          <w:szCs w:val="36"/>
        </w:rPr>
      </w:pPr>
      <w:r>
        <w:rPr>
          <w:rFonts w:hint="eastAsia" w:ascii="宋体" w:hAnsi="宋体"/>
          <w:b/>
          <w:sz w:val="32"/>
          <w:szCs w:val="32"/>
        </w:rPr>
        <w:t>第三部分技术参数</w:t>
      </w:r>
    </w:p>
    <w:p>
      <w:pPr>
        <w:numPr>
          <w:ilvl w:val="0"/>
          <w:numId w:val="1"/>
        </w:numPr>
        <w:rPr>
          <w:sz w:val="28"/>
          <w:szCs w:val="28"/>
        </w:rPr>
      </w:pPr>
      <w:r>
        <w:rPr>
          <w:rFonts w:hint="eastAsia"/>
          <w:sz w:val="28"/>
          <w:szCs w:val="28"/>
        </w:rPr>
        <w:t>最大载荷 32.2 kg</w:t>
      </w:r>
    </w:p>
    <w:p>
      <w:pPr>
        <w:numPr>
          <w:ilvl w:val="0"/>
          <w:numId w:val="1"/>
        </w:numPr>
        <w:rPr>
          <w:sz w:val="28"/>
          <w:szCs w:val="28"/>
        </w:rPr>
      </w:pPr>
      <w:r>
        <w:rPr>
          <w:rFonts w:hint="eastAsia"/>
          <w:sz w:val="28"/>
          <w:szCs w:val="28"/>
        </w:rPr>
        <w:t>可读性 0.01 g</w:t>
      </w:r>
    </w:p>
    <w:p>
      <w:pPr>
        <w:numPr>
          <w:ilvl w:val="0"/>
          <w:numId w:val="1"/>
        </w:numPr>
        <w:rPr>
          <w:sz w:val="28"/>
          <w:szCs w:val="28"/>
        </w:rPr>
      </w:pPr>
      <w:r>
        <w:rPr>
          <w:rFonts w:hint="eastAsia"/>
          <w:sz w:val="28"/>
          <w:szCs w:val="28"/>
        </w:rPr>
        <w:t>电子称量范围 0-32.2 kg</w:t>
      </w:r>
    </w:p>
    <w:p>
      <w:pPr>
        <w:numPr>
          <w:ilvl w:val="0"/>
          <w:numId w:val="1"/>
        </w:numPr>
        <w:rPr>
          <w:sz w:val="28"/>
          <w:szCs w:val="28"/>
        </w:rPr>
      </w:pPr>
      <w:r>
        <w:rPr>
          <w:rFonts w:hint="eastAsia"/>
          <w:sz w:val="28"/>
          <w:szCs w:val="28"/>
        </w:rPr>
        <w:t>*重复性(sd) ≤0.03 g (20kg, 6*ABA)</w:t>
      </w:r>
    </w:p>
    <w:p>
      <w:pPr>
        <w:numPr>
          <w:ilvl w:val="0"/>
          <w:numId w:val="1"/>
        </w:numPr>
        <w:rPr>
          <w:sz w:val="28"/>
          <w:szCs w:val="28"/>
        </w:rPr>
      </w:pPr>
      <w:r>
        <w:rPr>
          <w:rFonts w:hint="eastAsia"/>
          <w:sz w:val="28"/>
          <w:szCs w:val="28"/>
        </w:rPr>
        <w:t>典型重复性(sd) ≤0.02 g (20kg, 6*ABA)</w:t>
      </w:r>
    </w:p>
    <w:p>
      <w:pPr>
        <w:numPr>
          <w:ilvl w:val="0"/>
          <w:numId w:val="1"/>
        </w:numPr>
        <w:rPr>
          <w:sz w:val="28"/>
          <w:szCs w:val="28"/>
        </w:rPr>
      </w:pPr>
      <w:r>
        <w:rPr>
          <w:rFonts w:hint="eastAsia"/>
          <w:sz w:val="28"/>
          <w:szCs w:val="28"/>
        </w:rPr>
        <w:t>线性误差 ≤±0.15 g</w:t>
      </w:r>
    </w:p>
    <w:p>
      <w:pPr>
        <w:numPr>
          <w:ilvl w:val="0"/>
          <w:numId w:val="1"/>
        </w:numPr>
        <w:rPr>
          <w:sz w:val="28"/>
          <w:szCs w:val="28"/>
        </w:rPr>
      </w:pPr>
      <w:r>
        <w:rPr>
          <w:rFonts w:hint="eastAsia"/>
          <w:sz w:val="28"/>
          <w:szCs w:val="28"/>
        </w:rPr>
        <w:t>稳定时间 3~5 s</w:t>
      </w:r>
    </w:p>
    <w:p>
      <w:pPr>
        <w:numPr>
          <w:ilvl w:val="0"/>
          <w:numId w:val="1"/>
        </w:numPr>
        <w:rPr>
          <w:sz w:val="28"/>
          <w:szCs w:val="28"/>
        </w:rPr>
      </w:pPr>
      <w:r>
        <w:rPr>
          <w:rFonts w:hint="eastAsia"/>
          <w:sz w:val="28"/>
          <w:szCs w:val="28"/>
        </w:rPr>
        <w:t>秤盘尺寸最低： 351x245 mm</w:t>
      </w:r>
    </w:p>
    <w:p>
      <w:pPr>
        <w:numPr>
          <w:ilvl w:val="0"/>
          <w:numId w:val="1"/>
        </w:numPr>
        <w:rPr>
          <w:sz w:val="28"/>
          <w:szCs w:val="28"/>
        </w:rPr>
      </w:pPr>
      <w:r>
        <w:rPr>
          <w:rFonts w:hint="eastAsia"/>
          <w:sz w:val="28"/>
          <w:szCs w:val="28"/>
        </w:rPr>
        <w:t>坚固的高品质铸铝机架既可保护传感器避免外界撞击及环境干扰也能抵抗化学品的腐蚀</w:t>
      </w:r>
    </w:p>
    <w:p>
      <w:pPr>
        <w:numPr>
          <w:ilvl w:val="0"/>
          <w:numId w:val="1"/>
        </w:numPr>
        <w:rPr>
          <w:sz w:val="28"/>
          <w:szCs w:val="28"/>
        </w:rPr>
      </w:pPr>
      <w:r>
        <w:rPr>
          <w:rFonts w:hint="eastAsia"/>
          <w:sz w:val="28"/>
          <w:szCs w:val="28"/>
        </w:rPr>
        <w:t>采用高性能电磁力平衡单模块传感器(MonoBloc)，能确保其具有使用寿命长和极度耐用的特性，以及抗冲击性</w:t>
      </w:r>
    </w:p>
    <w:p>
      <w:pPr>
        <w:numPr>
          <w:ilvl w:val="0"/>
          <w:numId w:val="1"/>
        </w:numPr>
        <w:rPr>
          <w:sz w:val="28"/>
          <w:szCs w:val="28"/>
        </w:rPr>
      </w:pPr>
      <w:r>
        <w:rPr>
          <w:rFonts w:hint="eastAsia"/>
          <w:sz w:val="28"/>
          <w:szCs w:val="28"/>
        </w:rPr>
        <w:t>配置保护称量单元免受过载伤害专用技术和装置</w:t>
      </w:r>
    </w:p>
    <w:p>
      <w:pPr>
        <w:numPr>
          <w:ilvl w:val="0"/>
          <w:numId w:val="1"/>
        </w:numPr>
        <w:rPr>
          <w:sz w:val="28"/>
          <w:szCs w:val="28"/>
        </w:rPr>
      </w:pPr>
      <w:r>
        <w:rPr>
          <w:rFonts w:hint="eastAsia"/>
          <w:sz w:val="28"/>
          <w:szCs w:val="28"/>
        </w:rPr>
        <w:t>FACT可时间设置及依据温度漂移触发的全自动校正</w:t>
      </w:r>
    </w:p>
    <w:p>
      <w:pPr>
        <w:numPr>
          <w:ilvl w:val="0"/>
          <w:numId w:val="1"/>
        </w:numPr>
        <w:rPr>
          <w:sz w:val="28"/>
          <w:szCs w:val="28"/>
        </w:rPr>
      </w:pPr>
      <w:r>
        <w:rPr>
          <w:rFonts w:hint="eastAsia"/>
          <w:sz w:val="28"/>
          <w:szCs w:val="28"/>
        </w:rPr>
        <w:t>RS232通讯接口和USB接口可与电脑、打印机或扫描枪连接；</w:t>
      </w:r>
    </w:p>
    <w:p>
      <w:pPr>
        <w:numPr>
          <w:ilvl w:val="0"/>
          <w:numId w:val="1"/>
        </w:numPr>
        <w:rPr>
          <w:sz w:val="28"/>
          <w:szCs w:val="28"/>
        </w:rPr>
      </w:pPr>
      <w:r>
        <w:rPr>
          <w:rFonts w:hint="eastAsia"/>
          <w:sz w:val="28"/>
          <w:szCs w:val="28"/>
        </w:rPr>
        <w:t>具有自诊断测试功能例如 键盘测试，重复性测试等</w:t>
      </w:r>
    </w:p>
    <w:p>
      <w:pPr>
        <w:numPr>
          <w:ilvl w:val="0"/>
          <w:numId w:val="1"/>
        </w:numPr>
        <w:rPr>
          <w:sz w:val="28"/>
          <w:szCs w:val="28"/>
        </w:rPr>
      </w:pPr>
      <w:r>
        <w:rPr>
          <w:rFonts w:hint="eastAsia"/>
          <w:sz w:val="28"/>
          <w:szCs w:val="28"/>
        </w:rPr>
        <w:t>在四川具有分公司和售后服务部门，保证后期服务大的及时性</w:t>
      </w:r>
    </w:p>
    <w:p>
      <w:pPr>
        <w:numPr>
          <w:ilvl w:val="0"/>
          <w:numId w:val="1"/>
        </w:numPr>
        <w:rPr>
          <w:sz w:val="28"/>
          <w:szCs w:val="28"/>
        </w:rPr>
      </w:pPr>
      <w:r>
        <w:rPr>
          <w:rFonts w:hint="eastAsia"/>
          <w:sz w:val="28"/>
          <w:szCs w:val="28"/>
        </w:rPr>
        <w:t>配置说明：比较器主体，带支架的秤盘、电源线、使用说明书、EC一致性说明。</w:t>
      </w:r>
    </w:p>
    <w:p>
      <w:pPr>
        <w:numPr>
          <w:ilvl w:val="0"/>
          <w:numId w:val="1"/>
        </w:numPr>
        <w:jc w:val="lef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需携带打印机。</w:t>
      </w:r>
    </w:p>
    <w:p>
      <w:pPr>
        <w:jc w:val="left"/>
        <w:rPr>
          <w:rFonts w:ascii="宋体" w:hAnsi="宋体"/>
          <w:sz w:val="32"/>
        </w:rPr>
      </w:pPr>
      <w:r>
        <w:rPr>
          <w:rFonts w:hint="eastAsia" w:ascii="宋体" w:hAnsi="宋体"/>
          <w:sz w:val="32"/>
        </w:rPr>
        <w:t>说明：“*”必须满足，否则废标。</w:t>
      </w:r>
    </w:p>
    <w:p>
      <w:pPr>
        <w:rPr>
          <w:rFonts w:asciiTheme="majorEastAsia" w:hAnsiTheme="majorEastAsia" w:eastAsiaTheme="majorEastAsia"/>
          <w:b/>
          <w:sz w:val="32"/>
        </w:rPr>
      </w:pPr>
    </w:p>
    <w:p>
      <w:pPr>
        <w:jc w:val="center"/>
        <w:rPr>
          <w:rFonts w:asciiTheme="majorEastAsia" w:hAnsiTheme="majorEastAsia" w:eastAsiaTheme="majorEastAsia"/>
          <w:b/>
          <w:sz w:val="32"/>
        </w:rPr>
      </w:pPr>
      <w:r>
        <w:rPr>
          <w:rFonts w:hint="eastAsia" w:asciiTheme="majorEastAsia" w:hAnsiTheme="majorEastAsia" w:eastAsiaTheme="majorEastAsia"/>
          <w:b/>
          <w:sz w:val="32"/>
        </w:rPr>
        <w:t>第五部分商务部分（合同条款）</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采购单位（全称）：</w:t>
      </w:r>
      <w:r>
        <w:rPr>
          <w:rFonts w:hint="eastAsia" w:asciiTheme="majorEastAsia" w:hAnsiTheme="majorEastAsia" w:eastAsiaTheme="majorEastAsia"/>
          <w:sz w:val="24"/>
          <w:u w:val="single"/>
        </w:rPr>
        <w:t>成都光明派特贵金属有限公司</w:t>
      </w:r>
      <w:r>
        <w:rPr>
          <w:rFonts w:hint="eastAsia" w:asciiTheme="majorEastAsia" w:hAnsiTheme="majorEastAsia" w:eastAsiaTheme="majorEastAsia"/>
          <w:sz w:val="24"/>
        </w:rPr>
        <w:t>（简称甲方）</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成交供应商（全称）：                        （简称乙方）</w:t>
      </w:r>
    </w:p>
    <w:p>
      <w:pPr>
        <w:snapToGrid w:val="0"/>
        <w:spacing w:before="160" w:line="460" w:lineRule="exact"/>
        <w:ind w:firstLine="480" w:firstLineChars="200"/>
        <w:rPr>
          <w:sz w:val="24"/>
          <w:u w:val="single"/>
        </w:rPr>
      </w:pPr>
      <w:r>
        <w:rPr>
          <w:rFonts w:hint="eastAsia" w:asciiTheme="majorEastAsia" w:hAnsiTheme="majorEastAsia" w:eastAsiaTheme="majorEastAsia"/>
          <w:sz w:val="24"/>
        </w:rPr>
        <w:t>依照《中华人民共和国民典法》及其他有关法律、行政法规，遵循平等、自愿、公平和诚实信用的原则，双方就</w:t>
      </w:r>
      <w:r>
        <w:rPr>
          <w:rFonts w:hint="eastAsia" w:asciiTheme="majorEastAsia" w:hAnsiTheme="majorEastAsia" w:eastAsiaTheme="majorEastAsia"/>
          <w:bCs/>
          <w:sz w:val="24"/>
          <w:u w:val="single"/>
        </w:rPr>
        <w:t>1台32公斤电子天平采购</w:t>
      </w:r>
      <w:r>
        <w:rPr>
          <w:rFonts w:hint="eastAsia" w:asciiTheme="majorEastAsia" w:hAnsiTheme="majorEastAsia" w:eastAsiaTheme="majorEastAsia"/>
          <w:bCs/>
          <w:sz w:val="24"/>
        </w:rPr>
        <w:t>相关</w:t>
      </w:r>
      <w:r>
        <w:rPr>
          <w:rFonts w:hint="eastAsia" w:asciiTheme="majorEastAsia" w:hAnsiTheme="majorEastAsia" w:eastAsiaTheme="majorEastAsia"/>
          <w:sz w:val="24"/>
        </w:rPr>
        <w:t>事项协商一致，达成如下合同条款：</w:t>
      </w:r>
    </w:p>
    <w:p>
      <w:pPr>
        <w:snapToGrid w:val="0"/>
        <w:spacing w:before="160"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一、乙方向甲方提供总价值为元的标的（货物</w:t>
      </w:r>
      <w:r>
        <w:rPr>
          <w:rFonts w:asciiTheme="majorEastAsia" w:hAnsiTheme="majorEastAsia" w:eastAsiaTheme="majorEastAsia"/>
          <w:b/>
          <w:sz w:val="24"/>
        </w:rPr>
        <w:t>/</w:t>
      </w:r>
      <w:r>
        <w:rPr>
          <w:rFonts w:hint="eastAsia" w:asciiTheme="majorEastAsia" w:hAnsiTheme="majorEastAsia" w:eastAsiaTheme="majorEastAsia"/>
          <w:b/>
          <w:sz w:val="24"/>
        </w:rPr>
        <w:t>服务，含</w:t>
      </w:r>
      <w:r>
        <w:rPr>
          <w:rFonts w:asciiTheme="majorEastAsia" w:hAnsiTheme="majorEastAsia" w:eastAsiaTheme="majorEastAsia"/>
          <w:b/>
          <w:sz w:val="24"/>
        </w:rPr>
        <w:t>1</w:t>
      </w:r>
      <w:r>
        <w:rPr>
          <w:rFonts w:hint="eastAsia" w:asciiTheme="majorEastAsia" w:hAnsiTheme="majorEastAsia" w:eastAsiaTheme="majorEastAsia"/>
          <w:b/>
          <w:sz w:val="24"/>
        </w:rPr>
        <w:t>3</w:t>
      </w:r>
      <w:r>
        <w:rPr>
          <w:rFonts w:asciiTheme="majorEastAsia" w:hAnsiTheme="majorEastAsia" w:eastAsiaTheme="majorEastAsia"/>
          <w:b/>
          <w:sz w:val="24"/>
        </w:rPr>
        <w:t>%</w:t>
      </w:r>
      <w:r>
        <w:rPr>
          <w:rFonts w:hint="eastAsia" w:asciiTheme="majorEastAsia" w:hAnsiTheme="majorEastAsia" w:eastAsiaTheme="majorEastAsia"/>
          <w:b/>
          <w:sz w:val="24"/>
        </w:rPr>
        <w:t>增值税专用发票）。</w:t>
      </w:r>
    </w:p>
    <w:p>
      <w:pPr>
        <w:snapToGrid w:val="0"/>
        <w:spacing w:before="160" w:line="460" w:lineRule="exact"/>
        <w:ind w:firstLine="4016" w:firstLineChars="1250"/>
        <w:rPr>
          <w:rFonts w:asciiTheme="majorEastAsia" w:hAnsiTheme="majorEastAsia" w:eastAsiaTheme="majorEastAsia"/>
          <w:b/>
          <w:sz w:val="32"/>
          <w:szCs w:val="32"/>
        </w:rPr>
      </w:pPr>
    </w:p>
    <w:tbl>
      <w:tblPr>
        <w:tblStyle w:val="14"/>
        <w:tblW w:w="8100"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货物的名称</w:t>
            </w:r>
          </w:p>
          <w:p>
            <w:pPr>
              <w:snapToGrid w:val="0"/>
              <w:spacing w:before="160" w:line="460" w:lineRule="exact"/>
              <w:ind w:firstLine="120" w:firstLineChars="50"/>
              <w:jc w:val="center"/>
              <w:rPr>
                <w:rFonts w:asciiTheme="majorEastAsia" w:hAnsiTheme="majorEastAsia" w:eastAsiaTheme="majorEastAsia"/>
                <w:kern w:val="0"/>
                <w:sz w:val="24"/>
              </w:rPr>
            </w:pPr>
            <w:r>
              <w:rPr>
                <w:rFonts w:hint="eastAsia" w:asciiTheme="majorEastAsia" w:hAnsiTheme="majorEastAsia" w:eastAsiaTheme="majorEastAsia"/>
                <w:kern w:val="0"/>
                <w:sz w:val="24"/>
              </w:rPr>
              <w:t>及品牌</w:t>
            </w:r>
            <w:r>
              <w:rPr>
                <w:rFonts w:asciiTheme="majorEastAsia" w:hAnsiTheme="majorEastAsia" w:eastAsiaTheme="majorEastAsia"/>
                <w:kern w:val="0"/>
                <w:sz w:val="24"/>
              </w:rPr>
              <w:t>.</w:t>
            </w:r>
            <w:r>
              <w:rPr>
                <w:rFonts w:hint="eastAsia" w:asciiTheme="majorEastAsia" w:hAnsiTheme="majorEastAsia" w:eastAsiaTheme="majorEastAsia"/>
                <w:kern w:val="0"/>
                <w:sz w:val="24"/>
              </w:rPr>
              <w:t>规格</w:t>
            </w:r>
            <w:r>
              <w:rPr>
                <w:rFonts w:asciiTheme="majorEastAsia" w:hAnsiTheme="majorEastAsia" w:eastAsiaTheme="majorEastAsia"/>
                <w:kern w:val="0"/>
                <w:sz w:val="24"/>
              </w:rPr>
              <w:t>.</w:t>
            </w:r>
            <w:r>
              <w:rPr>
                <w:rFonts w:hint="eastAsia" w:asciiTheme="majorEastAsia" w:hAnsiTheme="majorEastAsia" w:eastAsiaTheme="majorEastAsia"/>
                <w:kern w:val="0"/>
                <w:sz w:val="24"/>
              </w:rPr>
              <w:t>型号</w:t>
            </w:r>
          </w:p>
        </w:tc>
        <w:tc>
          <w:tcPr>
            <w:tcW w:w="894"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单位</w:t>
            </w:r>
          </w:p>
        </w:tc>
        <w:tc>
          <w:tcPr>
            <w:tcW w:w="1249" w:type="dxa"/>
          </w:tcPr>
          <w:p>
            <w:pPr>
              <w:snapToGrid w:val="0"/>
              <w:spacing w:before="160" w:line="460" w:lineRule="exact"/>
              <w:jc w:val="center"/>
              <w:rPr>
                <w:rFonts w:asciiTheme="majorEastAsia" w:hAnsiTheme="majorEastAsia" w:eastAsiaTheme="majorEastAsia"/>
                <w:kern w:val="0"/>
                <w:sz w:val="24"/>
              </w:rPr>
            </w:pPr>
            <w:r>
              <w:rPr>
                <w:rFonts w:hint="eastAsia" w:asciiTheme="majorEastAsia" w:hAnsiTheme="majorEastAsia" w:eastAsiaTheme="majorEastAsia"/>
                <w:kern w:val="0"/>
                <w:sz w:val="24"/>
              </w:rPr>
              <w:t>数量</w:t>
            </w:r>
          </w:p>
        </w:tc>
        <w:tc>
          <w:tcPr>
            <w:tcW w:w="12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单价（元）</w:t>
            </w:r>
          </w:p>
        </w:tc>
        <w:tc>
          <w:tcPr>
            <w:tcW w:w="1440" w:type="dxa"/>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snapToGrid w:val="0"/>
              <w:spacing w:before="160" w:line="460" w:lineRule="exact"/>
              <w:rPr>
                <w:rFonts w:asciiTheme="majorEastAsia" w:hAnsiTheme="majorEastAsia" w:eastAsiaTheme="majorEastAsia"/>
                <w:kern w:val="0"/>
                <w:sz w:val="24"/>
              </w:rPr>
            </w:pPr>
          </w:p>
        </w:tc>
        <w:tc>
          <w:tcPr>
            <w:tcW w:w="894" w:type="dxa"/>
          </w:tcPr>
          <w:p>
            <w:pPr>
              <w:snapToGrid w:val="0"/>
              <w:spacing w:before="160" w:line="460" w:lineRule="exact"/>
              <w:rPr>
                <w:rFonts w:asciiTheme="majorEastAsia" w:hAnsiTheme="majorEastAsia" w:eastAsiaTheme="majorEastAsia"/>
                <w:kern w:val="0"/>
                <w:sz w:val="24"/>
              </w:rPr>
            </w:pPr>
          </w:p>
        </w:tc>
        <w:tc>
          <w:tcPr>
            <w:tcW w:w="1249" w:type="dxa"/>
          </w:tcPr>
          <w:p>
            <w:pPr>
              <w:snapToGrid w:val="0"/>
              <w:spacing w:before="160" w:line="460" w:lineRule="exact"/>
              <w:rPr>
                <w:rFonts w:asciiTheme="majorEastAsia" w:hAnsiTheme="majorEastAsia" w:eastAsiaTheme="majorEastAsia"/>
                <w:kern w:val="0"/>
                <w:sz w:val="24"/>
              </w:rPr>
            </w:pPr>
          </w:p>
        </w:tc>
        <w:tc>
          <w:tcPr>
            <w:tcW w:w="1240" w:type="dxa"/>
          </w:tcPr>
          <w:p>
            <w:pPr>
              <w:snapToGrid w:val="0"/>
              <w:spacing w:before="160" w:line="460" w:lineRule="exact"/>
              <w:rPr>
                <w:rFonts w:asciiTheme="majorEastAsia" w:hAnsiTheme="majorEastAsia" w:eastAsiaTheme="majorEastAsia"/>
                <w:kern w:val="0"/>
                <w:sz w:val="24"/>
              </w:rPr>
            </w:pPr>
          </w:p>
        </w:tc>
        <w:tc>
          <w:tcPr>
            <w:tcW w:w="1440" w:type="dxa"/>
          </w:tcPr>
          <w:p>
            <w:pPr>
              <w:snapToGrid w:val="0"/>
              <w:spacing w:before="160" w:line="460" w:lineRule="exact"/>
              <w:rPr>
                <w:rFonts w:asciiTheme="majorEastAsia" w:hAnsiTheme="majorEastAsia" w:eastAsiaTheme="maj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0" w:type="dxa"/>
            <w:gridSpan w:val="5"/>
          </w:tcPr>
          <w:p>
            <w:pPr>
              <w:snapToGrid w:val="0"/>
              <w:spacing w:before="160" w:line="460" w:lineRule="exact"/>
              <w:rPr>
                <w:rFonts w:asciiTheme="majorEastAsia" w:hAnsiTheme="majorEastAsia" w:eastAsiaTheme="majorEastAsia"/>
                <w:kern w:val="0"/>
                <w:sz w:val="24"/>
              </w:rPr>
            </w:pPr>
            <w:r>
              <w:rPr>
                <w:rFonts w:hint="eastAsia" w:asciiTheme="majorEastAsia" w:hAnsiTheme="majorEastAsia" w:eastAsiaTheme="majorEastAsia"/>
                <w:kern w:val="0"/>
                <w:sz w:val="24"/>
              </w:rPr>
              <w:t>合计人民币金额（大写）：（￥：元）</w:t>
            </w:r>
          </w:p>
        </w:tc>
      </w:tr>
    </w:tbl>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注：可另附清单。</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二、交货时间、地点</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（一）采购合同签订后  天内设备到场， 天内安装调试完毕。</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（二）交货地点：</w:t>
      </w:r>
      <w:r>
        <w:rPr>
          <w:rFonts w:hint="eastAsia" w:asciiTheme="majorEastAsia" w:hAnsiTheme="majorEastAsia" w:eastAsiaTheme="majorEastAsia" w:cstheme="minorEastAsia"/>
          <w:szCs w:val="21"/>
          <w:u w:val="single"/>
        </w:rPr>
        <w:t>成都市龙泉驿区</w:t>
      </w:r>
      <w:r>
        <w:rPr>
          <w:rFonts w:hint="eastAsia" w:asciiTheme="majorEastAsia" w:hAnsiTheme="majorEastAsia" w:eastAsiaTheme="majorEastAsia" w:cstheme="minorEastAsia"/>
          <w:kern w:val="0"/>
          <w:sz w:val="24"/>
          <w:u w:val="single"/>
        </w:rPr>
        <w:t>北京路636号</w:t>
      </w:r>
      <w:r>
        <w:rPr>
          <w:rFonts w:hint="eastAsia" w:asciiTheme="majorEastAsia" w:hAnsiTheme="majorEastAsia" w:eastAsiaTheme="maj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三、质量技术标准</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四、运输方式及费用</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由乙方视情况自定运输方式，费用自负。</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五、验收</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sz w:val="24"/>
        </w:rPr>
        <w:t>（一）</w:t>
      </w:r>
      <w:r>
        <w:rPr>
          <w:rFonts w:hint="eastAsia" w:asciiTheme="majorEastAsia" w:hAnsiTheme="majorEastAsia" w:eastAsiaTheme="majorEastAsia"/>
          <w:kern w:val="0"/>
          <w:sz w:val="24"/>
        </w:rPr>
        <w:t>在货物进场并安装调试后</w:t>
      </w:r>
      <w:r>
        <w:rPr>
          <w:rFonts w:hint="eastAsia" w:asciiTheme="majorEastAsia" w:hAnsiTheme="majorEastAsia" w:eastAsiaTheme="majorEastAsia"/>
          <w:sz w:val="24"/>
          <w:u w:val="single"/>
        </w:rPr>
        <w:t>试运行30</w:t>
      </w:r>
      <w:r>
        <w:rPr>
          <w:rFonts w:hint="eastAsia" w:asciiTheme="majorEastAsia" w:hAnsiTheme="majorEastAsia" w:eastAsiaTheme="majorEastAsia"/>
          <w:kern w:val="0"/>
          <w:sz w:val="24"/>
        </w:rPr>
        <w:t>日内，甲方根据技术要求组织验收，验收内容包括：型号、规格、数量、外观质量、及货物包装是否完好，安装调试及培训是否合格，所提供货物的装箱清单、使用手册、保修卡、合格证、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Theme="majorEastAsia" w:hAnsiTheme="majorEastAsia" w:eastAsiaTheme="majorEastAsia"/>
          <w:kern w:val="0"/>
          <w:sz w:val="24"/>
        </w:rPr>
      </w:pPr>
      <w:r>
        <w:rPr>
          <w:rFonts w:hint="eastAsia" w:asciiTheme="majorEastAsia" w:hAnsiTheme="majorEastAsia" w:eastAsiaTheme="majorEastAsia"/>
          <w:kern w:val="0"/>
          <w:sz w:val="24"/>
        </w:rPr>
        <w:t>（二）甲方应按签订采购合同约定时间组织验收，并出具验收合格报告。</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kern w:val="0"/>
          <w:sz w:val="24"/>
        </w:rPr>
        <w:t>（三）</w:t>
      </w:r>
      <w:r>
        <w:rPr>
          <w:rFonts w:hint="eastAsia" w:asciiTheme="majorEastAsia" w:hAnsiTheme="majorEastAsia" w:eastAsiaTheme="majorEastAsia"/>
          <w:sz w:val="24"/>
        </w:rPr>
        <w:t>甲方在验收中，如发现有与合同规定不符的，应在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天内向乙方提出书面意见，不签发验收单。乙方在接到甲方书面意见后，应在</w:t>
      </w:r>
      <w:r>
        <w:rPr>
          <w:rFonts w:asciiTheme="majorEastAsia" w:hAnsiTheme="majorEastAsia" w:eastAsiaTheme="majorEastAsia"/>
          <w:sz w:val="24"/>
          <w:u w:val="single"/>
        </w:rPr>
        <w:t xml:space="preserve"> 7   </w:t>
      </w:r>
      <w:r>
        <w:rPr>
          <w:rFonts w:hint="eastAsia" w:asciiTheme="majorEastAsia" w:hAnsiTheme="majorEastAsia" w:eastAsiaTheme="majorEastAsia"/>
          <w:sz w:val="24"/>
        </w:rPr>
        <w:t>天内予以处理，并将处理结果以书面形式告知甲方。</w:t>
      </w:r>
    </w:p>
    <w:p>
      <w:pPr>
        <w:spacing w:line="460" w:lineRule="exact"/>
        <w:ind w:firstLine="482" w:firstLineChars="200"/>
        <w:rPr>
          <w:rFonts w:asciiTheme="majorEastAsia" w:hAnsiTheme="majorEastAsia" w:eastAsiaTheme="majorEastAsia"/>
          <w:b/>
          <w:bCs/>
          <w:sz w:val="24"/>
        </w:rPr>
      </w:pPr>
      <w:r>
        <w:rPr>
          <w:rFonts w:hint="eastAsia" w:asciiTheme="majorEastAsia" w:hAnsiTheme="majorEastAsia" w:eastAsiaTheme="majorEastAsia"/>
          <w:b/>
          <w:bCs/>
          <w:sz w:val="24"/>
        </w:rPr>
        <w:t>六、付款方式</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（一）签订合同后，甲方支付合同价的</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spacing w:line="460" w:lineRule="exact"/>
        <w:ind w:firstLine="480" w:firstLineChars="200"/>
        <w:rPr>
          <w:rFonts w:asciiTheme="majorEastAsia" w:hAnsiTheme="majorEastAsia" w:eastAsiaTheme="majorEastAsia"/>
          <w:b/>
          <w:bCs/>
          <w:sz w:val="24"/>
        </w:rPr>
      </w:pPr>
      <w:r>
        <w:rPr>
          <w:rFonts w:hint="eastAsia" w:asciiTheme="majorEastAsia" w:hAnsiTheme="majorEastAsia" w:eastAsiaTheme="majorEastAsia"/>
          <w:sz w:val="24"/>
        </w:rPr>
        <w:t>（二）设备达到发货标准后甲方支付合同价的30%</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（二）设备安装调试完成，经验收合格并开具全额13％增值税发票后，支付合同价的</w:t>
      </w:r>
      <w:r>
        <w:rPr>
          <w:rFonts w:hint="eastAsia" w:asciiTheme="majorEastAsia" w:hAnsiTheme="majorEastAsia" w:eastAsiaTheme="majorEastAsia"/>
          <w:sz w:val="24"/>
          <w:u w:val="single"/>
        </w:rPr>
        <w:t>3</w:t>
      </w:r>
      <w:r>
        <w:rPr>
          <w:rFonts w:asciiTheme="majorEastAsia" w:hAnsiTheme="majorEastAsia" w:eastAsiaTheme="majorEastAsia"/>
          <w:sz w:val="24"/>
          <w:u w:val="single"/>
        </w:rPr>
        <w:t xml:space="preserve">0  </w:t>
      </w:r>
      <w:r>
        <w:rPr>
          <w:rFonts w:asciiTheme="majorEastAsia" w:hAnsiTheme="majorEastAsia" w:eastAsiaTheme="majorEastAsia"/>
          <w:sz w:val="24"/>
        </w:rPr>
        <w:t xml:space="preserve"> %</w:t>
      </w:r>
      <w:r>
        <w:rPr>
          <w:rFonts w:hint="eastAsia" w:asciiTheme="majorEastAsia" w:hAnsiTheme="majorEastAsia" w:eastAsiaTheme="majorEastAsia"/>
          <w:sz w:val="24"/>
        </w:rPr>
        <w:t>。</w:t>
      </w:r>
    </w:p>
    <w:p>
      <w:pPr>
        <w:widowControl/>
        <w:snapToGrid w:val="0"/>
        <w:spacing w:before="19" w:line="460" w:lineRule="exact"/>
        <w:ind w:firstLine="470" w:firstLineChars="196"/>
        <w:rPr>
          <w:rFonts w:asciiTheme="majorEastAsia" w:hAnsiTheme="majorEastAsia" w:eastAsiaTheme="majorEastAsia"/>
          <w:sz w:val="24"/>
        </w:rPr>
      </w:pPr>
      <w:r>
        <w:rPr>
          <w:rFonts w:hint="eastAsia" w:asciiTheme="majorEastAsia" w:hAnsiTheme="majorEastAsia" w:eastAsiaTheme="majorEastAsia"/>
          <w:sz w:val="24"/>
        </w:rPr>
        <w:t>（四）从验收合格之日起，质保期</w:t>
      </w:r>
      <w:r>
        <w:rPr>
          <w:rFonts w:hint="eastAsia" w:asciiTheme="majorEastAsia" w:hAnsiTheme="majorEastAsia" w:eastAsiaTheme="majorEastAsia"/>
          <w:sz w:val="24"/>
          <w:u w:val="single"/>
        </w:rPr>
        <w:t>年</w:t>
      </w:r>
      <w:r>
        <w:rPr>
          <w:rFonts w:hint="eastAsia" w:asciiTheme="majorEastAsia" w:hAnsiTheme="majorEastAsia" w:eastAsiaTheme="majorEastAsia"/>
          <w:sz w:val="24"/>
        </w:rPr>
        <w:t>无质量问题后，十个工作日内付清合同尾款。</w:t>
      </w:r>
    </w:p>
    <w:p>
      <w:pPr>
        <w:spacing w:line="460" w:lineRule="exact"/>
        <w:ind w:right="-73" w:firstLine="472" w:firstLineChars="196"/>
        <w:rPr>
          <w:rFonts w:asciiTheme="majorEastAsia" w:hAnsiTheme="majorEastAsia" w:eastAsiaTheme="majorEastAsia"/>
          <w:b/>
          <w:sz w:val="24"/>
        </w:rPr>
      </w:pPr>
      <w:r>
        <w:rPr>
          <w:rFonts w:hint="eastAsia" w:asciiTheme="majorEastAsia" w:hAnsiTheme="majorEastAsia" w:eastAsiaTheme="majorEastAsia"/>
          <w:b/>
          <w:sz w:val="24"/>
        </w:rPr>
        <w:t>七、售后服务</w:t>
      </w:r>
    </w:p>
    <w:p>
      <w:pPr>
        <w:spacing w:line="460" w:lineRule="exact"/>
        <w:ind w:right="-73" w:firstLine="470" w:firstLineChars="196"/>
        <w:rPr>
          <w:rFonts w:asciiTheme="majorEastAsia" w:hAnsiTheme="majorEastAsia" w:eastAsiaTheme="majorEastAsia"/>
          <w:sz w:val="24"/>
        </w:rPr>
      </w:pPr>
      <w:r>
        <w:rPr>
          <w:rFonts w:hint="eastAsia" w:asciiTheme="majorEastAsia" w:hAnsiTheme="majorEastAsia" w:eastAsiaTheme="majorEastAsia"/>
          <w:sz w:val="24"/>
        </w:rPr>
        <w:t>（一）在质保期内乙方对产品质量实行三包，因设备故障，乙方应在</w:t>
      </w:r>
      <w:r>
        <w:rPr>
          <w:rFonts w:hint="eastAsia" w:asciiTheme="majorEastAsia" w:hAnsiTheme="majorEastAsia" w:eastAsiaTheme="majorEastAsia"/>
          <w:sz w:val="24"/>
          <w:u w:val="single"/>
        </w:rPr>
        <w:t xml:space="preserve"> 48</w:t>
      </w:r>
      <w:r>
        <w:rPr>
          <w:rFonts w:hint="eastAsia" w:asciiTheme="majorEastAsia" w:hAnsiTheme="majorEastAsia" w:eastAsiaTheme="majorEastAsia"/>
          <w:sz w:val="24"/>
        </w:rPr>
        <w:t>小时内到达甲方现场，进行免费维修或更换，由此引起的一切费用由乙方承担。若未能及时处理每次扣除质保金的10%，且客户有权自行选择处理方式，其产生的一切费用由供方承担。</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八、违约条款</w:t>
      </w:r>
    </w:p>
    <w:p>
      <w:pPr>
        <w:spacing w:line="460" w:lineRule="exact"/>
        <w:ind w:firstLine="480" w:firstLineChars="200"/>
        <w:rPr>
          <w:rFonts w:asciiTheme="majorEastAsia" w:hAnsiTheme="majorEastAsia" w:eastAsiaTheme="majorEastAsia"/>
          <w:b/>
          <w:sz w:val="24"/>
        </w:rPr>
      </w:pPr>
      <w:r>
        <w:rPr>
          <w:rFonts w:hint="eastAsia" w:asciiTheme="majorEastAsia" w:hAnsiTheme="majorEastAsia" w:eastAsiaTheme="majorEastAsia"/>
          <w:sz w:val="24"/>
        </w:rPr>
        <w:t>（一）乙方不按期完成合同约定的内容，应向甲方支付违约金，除甲方或不可抗力造成原因外，每延迟交付一天，按合同总价款的</w:t>
      </w:r>
      <w:r>
        <w:rPr>
          <w:rFonts w:asciiTheme="majorEastAsia" w:hAnsiTheme="majorEastAsia" w:eastAsiaTheme="majorEastAsia"/>
          <w:sz w:val="24"/>
        </w:rPr>
        <w:t>0.5%</w:t>
      </w:r>
      <w:r>
        <w:rPr>
          <w:rFonts w:hint="eastAsia" w:asciiTheme="majorEastAsia" w:hAnsiTheme="majorEastAsia" w:eastAsiaTheme="majorEastAsia"/>
          <w:sz w:val="24"/>
        </w:rPr>
        <w:t>支付违约金，违约金可直接从货款中扣除</w:t>
      </w:r>
      <w:r>
        <w:rPr>
          <w:rFonts w:asciiTheme="majorEastAsia" w:hAnsiTheme="majorEastAsia" w:eastAsiaTheme="majorEastAsia"/>
          <w:sz w:val="24"/>
        </w:rPr>
        <w:t xml:space="preserve">; </w:t>
      </w:r>
      <w:r>
        <w:rPr>
          <w:rFonts w:hint="eastAsia" w:asciiTheme="majorEastAsia" w:hAnsiTheme="majorEastAsia" w:eastAsiaTheme="majorEastAsia"/>
          <w:sz w:val="24"/>
        </w:rPr>
        <w:t>延期超过</w:t>
      </w:r>
      <w:r>
        <w:rPr>
          <w:rFonts w:asciiTheme="majorEastAsia" w:hAnsiTheme="majorEastAsia" w:eastAsiaTheme="majorEastAsia"/>
          <w:sz w:val="24"/>
          <w:u w:val="single"/>
        </w:rPr>
        <w:t xml:space="preserve">  30  </w:t>
      </w:r>
      <w:r>
        <w:rPr>
          <w:rFonts w:hint="eastAsia" w:asciiTheme="majorEastAsia" w:hAnsiTheme="majorEastAsia" w:eastAsiaTheme="majorEastAsia"/>
          <w:sz w:val="24"/>
        </w:rPr>
        <w:t>日，甲方有权强制解除合同，追回预付款并赔偿带来的一切损失。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（二）乙方所供产品品种、型号、规格、质量不符合规定的，由其负责包换或包修，并承担修理、调换或退货而支付的实际费用。</w:t>
      </w:r>
      <w:r>
        <w:rPr>
          <w:rFonts w:asciiTheme="majorEastAsia" w:hAnsiTheme="majorEastAsia" w:eastAsiaTheme="majorEastAsia"/>
          <w:sz w:val="24"/>
        </w:rPr>
        <w:t> </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（四）本项目不得转让分包，如有发生，无条件清理退场，所造成的一切损失由乙方负责。</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九、知识产权</w:t>
      </w:r>
    </w:p>
    <w:p>
      <w:pPr>
        <w:pStyle w:val="8"/>
        <w:spacing w:line="460" w:lineRule="exact"/>
        <w:ind w:left="0" w:leftChars="0" w:firstLine="480" w:firstLineChars="200"/>
        <w:rPr>
          <w:rFonts w:asciiTheme="majorEastAsia" w:hAnsiTheme="majorEastAsia" w:eastAsiaTheme="majorEastAsia"/>
        </w:rPr>
      </w:pPr>
      <w:r>
        <w:rPr>
          <w:rFonts w:hint="eastAsia" w:asciiTheme="majorEastAsia" w:hAnsiTheme="majorEastAsia" w:eastAsiaTheme="major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十、合同生效及审核</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本合同经甲方、乙方签字盖章后生效，合同签订的内容不能超出询价采购文件和报价文件的实质性内容。</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十一、合同的组成部分</w:t>
      </w:r>
    </w:p>
    <w:p>
      <w:pPr>
        <w:spacing w:line="4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本合同条款、供应商确认通知书、询价文件、报价文件、技术协议构成合同的组成部分。</w:t>
      </w:r>
    </w:p>
    <w:p>
      <w:pPr>
        <w:spacing w:line="52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十二、</w:t>
      </w:r>
      <w:r>
        <w:rPr>
          <w:rFonts w:hint="eastAsia" w:asciiTheme="minorEastAsia" w:hAnsiTheme="minorEastAsia" w:eastAsiaTheme="minorEastAsia"/>
          <w:sz w:val="24"/>
        </w:rPr>
        <w:t>甲、乙双方应通过友好协商的方式解决在执行本合同中所发生的或与本合同有关的一切争议。如果协商仍得不到解决，可按以下第( 2 )项方式处理：</w:t>
      </w:r>
    </w:p>
    <w:p>
      <w:pPr>
        <w:spacing w:line="52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（1）任何一方均可向成都仲裁委员会申请仲裁。</w:t>
      </w:r>
    </w:p>
    <w:p>
      <w:pPr>
        <w:spacing w:line="4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（2）任何一方</w:t>
      </w:r>
      <w:r>
        <w:rPr>
          <w:rFonts w:asciiTheme="minorEastAsia" w:hAnsiTheme="minorEastAsia" w:eastAsiaTheme="minorEastAsia"/>
          <w:sz w:val="24"/>
        </w:rPr>
        <w:t>可向</w:t>
      </w:r>
      <w:r>
        <w:rPr>
          <w:rFonts w:hint="eastAsia" w:asciiTheme="minorEastAsia" w:hAnsiTheme="minorEastAsia" w:eastAsiaTheme="minorEastAsia"/>
          <w:color w:val="FF0000"/>
          <w:sz w:val="24"/>
          <w:u w:val="single"/>
        </w:rPr>
        <w:t>甲方所在地</w:t>
      </w:r>
      <w:r>
        <w:rPr>
          <w:rFonts w:asciiTheme="minorEastAsia" w:hAnsiTheme="minorEastAsia" w:eastAsiaTheme="minorEastAsia"/>
          <w:sz w:val="24"/>
        </w:rPr>
        <w:t>人民法院起诉。</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十三</w:t>
      </w:r>
      <w:r>
        <w:rPr>
          <w:rFonts w:hint="eastAsia" w:asciiTheme="majorEastAsia" w:hAnsiTheme="majorEastAsia" w:eastAsiaTheme="majorEastAsia"/>
          <w:sz w:val="24"/>
        </w:rPr>
        <w:t>、本合同一式四份，以中文书写，甲方、乙方各执份。</w:t>
      </w:r>
    </w:p>
    <w:p>
      <w:pPr>
        <w:spacing w:line="460" w:lineRule="exact"/>
        <w:ind w:firstLine="482" w:firstLineChars="200"/>
        <w:rPr>
          <w:rFonts w:asciiTheme="majorEastAsia" w:hAnsiTheme="majorEastAsia" w:eastAsiaTheme="majorEastAsia"/>
          <w:sz w:val="24"/>
        </w:rPr>
      </w:pPr>
      <w:r>
        <w:rPr>
          <w:rFonts w:hint="eastAsia" w:asciiTheme="majorEastAsia" w:hAnsiTheme="majorEastAsia" w:eastAsiaTheme="majorEastAsia"/>
          <w:b/>
          <w:sz w:val="24"/>
        </w:rPr>
        <w:t>十四、</w:t>
      </w:r>
      <w:r>
        <w:rPr>
          <w:rFonts w:hint="eastAsia" w:asciiTheme="majorEastAsia" w:hAnsiTheme="majorEastAsia" w:eastAsiaTheme="majorEastAsia"/>
          <w:sz w:val="24"/>
        </w:rPr>
        <w:t>本合同一切未尽事宜，按合同法有关规定执行，无相关规定的，由甲乙双方协商解决。</w:t>
      </w:r>
    </w:p>
    <w:p>
      <w:pPr>
        <w:spacing w:line="460" w:lineRule="exact"/>
        <w:jc w:val="center"/>
        <w:rPr>
          <w:rFonts w:asciiTheme="majorEastAsia" w:hAnsiTheme="majorEastAsia" w:eastAsiaTheme="majorEastAsia"/>
          <w:b/>
          <w:bCs/>
          <w:sz w:val="24"/>
        </w:rPr>
      </w:pP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甲方：（盖章）乙方：（盖章）</w:t>
      </w:r>
    </w:p>
    <w:p>
      <w:pPr>
        <w:widowControl/>
        <w:snapToGrid w:val="0"/>
        <w:spacing w:before="19" w:line="460" w:lineRule="exact"/>
        <w:rPr>
          <w:rFonts w:asciiTheme="majorEastAsia" w:hAnsiTheme="majorEastAsia" w:eastAsiaTheme="majorEastAsia"/>
          <w:sz w:val="24"/>
        </w:rPr>
      </w:pPr>
    </w:p>
    <w:p>
      <w:pPr>
        <w:widowControl/>
        <w:snapToGrid w:val="0"/>
        <w:spacing w:before="19" w:line="460" w:lineRule="exact"/>
        <w:rPr>
          <w:rFonts w:asciiTheme="majorEastAsia" w:hAnsiTheme="majorEastAsia" w:eastAsiaTheme="majorEastAsia"/>
          <w:sz w:val="24"/>
          <w:u w:val="single"/>
        </w:rPr>
      </w:pPr>
      <w:r>
        <w:rPr>
          <w:rFonts w:hint="eastAsia" w:asciiTheme="majorEastAsia" w:hAnsiTheme="majorEastAsia" w:eastAsiaTheme="majorEastAsia"/>
          <w:sz w:val="24"/>
        </w:rPr>
        <w:t>地址：地址：</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法定（授权）代表人：法定（授权）代表人：</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联系人：联系人：</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联系电话：联系电话：</w:t>
      </w:r>
    </w:p>
    <w:p>
      <w:pPr>
        <w:widowControl/>
        <w:snapToGrid w:val="0"/>
        <w:spacing w:before="19" w:line="460" w:lineRule="exact"/>
        <w:rPr>
          <w:rFonts w:asciiTheme="majorEastAsia" w:hAnsiTheme="majorEastAsia" w:eastAsiaTheme="majorEastAsia"/>
          <w:sz w:val="24"/>
        </w:rPr>
      </w:pPr>
      <w:r>
        <w:rPr>
          <w:rFonts w:hint="eastAsia" w:asciiTheme="majorEastAsia" w:hAnsiTheme="majorEastAsia" w:eastAsiaTheme="majorEastAsia"/>
          <w:sz w:val="24"/>
        </w:rPr>
        <w:t>二</w:t>
      </w:r>
      <w:r>
        <w:rPr>
          <w:rFonts w:asciiTheme="majorEastAsia" w:hAnsiTheme="majorEastAsia" w:eastAsiaTheme="majorEastAsia"/>
          <w:sz w:val="24"/>
        </w:rPr>
        <w:t>0</w:t>
      </w:r>
      <w:r>
        <w:rPr>
          <w:rFonts w:hint="eastAsia" w:asciiTheme="majorEastAsia" w:hAnsiTheme="majorEastAsia" w:eastAsiaTheme="majorEastAsia"/>
          <w:sz w:val="24"/>
        </w:rPr>
        <w:t>一年月日二</w:t>
      </w:r>
      <w:r>
        <w:rPr>
          <w:rFonts w:asciiTheme="majorEastAsia" w:hAnsiTheme="majorEastAsia" w:eastAsiaTheme="majorEastAsia"/>
          <w:sz w:val="24"/>
        </w:rPr>
        <w:t>0</w:t>
      </w:r>
      <w:r>
        <w:rPr>
          <w:rFonts w:hint="eastAsia" w:asciiTheme="majorEastAsia" w:hAnsiTheme="majorEastAsia" w:eastAsiaTheme="majorEastAsia"/>
          <w:sz w:val="24"/>
        </w:rPr>
        <w:t>一年月日</w:t>
      </w: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360" w:lineRule="auto"/>
        <w:rPr>
          <w:rFonts w:asciiTheme="majorEastAsia" w:hAnsiTheme="majorEastAsia" w:eastAsiaTheme="majorEastAsia"/>
          <w:sz w:val="32"/>
          <w:szCs w:val="32"/>
        </w:rPr>
      </w:pPr>
    </w:p>
    <w:p>
      <w:pPr>
        <w:spacing w:line="500" w:lineRule="exact"/>
        <w:ind w:firstLine="3373" w:firstLineChars="1050"/>
        <w:rPr>
          <w:rFonts w:asciiTheme="majorEastAsia" w:hAnsiTheme="majorEastAsia" w:eastAsiaTheme="majorEastAsia"/>
          <w:b/>
          <w:bCs/>
          <w:sz w:val="32"/>
          <w:szCs w:val="32"/>
        </w:rPr>
      </w:pPr>
    </w:p>
    <w:p>
      <w:pPr>
        <w:spacing w:line="500" w:lineRule="exact"/>
        <w:ind w:firstLine="3373" w:firstLineChars="1050"/>
        <w:rPr>
          <w:rFonts w:asciiTheme="majorEastAsia" w:hAnsiTheme="majorEastAsia" w:eastAsiaTheme="majorEastAsia"/>
          <w:b/>
          <w:bCs/>
          <w:sz w:val="32"/>
          <w:szCs w:val="32"/>
        </w:rPr>
      </w:pPr>
    </w:p>
    <w:p>
      <w:pPr>
        <w:widowControl/>
        <w:jc w:val="left"/>
        <w:rPr>
          <w:rFonts w:asciiTheme="majorEastAsia" w:hAnsiTheme="majorEastAsia" w:eastAsiaTheme="majorEastAsia"/>
          <w:b/>
          <w:bCs/>
          <w:sz w:val="32"/>
          <w:szCs w:val="32"/>
        </w:rPr>
      </w:pPr>
    </w:p>
    <w:p>
      <w:pPr>
        <w:jc w:val="center"/>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第六部分文件格式</w:t>
      </w:r>
    </w:p>
    <w:p>
      <w:pPr>
        <w:spacing w:line="500" w:lineRule="exact"/>
        <w:jc w:val="lef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成都光明派特贵金属有限公司：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5"/>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设备名称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w:t>
            </w:r>
          </w:p>
        </w:tc>
        <w:tc>
          <w:tcPr>
            <w:tcW w:w="7147" w:type="dxa"/>
            <w:vAlign w:val="center"/>
          </w:tcPr>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w:t>
            </w:r>
          </w:p>
          <w:p>
            <w:pPr>
              <w:spacing w:line="500" w:lineRule="exact"/>
              <w:rPr>
                <w:rFonts w:asciiTheme="majorEastAsia" w:hAnsiTheme="majorEastAsia" w:eastAsiaTheme="majorEastAsia"/>
                <w:bCs/>
                <w:sz w:val="24"/>
              </w:rPr>
            </w:pPr>
            <w:r>
              <w:rPr>
                <w:rFonts w:hint="eastAsia" w:asciiTheme="majorEastAsia" w:hAnsiTheme="majorEastAsia" w:eastAsiaTheme="majorEastAsia"/>
                <w:bCs/>
                <w:sz w:val="24"/>
              </w:rPr>
              <w:t>人民币（大写）：</w:t>
            </w:r>
          </w:p>
          <w:p>
            <w:pPr>
              <w:spacing w:line="500" w:lineRule="exact"/>
              <w:rPr>
                <w:rFonts w:asciiTheme="majorEastAsia" w:hAnsiTheme="majorEastAsia" w:eastAsiaTheme="majorEastAsia"/>
                <w:bCs/>
                <w:sz w:val="28"/>
                <w:szCs w:val="28"/>
              </w:rPr>
            </w:pPr>
            <w:r>
              <w:rPr>
                <w:rFonts w:hint="eastAsia" w:asciiTheme="majorEastAsia" w:hAnsiTheme="majorEastAsia" w:eastAsiaTheme="majorEastAsia"/>
                <w:bCs/>
                <w:sz w:val="24"/>
              </w:rPr>
              <w:t>佰拾万仟佰拾圆角分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供货时间及</w:t>
            </w:r>
          </w:p>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备注</w:t>
            </w:r>
          </w:p>
        </w:tc>
        <w:tc>
          <w:tcPr>
            <w:tcW w:w="7147" w:type="dxa"/>
            <w:vAlign w:val="center"/>
          </w:tcPr>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供应商公章：供应商代表签字：</w:t>
      </w: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p>
    <w:p>
      <w:pPr>
        <w:widowControl/>
        <w:jc w:val="left"/>
        <w:rPr>
          <w:rFonts w:asciiTheme="majorEastAsia" w:hAnsiTheme="majorEastAsia" w:eastAsiaTheme="majorEastAsia"/>
          <w:b/>
          <w:sz w:val="30"/>
          <w:szCs w:val="30"/>
        </w:rPr>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162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货物名称</w:t>
            </w:r>
          </w:p>
        </w:tc>
        <w:tc>
          <w:tcPr>
            <w:tcW w:w="2216"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品牌</w:t>
            </w:r>
            <w:r>
              <w:rPr>
                <w:rFonts w:asciiTheme="majorEastAsia" w:hAnsiTheme="majorEastAsia" w:eastAsiaTheme="majorEastAsia"/>
                <w:sz w:val="28"/>
              </w:rPr>
              <w:t>.</w:t>
            </w:r>
            <w:r>
              <w:rPr>
                <w:rFonts w:hint="eastAsia" w:asciiTheme="majorEastAsia" w:hAnsiTheme="majorEastAsia" w:eastAsiaTheme="majorEastAsia"/>
                <w:sz w:val="28"/>
              </w:rPr>
              <w:t>型号</w:t>
            </w:r>
            <w:r>
              <w:rPr>
                <w:rFonts w:asciiTheme="majorEastAsia" w:hAnsiTheme="majorEastAsia" w:eastAsiaTheme="majorEastAsia"/>
                <w:sz w:val="28"/>
              </w:rPr>
              <w:t>.</w:t>
            </w:r>
            <w:r>
              <w:rPr>
                <w:rFonts w:hint="eastAsia" w:asciiTheme="majorEastAsia" w:hAnsiTheme="majorEastAsia" w:eastAsiaTheme="majorEastAsia"/>
                <w:sz w:val="28"/>
              </w:rPr>
              <w:t>规格</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合价</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1620" w:type="dxa"/>
            <w:vAlign w:val="center"/>
          </w:tcPr>
          <w:p>
            <w:pPr>
              <w:spacing w:line="560" w:lineRule="exact"/>
              <w:jc w:val="center"/>
              <w:rPr>
                <w:rFonts w:asciiTheme="majorEastAsia" w:hAnsiTheme="majorEastAsia" w:eastAsiaTheme="majorEastAsia"/>
                <w:sz w:val="28"/>
              </w:rPr>
            </w:pPr>
          </w:p>
        </w:tc>
        <w:tc>
          <w:tcPr>
            <w:tcW w:w="2216" w:type="dxa"/>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1620" w:type="dxa"/>
          </w:tcPr>
          <w:p>
            <w:pPr>
              <w:widowControl/>
              <w:spacing w:line="560" w:lineRule="exact"/>
              <w:jc w:val="center"/>
              <w:rPr>
                <w:rFonts w:asciiTheme="majorEastAsia" w:hAnsiTheme="majorEastAsia" w:eastAsiaTheme="majorEastAsia"/>
                <w:sz w:val="28"/>
              </w:rPr>
            </w:pPr>
          </w:p>
        </w:tc>
        <w:tc>
          <w:tcPr>
            <w:tcW w:w="2216" w:type="dxa"/>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1620" w:type="dxa"/>
            <w:vAlign w:val="center"/>
          </w:tcPr>
          <w:p>
            <w:pPr>
              <w:spacing w:line="560" w:lineRule="exact"/>
              <w:jc w:val="center"/>
              <w:rPr>
                <w:rFonts w:asciiTheme="majorEastAsia" w:hAnsiTheme="majorEastAsia" w:eastAsiaTheme="majorEastAsia"/>
                <w:i/>
                <w:iCs/>
                <w:sz w:val="28"/>
              </w:rPr>
            </w:pPr>
          </w:p>
        </w:tc>
        <w:tc>
          <w:tcPr>
            <w:tcW w:w="2216" w:type="dxa"/>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佰拾万仟佰拾圆</w:t>
            </w:r>
            <w:r>
              <w:rPr>
                <w:rFonts w:hint="eastAsia" w:asciiTheme="majorEastAsia" w:hAnsiTheme="majorEastAsia" w:eastAsiaTheme="majorEastAsia"/>
                <w:b/>
                <w:bCs/>
                <w:sz w:val="28"/>
                <w:szCs w:val="28"/>
              </w:rPr>
              <w:t>角分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sz w:val="24"/>
          <w:szCs w:val="30"/>
        </w:rPr>
        <w:t>供应商应根据设备清单分项进行填报，表中表格行数可自行添加。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szCs w:val="30"/>
        </w:rPr>
        <w:t>表中报价总计应与对应报价一览表中总价一致</w:t>
      </w:r>
      <w:r>
        <w:rPr>
          <w:rFonts w:hint="eastAsia" w:asciiTheme="majorEastAsia" w:hAnsiTheme="majorEastAsia" w:eastAsiaTheme="majorEastAsia"/>
          <w:sz w:val="24"/>
        </w:rPr>
        <w:t>。</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bookmarkStart w:id="1" w:name="_Toc116895449"/>
      <w:bookmarkStart w:id="2" w:name="_Toc172811881"/>
      <w:bookmarkStart w:id="3" w:name="_Toc105315045"/>
      <w:bookmarkStart w:id="4" w:name="_Toc89791736"/>
      <w:bookmarkStart w:id="5" w:name="_Toc172809818"/>
      <w:bookmarkStart w:id="6" w:name="_Toc172809947"/>
      <w:bookmarkStart w:id="7" w:name="_Toc90180911"/>
      <w:bookmarkStart w:id="8" w:name="_Toc89791634"/>
      <w:bookmarkStart w:id="9" w:name="_Toc182560070"/>
      <w:bookmarkStart w:id="10" w:name="_Toc116869942"/>
      <w:r>
        <w:rPr>
          <w:rFonts w:hint="eastAsia" w:asciiTheme="majorEastAsia" w:hAnsiTheme="majorEastAsia" w:eastAsiaTheme="majorEastAsia"/>
          <w:sz w:val="28"/>
          <w:szCs w:val="28"/>
        </w:rPr>
        <w:t>供应商公章：供应商代表签字</w:t>
      </w:r>
    </w:p>
    <w:p>
      <w:pPr>
        <w:widowControl/>
        <w:jc w:val="left"/>
      </w:pPr>
    </w:p>
    <w:p>
      <w:pPr>
        <w:spacing w:line="500" w:lineRule="exact"/>
        <w:rPr>
          <w:rFonts w:asciiTheme="majorEastAsia" w:hAnsiTheme="majorEastAsia" w:eastAsiaTheme="majorEastAsia"/>
          <w:b/>
          <w:sz w:val="30"/>
          <w:szCs w:val="30"/>
        </w:rPr>
      </w:pPr>
      <w:r>
        <w:rPr>
          <w:rFonts w:hint="eastAsia" w:asciiTheme="majorEastAsia" w:hAnsiTheme="majorEastAsia" w:eastAsiaTheme="majorEastAsia"/>
          <w:b/>
          <w:sz w:val="30"/>
          <w:szCs w:val="30"/>
        </w:rPr>
        <w:t>附件四</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技术规格偏离表</w:t>
      </w:r>
      <w:bookmarkEnd w:id="1"/>
      <w:bookmarkEnd w:id="2"/>
      <w:bookmarkEnd w:id="3"/>
      <w:bookmarkEnd w:id="4"/>
      <w:bookmarkEnd w:id="5"/>
      <w:bookmarkEnd w:id="6"/>
      <w:bookmarkEnd w:id="7"/>
      <w:bookmarkEnd w:id="8"/>
      <w:bookmarkEnd w:id="9"/>
      <w:bookmarkEnd w:id="10"/>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序号</w:t>
            </w:r>
          </w:p>
        </w:tc>
        <w:tc>
          <w:tcPr>
            <w:tcW w:w="2273"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设备名称</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采购规格</w:t>
            </w:r>
          </w:p>
        </w:tc>
        <w:tc>
          <w:tcPr>
            <w:tcW w:w="1604"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响应规格</w:t>
            </w:r>
          </w:p>
        </w:tc>
        <w:tc>
          <w:tcPr>
            <w:tcW w:w="1921"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偏离</w:t>
            </w:r>
          </w:p>
        </w:tc>
        <w:tc>
          <w:tcPr>
            <w:tcW w:w="1626" w:type="dxa"/>
            <w:tcBorders>
              <w:top w:val="single" w:color="auto" w:sz="12" w:space="0"/>
            </w:tcBorders>
          </w:tcPr>
          <w:p>
            <w:pPr>
              <w:spacing w:line="480" w:lineRule="auto"/>
              <w:rPr>
                <w:rFonts w:asciiTheme="majorEastAsia" w:hAnsiTheme="majorEastAsia" w:eastAsiaTheme="majorEastAsia"/>
                <w:sz w:val="24"/>
                <w:szCs w:val="21"/>
              </w:rPr>
            </w:pPr>
            <w:r>
              <w:rPr>
                <w:rFonts w:hint="eastAsia" w:asciiTheme="majorEastAsia" w:hAnsiTheme="majorEastAsia" w:eastAsiaTheme="majorEastAsia"/>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Theme="majorEastAsia" w:hAnsiTheme="majorEastAsia" w:eastAsiaTheme="majorEastAsia"/>
                <w:sz w:val="24"/>
                <w:szCs w:val="21"/>
              </w:rPr>
            </w:pPr>
          </w:p>
        </w:tc>
        <w:tc>
          <w:tcPr>
            <w:tcW w:w="2273"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604" w:type="dxa"/>
          </w:tcPr>
          <w:p>
            <w:pPr>
              <w:spacing w:line="480" w:lineRule="auto"/>
              <w:rPr>
                <w:rFonts w:asciiTheme="majorEastAsia" w:hAnsiTheme="majorEastAsia" w:eastAsiaTheme="majorEastAsia"/>
                <w:sz w:val="24"/>
                <w:szCs w:val="21"/>
              </w:rPr>
            </w:pPr>
          </w:p>
        </w:tc>
        <w:tc>
          <w:tcPr>
            <w:tcW w:w="1921" w:type="dxa"/>
          </w:tcPr>
          <w:p>
            <w:pPr>
              <w:spacing w:line="480" w:lineRule="auto"/>
              <w:rPr>
                <w:rFonts w:asciiTheme="majorEastAsia" w:hAnsiTheme="majorEastAsia" w:eastAsiaTheme="majorEastAsia"/>
                <w:sz w:val="24"/>
                <w:szCs w:val="21"/>
              </w:rPr>
            </w:pPr>
          </w:p>
        </w:tc>
        <w:tc>
          <w:tcPr>
            <w:tcW w:w="1626" w:type="dxa"/>
          </w:tcPr>
          <w:p>
            <w:pPr>
              <w:spacing w:line="480" w:lineRule="auto"/>
              <w:rPr>
                <w:rFonts w:asciiTheme="majorEastAsia" w:hAnsiTheme="majorEastAsia" w:eastAsiaTheme="majorEastAsia"/>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Theme="majorEastAsia" w:hAnsiTheme="majorEastAsia" w:eastAsiaTheme="majorEastAsia"/>
                <w:sz w:val="24"/>
                <w:szCs w:val="21"/>
              </w:rPr>
            </w:pPr>
          </w:p>
        </w:tc>
        <w:tc>
          <w:tcPr>
            <w:tcW w:w="2273"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604" w:type="dxa"/>
            <w:tcBorders>
              <w:bottom w:val="single" w:color="auto" w:sz="12" w:space="0"/>
            </w:tcBorders>
          </w:tcPr>
          <w:p>
            <w:pPr>
              <w:spacing w:line="480" w:lineRule="auto"/>
              <w:rPr>
                <w:rFonts w:asciiTheme="majorEastAsia" w:hAnsiTheme="majorEastAsia" w:eastAsiaTheme="majorEastAsia"/>
                <w:sz w:val="24"/>
                <w:szCs w:val="21"/>
              </w:rPr>
            </w:pPr>
          </w:p>
        </w:tc>
        <w:tc>
          <w:tcPr>
            <w:tcW w:w="1921" w:type="dxa"/>
            <w:tcBorders>
              <w:bottom w:val="single" w:color="auto" w:sz="12" w:space="0"/>
            </w:tcBorders>
          </w:tcPr>
          <w:p>
            <w:pPr>
              <w:spacing w:line="480" w:lineRule="auto"/>
              <w:rPr>
                <w:rFonts w:asciiTheme="majorEastAsia" w:hAnsiTheme="majorEastAsia" w:eastAsiaTheme="majorEastAsia"/>
                <w:sz w:val="24"/>
                <w:szCs w:val="21"/>
              </w:rPr>
            </w:pPr>
          </w:p>
        </w:tc>
        <w:tc>
          <w:tcPr>
            <w:tcW w:w="1626" w:type="dxa"/>
            <w:tcBorders>
              <w:bottom w:val="single" w:color="auto" w:sz="12" w:space="0"/>
            </w:tcBorders>
          </w:tcPr>
          <w:p>
            <w:pPr>
              <w:spacing w:line="480" w:lineRule="auto"/>
              <w:rPr>
                <w:rFonts w:asciiTheme="majorEastAsia" w:hAnsiTheme="majorEastAsia" w:eastAsiaTheme="majorEastAsia"/>
                <w:sz w:val="24"/>
                <w:szCs w:val="21"/>
              </w:rPr>
            </w:pPr>
          </w:p>
        </w:tc>
      </w:tr>
    </w:tbl>
    <w:p>
      <w:pPr>
        <w:pStyle w:val="7"/>
        <w:spacing w:line="360" w:lineRule="auto"/>
        <w:ind w:left="99" w:leftChars="47"/>
        <w:rPr>
          <w:rFonts w:cs="Arial" w:asciiTheme="majorEastAsia" w:hAnsiTheme="majorEastAsia" w:eastAsiaTheme="majorEastAsia"/>
          <w:bCs/>
        </w:rPr>
      </w:pPr>
    </w:p>
    <w:p>
      <w:pPr>
        <w:pStyle w:val="7"/>
        <w:spacing w:line="360" w:lineRule="auto"/>
        <w:ind w:left="0" w:leftChars="0"/>
        <w:rPr>
          <w:rFonts w:cs="Arial" w:asciiTheme="majorEastAsia" w:hAnsiTheme="majorEastAsia" w:eastAsiaTheme="majorEastAsia"/>
          <w:bCs/>
        </w:rPr>
      </w:pPr>
      <w:r>
        <w:rPr>
          <w:rFonts w:hint="eastAsia" w:cs="Arial" w:asciiTheme="majorEastAsia" w:hAnsiTheme="majorEastAsia" w:eastAsiaTheme="majorEastAsia"/>
          <w:bCs/>
        </w:rPr>
        <w:t>谈判代表签字：</w:t>
      </w:r>
    </w:p>
    <w:p>
      <w:pPr>
        <w:pStyle w:val="7"/>
        <w:spacing w:line="360" w:lineRule="auto"/>
        <w:ind w:left="0" w:leftChars="0"/>
        <w:rPr>
          <w:rFonts w:cs="Arial" w:asciiTheme="majorEastAsia" w:hAnsiTheme="majorEastAsia" w:eastAsiaTheme="majorEastAsia"/>
          <w:bCs/>
          <w:u w:val="single"/>
        </w:rPr>
      </w:pPr>
      <w:r>
        <w:rPr>
          <w:rFonts w:hint="eastAsia" w:cs="Arial" w:asciiTheme="majorEastAsia" w:hAnsiTheme="majorEastAsia" w:eastAsiaTheme="majorEastAsia"/>
          <w:bCs/>
        </w:rPr>
        <w:t>日期：</w:t>
      </w:r>
    </w:p>
    <w:p>
      <w:pPr>
        <w:tabs>
          <w:tab w:val="left" w:pos="180"/>
        </w:tabs>
        <w:rPr>
          <w:rFonts w:asciiTheme="majorEastAsia" w:hAnsiTheme="majorEastAsia" w:eastAsiaTheme="majorEastAsia"/>
          <w:sz w:val="32"/>
        </w:rPr>
      </w:pPr>
    </w:p>
    <w:p>
      <w:pPr>
        <w:tabs>
          <w:tab w:val="left" w:pos="180"/>
        </w:tabs>
        <w:rPr>
          <w:rFonts w:asciiTheme="majorEastAsia" w:hAnsiTheme="majorEastAsia" w:eastAsiaTheme="majorEastAsia"/>
          <w:sz w:val="32"/>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165DAE"/>
    <w:multiLevelType w:val="multilevel"/>
    <w:tmpl w:val="4B165DAE"/>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mY5NDI5N2U2YmVjMmIxMGZjNTJkMWRiMzBhOGYzM2M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A6E01"/>
    <w:rsid w:val="000B6C20"/>
    <w:rsid w:val="000D04B9"/>
    <w:rsid w:val="000D0B49"/>
    <w:rsid w:val="000D54A8"/>
    <w:rsid w:val="000D5F10"/>
    <w:rsid w:val="000D6E16"/>
    <w:rsid w:val="000E0AC0"/>
    <w:rsid w:val="000E31BB"/>
    <w:rsid w:val="000E4068"/>
    <w:rsid w:val="000F26A2"/>
    <w:rsid w:val="000F5456"/>
    <w:rsid w:val="000F5A2E"/>
    <w:rsid w:val="001057D4"/>
    <w:rsid w:val="00105E33"/>
    <w:rsid w:val="00107961"/>
    <w:rsid w:val="001122E1"/>
    <w:rsid w:val="00112E9C"/>
    <w:rsid w:val="00113340"/>
    <w:rsid w:val="001211F2"/>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1227"/>
    <w:rsid w:val="00421321"/>
    <w:rsid w:val="0042233F"/>
    <w:rsid w:val="00430D9D"/>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97D"/>
    <w:rsid w:val="004D2E4D"/>
    <w:rsid w:val="004D3766"/>
    <w:rsid w:val="004E2D26"/>
    <w:rsid w:val="004F3CD4"/>
    <w:rsid w:val="00502C52"/>
    <w:rsid w:val="00503998"/>
    <w:rsid w:val="00503ABE"/>
    <w:rsid w:val="005051CE"/>
    <w:rsid w:val="005069D7"/>
    <w:rsid w:val="00512F3D"/>
    <w:rsid w:val="00522216"/>
    <w:rsid w:val="005276CB"/>
    <w:rsid w:val="00534163"/>
    <w:rsid w:val="00534BBF"/>
    <w:rsid w:val="00537195"/>
    <w:rsid w:val="00571165"/>
    <w:rsid w:val="00572F09"/>
    <w:rsid w:val="005763FE"/>
    <w:rsid w:val="00585959"/>
    <w:rsid w:val="005860C0"/>
    <w:rsid w:val="005973C6"/>
    <w:rsid w:val="005A4838"/>
    <w:rsid w:val="005A5B27"/>
    <w:rsid w:val="005B390E"/>
    <w:rsid w:val="005B3D73"/>
    <w:rsid w:val="005D145E"/>
    <w:rsid w:val="005D2C75"/>
    <w:rsid w:val="005D49C4"/>
    <w:rsid w:val="005D61F0"/>
    <w:rsid w:val="005D6830"/>
    <w:rsid w:val="005E2A05"/>
    <w:rsid w:val="005F4CBF"/>
    <w:rsid w:val="005F6E38"/>
    <w:rsid w:val="006002A8"/>
    <w:rsid w:val="00600CFA"/>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1B8A"/>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61E15"/>
    <w:rsid w:val="007649B3"/>
    <w:rsid w:val="007662F5"/>
    <w:rsid w:val="007671BC"/>
    <w:rsid w:val="00771CF8"/>
    <w:rsid w:val="00784599"/>
    <w:rsid w:val="007A2C20"/>
    <w:rsid w:val="007A30EE"/>
    <w:rsid w:val="007A5F95"/>
    <w:rsid w:val="007B4FE1"/>
    <w:rsid w:val="007C577C"/>
    <w:rsid w:val="007D5894"/>
    <w:rsid w:val="007F7483"/>
    <w:rsid w:val="00803305"/>
    <w:rsid w:val="0081100C"/>
    <w:rsid w:val="0081179D"/>
    <w:rsid w:val="00817AAA"/>
    <w:rsid w:val="008215FB"/>
    <w:rsid w:val="00824EDE"/>
    <w:rsid w:val="0083029A"/>
    <w:rsid w:val="008333FB"/>
    <w:rsid w:val="008340A2"/>
    <w:rsid w:val="0084141C"/>
    <w:rsid w:val="00860ACA"/>
    <w:rsid w:val="00863011"/>
    <w:rsid w:val="00870EF3"/>
    <w:rsid w:val="00871394"/>
    <w:rsid w:val="00871EBA"/>
    <w:rsid w:val="008943BD"/>
    <w:rsid w:val="00897E3F"/>
    <w:rsid w:val="008A06E1"/>
    <w:rsid w:val="008A4B83"/>
    <w:rsid w:val="008A53B2"/>
    <w:rsid w:val="008A5493"/>
    <w:rsid w:val="008A7845"/>
    <w:rsid w:val="008B5CED"/>
    <w:rsid w:val="008B625F"/>
    <w:rsid w:val="008C0358"/>
    <w:rsid w:val="008D1969"/>
    <w:rsid w:val="008D28F5"/>
    <w:rsid w:val="008D3752"/>
    <w:rsid w:val="008D71AD"/>
    <w:rsid w:val="008D7E1C"/>
    <w:rsid w:val="008E016E"/>
    <w:rsid w:val="008E0876"/>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8E2"/>
    <w:rsid w:val="00AE5F5A"/>
    <w:rsid w:val="00AF0CAF"/>
    <w:rsid w:val="00AF3DBB"/>
    <w:rsid w:val="00B022A9"/>
    <w:rsid w:val="00B10E35"/>
    <w:rsid w:val="00B27F3C"/>
    <w:rsid w:val="00B302E8"/>
    <w:rsid w:val="00B31AD8"/>
    <w:rsid w:val="00B32B4B"/>
    <w:rsid w:val="00B365F6"/>
    <w:rsid w:val="00B477FC"/>
    <w:rsid w:val="00B502F8"/>
    <w:rsid w:val="00B50F23"/>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46F9D"/>
    <w:rsid w:val="00C50A9E"/>
    <w:rsid w:val="00C5468D"/>
    <w:rsid w:val="00C57911"/>
    <w:rsid w:val="00C61830"/>
    <w:rsid w:val="00C62F88"/>
    <w:rsid w:val="00C634CE"/>
    <w:rsid w:val="00C6699B"/>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563E2"/>
    <w:rsid w:val="00D61ACB"/>
    <w:rsid w:val="00D61AD2"/>
    <w:rsid w:val="00D65DD8"/>
    <w:rsid w:val="00D67A5F"/>
    <w:rsid w:val="00D769AD"/>
    <w:rsid w:val="00D81C3F"/>
    <w:rsid w:val="00D82291"/>
    <w:rsid w:val="00D838DF"/>
    <w:rsid w:val="00D83B31"/>
    <w:rsid w:val="00D85348"/>
    <w:rsid w:val="00D9088E"/>
    <w:rsid w:val="00D939E1"/>
    <w:rsid w:val="00DA0C40"/>
    <w:rsid w:val="00DB2609"/>
    <w:rsid w:val="00DB3AE4"/>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6448"/>
    <w:rsid w:val="00E65AF2"/>
    <w:rsid w:val="00E72AD1"/>
    <w:rsid w:val="00E760A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D7392"/>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44C3"/>
    <w:rsid w:val="00F36D32"/>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D5ECE"/>
    <w:rsid w:val="00FE215B"/>
    <w:rsid w:val="00FE3998"/>
    <w:rsid w:val="00FE4813"/>
    <w:rsid w:val="00FE566D"/>
    <w:rsid w:val="00FF1DF5"/>
    <w:rsid w:val="00FF3AA4"/>
    <w:rsid w:val="00FF4A66"/>
    <w:rsid w:val="0685411A"/>
    <w:rsid w:val="08E07707"/>
    <w:rsid w:val="11E0608E"/>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semiHidden="0"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kern w:val="0"/>
      <w:sz w:val="20"/>
      <w:szCs w:val="20"/>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semiHidden/>
    <w:qFormat/>
    <w:uiPriority w:val="99"/>
    <w:pPr>
      <w:jc w:val="left"/>
    </w:pPr>
    <w:rPr>
      <w:kern w:val="0"/>
      <w:sz w:val="24"/>
    </w:rPr>
  </w:style>
  <w:style w:type="paragraph" w:styleId="4">
    <w:name w:val="Body Text"/>
    <w:basedOn w:val="1"/>
    <w:link w:val="30"/>
    <w:qFormat/>
    <w:uiPriority w:val="99"/>
    <w:pPr>
      <w:spacing w:after="120"/>
    </w:pPr>
    <w:rPr>
      <w:kern w:val="0"/>
      <w:sz w:val="24"/>
    </w:rPr>
  </w:style>
  <w:style w:type="paragraph" w:styleId="5">
    <w:name w:val="Body Text Indent"/>
    <w:basedOn w:val="1"/>
    <w:link w:val="21"/>
    <w:uiPriority w:val="99"/>
    <w:pPr>
      <w:spacing w:after="120"/>
      <w:ind w:left="420" w:leftChars="200"/>
    </w:pPr>
    <w:rPr>
      <w:kern w:val="0"/>
      <w:sz w:val="24"/>
    </w:rPr>
  </w:style>
  <w:style w:type="paragraph" w:styleId="6">
    <w:name w:val="Plain Text"/>
    <w:basedOn w:val="1"/>
    <w:link w:val="20"/>
    <w:uiPriority w:val="99"/>
    <w:rPr>
      <w:rFonts w:ascii="宋体" w:hAnsi="Courier New"/>
      <w:kern w:val="0"/>
      <w:szCs w:val="21"/>
    </w:rPr>
  </w:style>
  <w:style w:type="paragraph" w:styleId="7">
    <w:name w:val="Date"/>
    <w:basedOn w:val="1"/>
    <w:next w:val="1"/>
    <w:link w:val="22"/>
    <w:uiPriority w:val="99"/>
    <w:pPr>
      <w:ind w:left="100" w:leftChars="2500"/>
    </w:pPr>
    <w:rPr>
      <w:kern w:val="0"/>
      <w:sz w:val="24"/>
    </w:rPr>
  </w:style>
  <w:style w:type="paragraph" w:styleId="8">
    <w:name w:val="Body Text Indent 2"/>
    <w:basedOn w:val="1"/>
    <w:link w:val="24"/>
    <w:qFormat/>
    <w:uiPriority w:val="99"/>
    <w:pPr>
      <w:spacing w:after="120" w:line="480" w:lineRule="auto"/>
      <w:ind w:left="420" w:leftChars="200"/>
    </w:pPr>
    <w:rPr>
      <w:kern w:val="0"/>
      <w:sz w:val="24"/>
    </w:rPr>
  </w:style>
  <w:style w:type="paragraph" w:styleId="9">
    <w:name w:val="Balloon Text"/>
    <w:basedOn w:val="1"/>
    <w:link w:val="29"/>
    <w:semiHidden/>
    <w:qFormat/>
    <w:uiPriority w:val="99"/>
    <w:rPr>
      <w:kern w:val="0"/>
      <w:sz w:val="18"/>
      <w:szCs w:val="18"/>
    </w:rPr>
  </w:style>
  <w:style w:type="paragraph" w:styleId="10">
    <w:name w:val="footer"/>
    <w:basedOn w:val="1"/>
    <w:link w:val="26"/>
    <w:qFormat/>
    <w:uiPriority w:val="99"/>
    <w:pPr>
      <w:tabs>
        <w:tab w:val="center" w:pos="4153"/>
        <w:tab w:val="right" w:pos="8306"/>
      </w:tabs>
      <w:snapToGrid w:val="0"/>
      <w:jc w:val="left"/>
    </w:pPr>
    <w:rPr>
      <w:kern w:val="0"/>
      <w:sz w:val="18"/>
      <w:szCs w:val="18"/>
    </w:rPr>
  </w:style>
  <w:style w:type="paragraph" w:styleId="11">
    <w:name w:val="header"/>
    <w:basedOn w:val="1"/>
    <w:link w:val="25"/>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3">
    <w:name w:val="annotation subject"/>
    <w:basedOn w:val="3"/>
    <w:next w:val="3"/>
    <w:link w:val="28"/>
    <w:semiHidden/>
    <w:qFormat/>
    <w:uiPriority w:val="99"/>
    <w:rPr>
      <w:b/>
      <w:bCs/>
    </w:rPr>
  </w:style>
  <w:style w:type="table" w:styleId="15">
    <w:name w:val="Table Grid"/>
    <w:basedOn w:val="1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Emphasis"/>
    <w:basedOn w:val="16"/>
    <w:qFormat/>
    <w:locked/>
    <w:uiPriority w:val="20"/>
    <w:rPr>
      <w:i/>
      <w:iCs/>
    </w:rPr>
  </w:style>
  <w:style w:type="character" w:styleId="18">
    <w:name w:val="annotation reference"/>
    <w:basedOn w:val="16"/>
    <w:semiHidden/>
    <w:qFormat/>
    <w:uiPriority w:val="99"/>
    <w:rPr>
      <w:rFonts w:cs="Times New Roman"/>
      <w:sz w:val="21"/>
    </w:rPr>
  </w:style>
  <w:style w:type="character" w:customStyle="1" w:styleId="19">
    <w:name w:val="标题 2 Char"/>
    <w:basedOn w:val="16"/>
    <w:link w:val="2"/>
    <w:qFormat/>
    <w:locked/>
    <w:uiPriority w:val="99"/>
    <w:rPr>
      <w:rFonts w:ascii="Arial" w:hAnsi="Arial" w:eastAsia="黑体" w:cs="Times New Roman"/>
      <w:b/>
      <w:sz w:val="20"/>
    </w:rPr>
  </w:style>
  <w:style w:type="character" w:customStyle="1" w:styleId="20">
    <w:name w:val="纯文本 Char"/>
    <w:basedOn w:val="16"/>
    <w:link w:val="6"/>
    <w:qFormat/>
    <w:locked/>
    <w:uiPriority w:val="99"/>
    <w:rPr>
      <w:rFonts w:ascii="宋体" w:hAnsi="Courier New" w:eastAsia="宋体" w:cs="Times New Roman"/>
      <w:sz w:val="21"/>
    </w:rPr>
  </w:style>
  <w:style w:type="character" w:customStyle="1" w:styleId="21">
    <w:name w:val="正文文本缩进 Char"/>
    <w:basedOn w:val="16"/>
    <w:link w:val="5"/>
    <w:qFormat/>
    <w:locked/>
    <w:uiPriority w:val="99"/>
    <w:rPr>
      <w:rFonts w:ascii="Times New Roman" w:hAnsi="Times New Roman" w:eastAsia="宋体" w:cs="Times New Roman"/>
      <w:sz w:val="24"/>
    </w:rPr>
  </w:style>
  <w:style w:type="character" w:customStyle="1" w:styleId="22">
    <w:name w:val="日期 Char"/>
    <w:basedOn w:val="16"/>
    <w:link w:val="7"/>
    <w:qFormat/>
    <w:locked/>
    <w:uiPriority w:val="99"/>
    <w:rPr>
      <w:rFonts w:ascii="Times New Roman" w:hAnsi="Times New Roman" w:eastAsia="宋体" w:cs="Times New Roman"/>
      <w:sz w:val="24"/>
    </w:rPr>
  </w:style>
  <w:style w:type="paragraph" w:customStyle="1" w:styleId="23">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4">
    <w:name w:val="正文文本缩进 2 Char"/>
    <w:basedOn w:val="16"/>
    <w:link w:val="8"/>
    <w:qFormat/>
    <w:locked/>
    <w:uiPriority w:val="99"/>
    <w:rPr>
      <w:rFonts w:ascii="Times New Roman" w:hAnsi="Times New Roman" w:eastAsia="宋体" w:cs="Times New Roman"/>
      <w:sz w:val="24"/>
    </w:rPr>
  </w:style>
  <w:style w:type="character" w:customStyle="1" w:styleId="25">
    <w:name w:val="页眉 Char"/>
    <w:basedOn w:val="16"/>
    <w:link w:val="11"/>
    <w:semiHidden/>
    <w:qFormat/>
    <w:locked/>
    <w:uiPriority w:val="99"/>
    <w:rPr>
      <w:rFonts w:ascii="Times New Roman" w:hAnsi="Times New Roman" w:eastAsia="宋体" w:cs="Times New Roman"/>
      <w:sz w:val="18"/>
    </w:rPr>
  </w:style>
  <w:style w:type="character" w:customStyle="1" w:styleId="26">
    <w:name w:val="页脚 Char"/>
    <w:basedOn w:val="16"/>
    <w:link w:val="10"/>
    <w:qFormat/>
    <w:locked/>
    <w:uiPriority w:val="99"/>
    <w:rPr>
      <w:rFonts w:ascii="Times New Roman" w:hAnsi="Times New Roman" w:eastAsia="宋体" w:cs="Times New Roman"/>
      <w:sz w:val="18"/>
    </w:rPr>
  </w:style>
  <w:style w:type="character" w:customStyle="1" w:styleId="27">
    <w:name w:val="批注文字 Char"/>
    <w:basedOn w:val="16"/>
    <w:link w:val="3"/>
    <w:semiHidden/>
    <w:qFormat/>
    <w:locked/>
    <w:uiPriority w:val="99"/>
    <w:rPr>
      <w:rFonts w:ascii="Times New Roman" w:hAnsi="Times New Roman" w:cs="Times New Roman"/>
      <w:sz w:val="24"/>
    </w:rPr>
  </w:style>
  <w:style w:type="character" w:customStyle="1" w:styleId="28">
    <w:name w:val="批注主题 Char"/>
    <w:basedOn w:val="27"/>
    <w:link w:val="13"/>
    <w:semiHidden/>
    <w:qFormat/>
    <w:locked/>
    <w:uiPriority w:val="99"/>
    <w:rPr>
      <w:rFonts w:ascii="Times New Roman" w:hAnsi="Times New Roman" w:cs="Times New Roman"/>
      <w:b/>
      <w:sz w:val="24"/>
    </w:rPr>
  </w:style>
  <w:style w:type="character" w:customStyle="1" w:styleId="29">
    <w:name w:val="批注框文本 Char"/>
    <w:basedOn w:val="16"/>
    <w:link w:val="9"/>
    <w:semiHidden/>
    <w:qFormat/>
    <w:locked/>
    <w:uiPriority w:val="99"/>
    <w:rPr>
      <w:rFonts w:ascii="Times New Roman" w:hAnsi="Times New Roman" w:cs="Times New Roman"/>
      <w:sz w:val="18"/>
    </w:rPr>
  </w:style>
  <w:style w:type="character" w:customStyle="1" w:styleId="30">
    <w:name w:val="正文文本 Char"/>
    <w:basedOn w:val="16"/>
    <w:link w:val="4"/>
    <w:semiHidden/>
    <w:qFormat/>
    <w:locked/>
    <w:uiPriority w:val="99"/>
    <w:rPr>
      <w:rFonts w:ascii="Times New Roman" w:hAnsi="Times New Roman" w:cs="Times New Roman"/>
      <w:sz w:val="24"/>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customStyle="1" w:styleId="32">
    <w:name w:val="样式 首行缩进:  2 字符"/>
    <w:basedOn w:val="1"/>
    <w:qFormat/>
    <w:uiPriority w:val="99"/>
    <w:pPr>
      <w:spacing w:line="400" w:lineRule="exact"/>
      <w:ind w:firstLine="200" w:firstLineChars="200"/>
    </w:pPr>
    <w:rPr>
      <w:rFonts w:ascii="Calibri" w:hAnsi="Calibri" w:cs="宋体"/>
      <w:sz w:val="24"/>
    </w:rPr>
  </w:style>
  <w:style w:type="paragraph" w:styleId="3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3CD302-56A6-4DBE-A563-254CD0516192}">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5966</Words>
  <Characters>6193</Characters>
  <Lines>48</Lines>
  <Paragraphs>13</Paragraphs>
  <TotalTime>229</TotalTime>
  <ScaleCrop>false</ScaleCrop>
  <LinksUpToDate>false</LinksUpToDate>
  <CharactersWithSpaces>6321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2022-04-12T02:20:00Z</dcterms:created>
  <dc:creator>qiuxc</dc:creator>
  <cp:lastModifiedBy>不合衬</cp:lastModifiedBy>
  <cp:lastPrinted>2016-01-18T07:21:00Z</cp:lastPrinted>
  <dcterms:modified xsi:type="dcterms:W3CDTF">2023-02-21T01:42:09Z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3754724547E446F58E1E437CF42043F0</vt:lpwstr>
  </property>
</Properties>
</file>