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800" w:firstLineChars="5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eastAsia="zh-CN"/>
        </w:rPr>
        <w:t>危废处置</w:t>
      </w:r>
      <w:r>
        <w:rPr>
          <w:rFonts w:hint="eastAsia" w:ascii="宋体" w:hAnsi="宋体"/>
          <w:sz w:val="36"/>
          <w:szCs w:val="36"/>
          <w:lang w:val="en-US" w:eastAsia="zh-CN"/>
        </w:rPr>
        <w:t>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十二</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spacing w:line="540" w:lineRule="exact"/>
        <w:ind w:firstLine="480" w:firstLineChars="200"/>
        <w:rPr>
          <w:rFonts w:ascii="宋体" w:hAnsi="宋体"/>
          <w:sz w:val="24"/>
        </w:rPr>
      </w:pPr>
      <w:r>
        <w:rPr>
          <w:rFonts w:hint="eastAsia" w:ascii="FangSong_GB2312" w:hAnsi="Times New Roman" w:eastAsia="FangSong_GB2312" w:cs="Times New Roman"/>
          <w:kern w:val="2"/>
          <w:sz w:val="24"/>
          <w:szCs w:val="20"/>
          <w:lang w:val="en-US" w:eastAsia="zh-CN" w:bidi="ar-SA"/>
        </w:rPr>
        <w:t>都江堰光明光电材料有限责任公司</w:t>
      </w:r>
      <w:r>
        <w:rPr>
          <w:rFonts w:hint="eastAsia" w:ascii="宋体" w:hAnsi="宋体"/>
          <w:sz w:val="24"/>
        </w:rPr>
        <w:t>就</w:t>
      </w:r>
      <w:r>
        <w:rPr>
          <w:rFonts w:ascii="宋体" w:hAnsi="宋体"/>
          <w:sz w:val="24"/>
        </w:rPr>
        <w:t xml:space="preserve"> </w:t>
      </w:r>
      <w:r>
        <w:rPr>
          <w:rFonts w:hint="eastAsia" w:ascii="宋体" w:hAnsi="宋体"/>
          <w:sz w:val="24"/>
          <w:u w:val="single"/>
        </w:rPr>
        <w:t>2023</w:t>
      </w:r>
      <w:r>
        <w:rPr>
          <w:rFonts w:hint="eastAsia" w:ascii="宋体" w:hAnsi="宋体"/>
          <w:b/>
          <w:bCs/>
          <w:sz w:val="24"/>
          <w:u w:val="single"/>
        </w:rPr>
        <w:t>年度危废处置</w:t>
      </w:r>
      <w:r>
        <w:rPr>
          <w:rFonts w:hint="eastAsia" w:ascii="宋体" w:hAnsi="宋体"/>
          <w:sz w:val="24"/>
        </w:rPr>
        <w:t>项目组织询价，本次询价将最终确定2023年度危废处置供应商，欢迎合格供应商前来报价。公司本着“公开、公平、公正”的原则和“互利共赢、共同发展”的理念，热忱欢迎有意愿与我公司合作的潜在供应商积极参与询价采购。</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（二）项目名称：危废处置项目</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（三）项目地点：都江堰市蒲阳镇经开区光泰路10号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spacing w:line="540" w:lineRule="exact"/>
        <w:ind w:firstLine="480" w:firstLineChars="200"/>
        <w:rPr>
          <w:rFonts w:ascii="宋体" w:hAnsi="宋体"/>
          <w:sz w:val="24"/>
        </w:rPr>
      </w:pPr>
      <w:r>
        <w:rPr>
          <w:rFonts w:hint="eastAsia" w:ascii="宋体" w:hAnsi="宋体"/>
          <w:sz w:val="24"/>
        </w:rPr>
        <w:t>项目内容如下：</w:t>
      </w:r>
    </w:p>
    <w:tbl>
      <w:tblPr>
        <w:tblStyle w:val="19"/>
        <w:tblW w:w="8523" w:type="dxa"/>
        <w:tblInd w:w="6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1557"/>
        <w:gridCol w:w="1192"/>
        <w:gridCol w:w="1451"/>
        <w:gridCol w:w="923"/>
        <w:gridCol w:w="1181"/>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80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序号</w:t>
            </w:r>
          </w:p>
        </w:tc>
        <w:tc>
          <w:tcPr>
            <w:tcW w:w="1557"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废物名称</w:t>
            </w:r>
          </w:p>
        </w:tc>
        <w:tc>
          <w:tcPr>
            <w:tcW w:w="1192"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废物类别</w:t>
            </w:r>
          </w:p>
        </w:tc>
        <w:tc>
          <w:tcPr>
            <w:tcW w:w="145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数  量</w:t>
            </w:r>
          </w:p>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（吨 / 年）</w:t>
            </w:r>
          </w:p>
        </w:tc>
        <w:tc>
          <w:tcPr>
            <w:tcW w:w="92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形态</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包装方式</w:t>
            </w:r>
          </w:p>
        </w:tc>
        <w:tc>
          <w:tcPr>
            <w:tcW w:w="141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1</w:t>
            </w:r>
          </w:p>
        </w:tc>
        <w:tc>
          <w:tcPr>
            <w:tcW w:w="1557"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废矿物油</w:t>
            </w:r>
          </w:p>
        </w:tc>
        <w:tc>
          <w:tcPr>
            <w:tcW w:w="1192"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HW08</w:t>
            </w:r>
          </w:p>
        </w:tc>
        <w:tc>
          <w:tcPr>
            <w:tcW w:w="145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92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416"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1557"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废乳化液</w:t>
            </w:r>
          </w:p>
        </w:tc>
        <w:tc>
          <w:tcPr>
            <w:tcW w:w="1192"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HW09</w:t>
            </w:r>
          </w:p>
        </w:tc>
        <w:tc>
          <w:tcPr>
            <w:tcW w:w="1451" w:type="dxa"/>
            <w:shd w:val="clear" w:color="auto" w:fill="auto"/>
            <w:noWrap w:val="0"/>
            <w:vAlign w:val="center"/>
          </w:tcPr>
          <w:p>
            <w:pPr>
              <w:jc w:val="center"/>
              <w:rPr>
                <w:rFonts w:hint="default"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92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416"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bl>
    <w:p>
      <w:pPr>
        <w:spacing w:line="24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注：年度处置数量为预估数，实际处置数量以称重</w:t>
      </w:r>
      <w:r>
        <w:rPr>
          <w:rFonts w:hint="eastAsia" w:ascii="FangSong_GB2312" w:eastAsia="FangSong_GB2312" w:cs="Times New Roman"/>
          <w:kern w:val="2"/>
          <w:sz w:val="24"/>
          <w:szCs w:val="20"/>
          <w:lang w:val="en-US" w:eastAsia="zh-CN" w:bidi="ar-SA"/>
        </w:rPr>
        <w:t>重量</w:t>
      </w:r>
      <w:r>
        <w:rPr>
          <w:rFonts w:hint="eastAsia" w:ascii="FangSong_GB2312" w:hAnsi="Times New Roman" w:eastAsia="FangSong_GB2312" w:cs="Times New Roman"/>
          <w:kern w:val="2"/>
          <w:sz w:val="24"/>
          <w:szCs w:val="20"/>
          <w:lang w:val="en-US" w:eastAsia="zh-CN" w:bidi="ar-SA"/>
        </w:rPr>
        <w:t>为准</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三、供应商资质要求</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供应商参加本次采购活动具备下列条件：</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（一）供应商须是具有独立承担民事责任的法人或其他经济组织；</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（二）本项目不接受联合体询价。</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（三）能提供和本业务相符的增值税专用发票。</w:t>
      </w:r>
    </w:p>
    <w:p>
      <w:pPr>
        <w:spacing w:line="460" w:lineRule="exact"/>
        <w:ind w:firstLine="480" w:firstLineChars="200"/>
        <w:rPr>
          <w:rFonts w:hint="eastAsia" w:ascii="FangSong_GB2312" w:hAnsi="楷体" w:eastAsia="FangSong_GB2312"/>
          <w:bCs/>
          <w:spacing w:val="8"/>
          <w:sz w:val="24"/>
          <w:lang w:eastAsia="zh-CN"/>
        </w:rPr>
      </w:pPr>
      <w:r>
        <w:rPr>
          <w:rFonts w:hint="eastAsia" w:ascii="FangSong_GB2312" w:hAnsi="Times New Roman" w:eastAsia="FangSong_GB2312" w:cs="Times New Roman"/>
          <w:kern w:val="2"/>
          <w:sz w:val="24"/>
          <w:szCs w:val="20"/>
          <w:lang w:val="en-US" w:eastAsia="zh-CN" w:bidi="ar-SA"/>
        </w:rPr>
        <w:t>（四）必须具备处理危险废弃物处置能力及资质；</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宋体" w:hAnsi="宋体"/>
          <w:sz w:val="24"/>
        </w:rPr>
        <w:t>参加</w:t>
      </w:r>
      <w:r>
        <w:rPr>
          <w:rFonts w:ascii="宋体" w:hAnsi="宋体"/>
          <w:sz w:val="24"/>
        </w:rPr>
        <w:t>此次</w:t>
      </w:r>
      <w:r>
        <w:rPr>
          <w:rFonts w:hint="eastAsia" w:ascii="宋体" w:hAnsi="宋体"/>
          <w:sz w:val="24"/>
        </w:rPr>
        <w:t>比价项目</w:t>
      </w:r>
      <w:r>
        <w:rPr>
          <w:rFonts w:ascii="宋体" w:hAnsi="宋体"/>
          <w:sz w:val="24"/>
        </w:rPr>
        <w:t>之前</w:t>
      </w:r>
      <w:r>
        <w:rPr>
          <w:rFonts w:hint="eastAsia" w:ascii="宋体" w:hAnsi="宋体"/>
          <w:sz w:val="24"/>
          <w:lang w:eastAsia="zh-CN"/>
        </w:rPr>
        <w:t>三</w:t>
      </w:r>
      <w:r>
        <w:rPr>
          <w:rFonts w:ascii="宋体" w:hAnsi="宋体"/>
          <w:sz w:val="24"/>
        </w:rPr>
        <w:t>年内</w:t>
      </w:r>
      <w:r>
        <w:rPr>
          <w:rFonts w:hint="eastAsia" w:ascii="宋体" w:hAnsi="宋体"/>
          <w:sz w:val="24"/>
        </w:rPr>
        <w:t>，</w:t>
      </w:r>
      <w:r>
        <w:rPr>
          <w:rFonts w:ascii="宋体" w:hAnsi="宋体"/>
          <w:sz w:val="24"/>
        </w:rPr>
        <w:t>在经营活动中</w:t>
      </w:r>
      <w:r>
        <w:rPr>
          <w:rFonts w:hint="eastAsia" w:ascii="宋体" w:hAnsi="宋体"/>
          <w:sz w:val="24"/>
        </w:rPr>
        <w:t>无</w:t>
      </w:r>
      <w:r>
        <w:rPr>
          <w:rFonts w:ascii="宋体" w:hAnsi="宋体"/>
          <w:sz w:val="24"/>
        </w:rPr>
        <w:t>重大违法</w:t>
      </w:r>
      <w:r>
        <w:rPr>
          <w:rFonts w:hint="eastAsia" w:ascii="宋体" w:hAnsi="宋体"/>
          <w:sz w:val="24"/>
        </w:rPr>
        <w:t>记录；</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12</w:t>
      </w:r>
      <w:r>
        <w:rPr>
          <w:rFonts w:ascii="FangSong_GB2312" w:eastAsia="FangSong_GB2312"/>
          <w:b/>
          <w:sz w:val="24"/>
        </w:rPr>
        <w:t>月</w:t>
      </w:r>
      <w:r>
        <w:rPr>
          <w:rFonts w:hint="eastAsia" w:ascii="FangSong_GB2312" w:eastAsiaTheme="minorEastAsia"/>
          <w:b/>
          <w:sz w:val="24"/>
          <w:lang w:val="en-US" w:eastAsia="zh-CN"/>
        </w:rPr>
        <w:t>12</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12</w:t>
      </w:r>
      <w:r>
        <w:rPr>
          <w:rFonts w:ascii="FangSong_GB2312" w:eastAsia="FangSong_GB2312"/>
          <w:b/>
          <w:sz w:val="24"/>
        </w:rPr>
        <w:t>月</w:t>
      </w:r>
      <w:r>
        <w:rPr>
          <w:rFonts w:hint="eastAsia" w:ascii="FangSong_GB2312" w:eastAsia="FangSong_GB2312"/>
          <w:b/>
          <w:sz w:val="24"/>
          <w:lang w:val="en-US" w:eastAsia="zh-CN"/>
        </w:rPr>
        <w:t>19</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12</w:t>
      </w:r>
      <w:r>
        <w:rPr>
          <w:rFonts w:ascii="FangSong_GB2312" w:eastAsia="FangSong_GB2312"/>
          <w:sz w:val="24"/>
        </w:rPr>
        <w:t>月</w:t>
      </w:r>
      <w:r>
        <w:rPr>
          <w:rFonts w:hint="eastAsia" w:ascii="FangSong_GB2312" w:eastAsia="FangSong_GB2312"/>
          <w:sz w:val="24"/>
          <w:lang w:val="en-US" w:eastAsia="zh-CN"/>
        </w:rPr>
        <w:t>19</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12</w:t>
      </w:r>
      <w:r>
        <w:rPr>
          <w:rFonts w:hint="eastAsia" w:ascii="FangSong_GB2312" w:eastAsia="FangSong_GB2312"/>
          <w:sz w:val="24"/>
        </w:rPr>
        <w:t>月</w:t>
      </w:r>
      <w:r>
        <w:rPr>
          <w:rFonts w:hint="eastAsia" w:ascii="FangSong_GB2312" w:eastAsia="FangSong_GB2312"/>
          <w:sz w:val="24"/>
          <w:lang w:val="en-US" w:eastAsia="zh-CN"/>
        </w:rPr>
        <w:t>19</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default"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询价咨询人：罗女士       联系电话：18117914033</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lang w:eastAsia="zh-CN"/>
        </w:rPr>
        <w:t>技术咨询人：杨先生</w:t>
      </w:r>
      <w:r>
        <w:rPr>
          <w:rFonts w:hint="eastAsia" w:ascii="FangSong_GB2312" w:eastAsia="FangSong_GB2312"/>
          <w:sz w:val="24"/>
          <w:lang w:val="en-US" w:eastAsia="zh-CN"/>
        </w:rPr>
        <w:t xml:space="preserve">       联系电话：13668159561</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余</w:t>
      </w:r>
      <w:r>
        <w:rPr>
          <w:rFonts w:hint="eastAsia" w:ascii="FangSong_GB2312" w:eastAsia="FangSong_GB2312"/>
          <w:sz w:val="24"/>
        </w:rPr>
        <w:t xml:space="preserve">女士  </w:t>
      </w:r>
      <w:r>
        <w:rPr>
          <w:rFonts w:hint="eastAsia" w:ascii="FangSong_GB2312" w:eastAsia="FangSong_GB2312"/>
          <w:sz w:val="24"/>
          <w:lang w:val="en-US" w:eastAsia="zh-CN"/>
        </w:rPr>
        <w:t xml:space="preserve"> </w:t>
      </w:r>
      <w:r>
        <w:rPr>
          <w:rFonts w:hint="eastAsia" w:ascii="FangSong_GB2312" w:eastAsia="FangSong_GB2312"/>
          <w:sz w:val="24"/>
        </w:rPr>
        <w:t>联系电话：</w:t>
      </w:r>
      <w:r>
        <w:rPr>
          <w:rFonts w:hint="eastAsia" w:ascii="FangSong_GB2312" w:eastAsia="FangSong_GB2312"/>
          <w:sz w:val="24"/>
          <w:lang w:val="en-US" w:eastAsia="zh-CN"/>
        </w:rPr>
        <w:t>13568842997</w:t>
      </w: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firstLine="2560" w:firstLineChars="800"/>
        <w:jc w:val="both"/>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color w:val="000000"/>
                <w:kern w:val="0"/>
                <w:szCs w:val="21"/>
                <w:lang w:eastAsia="zh-CN"/>
              </w:rPr>
              <w:t>危废处置</w:t>
            </w:r>
            <w:r>
              <w:rPr>
                <w:rFonts w:hint="eastAsia" w:hAnsi="宋体"/>
                <w:b/>
                <w:bCs/>
                <w:color w:val="000000"/>
                <w:kern w:val="0"/>
                <w:szCs w:val="21"/>
                <w:u w:val="single"/>
                <w:lang w:val="en-US" w:eastAsia="zh-CN"/>
              </w:rPr>
              <w:t>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67"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20" w:firstLineChars="200"/>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hint="eastAsia"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lang w:eastAsia="zh-CN"/>
              </w:rPr>
              <w:t>（</w:t>
            </w:r>
            <w:r>
              <w:rPr>
                <w:rFonts w:hint="eastAsia" w:ascii="宋体" w:hAnsi="宋体"/>
                <w:color w:val="000000"/>
                <w:szCs w:val="21"/>
                <w:lang w:val="en-US" w:eastAsia="zh-CN"/>
              </w:rPr>
              <w:t>4）具备处理危险废弃物能力及资质的供应商</w:t>
            </w:r>
          </w:p>
          <w:p>
            <w:pPr>
              <w:snapToGrid w:val="0"/>
              <w:spacing w:line="320" w:lineRule="exact"/>
              <w:ind w:firstLine="420"/>
              <w:rPr>
                <w:rFonts w:hint="eastAsia"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hAnsi="宋体"/>
                <w:color w:val="000000"/>
                <w:spacing w:val="-8"/>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int="eastAsia" w:hAnsi="宋体"/>
                <w:color w:val="000000"/>
                <w:kern w:val="0"/>
                <w:szCs w:val="21"/>
              </w:rPr>
            </w:pPr>
            <w:r>
              <w:rPr>
                <w:rFonts w:hint="eastAsia" w:hAnsi="宋体"/>
                <w:color w:val="000000"/>
                <w:kern w:val="0"/>
                <w:szCs w:val="21"/>
              </w:rPr>
              <w:t>是否接受联合体询价</w:t>
            </w:r>
          </w:p>
        </w:tc>
        <w:tc>
          <w:tcPr>
            <w:tcW w:w="6480" w:type="dxa"/>
            <w:vAlign w:val="center"/>
          </w:tcPr>
          <w:p>
            <w:pPr>
              <w:widowControl/>
              <w:spacing w:line="360" w:lineRule="exact"/>
              <w:jc w:val="center"/>
              <w:rPr>
                <w:rFonts w:hint="eastAsia" w:hAnsi="宋体"/>
                <w:color w:val="000000"/>
                <w:kern w:val="0"/>
                <w:szCs w:val="21"/>
              </w:rPr>
            </w:pPr>
            <w:r>
              <w:rPr>
                <w:rFonts w:hint="eastAsia" w:hAnsi="宋体"/>
                <w:color w:val="000000"/>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spacing w:val="-6"/>
                <w:kern w:val="0"/>
                <w:szCs w:val="21"/>
              </w:rPr>
              <w:t>报价文件由供应商的法定代表人或其委托代理人签字或盖单位章。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1.6</w:t>
            </w:r>
          </w:p>
        </w:tc>
        <w:tc>
          <w:tcPr>
            <w:tcW w:w="2160" w:type="dxa"/>
            <w:vAlign w:val="top"/>
          </w:tcPr>
          <w:p>
            <w:pPr>
              <w:snapToGrid w:val="0"/>
              <w:spacing w:line="320" w:lineRule="exact"/>
              <w:ind w:firstLine="420"/>
              <w:rPr>
                <w:rFonts w:ascii="宋体" w:hAnsi="宋体" w:eastAsia="宋体" w:cs="仿宋_GB2312"/>
                <w:kern w:val="0"/>
                <w:sz w:val="24"/>
                <w:lang w:val="en-US" w:eastAsia="zh-CN" w:bidi="ar-SA"/>
              </w:rPr>
            </w:pPr>
            <w:r>
              <w:rPr>
                <w:rFonts w:hint="eastAsia" w:ascii="宋体" w:hAnsi="宋体"/>
                <w:color w:val="000000"/>
                <w:szCs w:val="21"/>
              </w:rPr>
              <w:t>报价</w:t>
            </w:r>
            <w:r>
              <w:rPr>
                <w:rFonts w:hint="eastAsia" w:ascii="宋体" w:hAnsi="宋体" w:cs="仿宋_GB2312"/>
                <w:kern w:val="0"/>
                <w:sz w:val="24"/>
              </w:rPr>
              <w:t>文件组成</w:t>
            </w:r>
          </w:p>
        </w:tc>
        <w:tc>
          <w:tcPr>
            <w:tcW w:w="6480" w:type="dxa"/>
            <w:vAlign w:val="center"/>
          </w:tcPr>
          <w:p>
            <w:pPr>
              <w:autoSpaceDE w:val="0"/>
              <w:autoSpaceDN w:val="0"/>
              <w:snapToGrid w:val="0"/>
              <w:textAlignment w:val="bottom"/>
              <w:rPr>
                <w:rFonts w:ascii="宋体" w:hAnsi="宋体" w:eastAsia="宋体" w:cs="仿宋_GB2312"/>
                <w:kern w:val="0"/>
                <w:sz w:val="24"/>
                <w:lang w:val="en-US" w:eastAsia="zh-CN" w:bidi="ar-SA"/>
              </w:rPr>
            </w:pPr>
            <w:r>
              <w:rPr>
                <w:rFonts w:hint="eastAsia" w:ascii="宋体" w:hAnsi="宋体" w:cs="仿宋_GB2312"/>
                <w:kern w:val="0"/>
                <w:sz w:val="24"/>
              </w:rPr>
              <w:t>报价文件由正本</w:t>
            </w:r>
            <w:r>
              <w:rPr>
                <w:rFonts w:ascii="宋体" w:hAnsi="宋体" w:cs="仿宋_GB2312"/>
                <w:kern w:val="0"/>
                <w:sz w:val="24"/>
              </w:rPr>
              <w:t xml:space="preserve"> 1 </w:t>
            </w:r>
            <w:r>
              <w:rPr>
                <w:rFonts w:hint="eastAsia" w:ascii="宋体" w:hAnsi="宋体" w:cs="仿宋_GB2312"/>
                <w:kern w:val="0"/>
                <w:sz w:val="24"/>
              </w:rPr>
              <w:t>份（</w:t>
            </w:r>
            <w:r>
              <w:rPr>
                <w:rFonts w:hint="eastAsia" w:ascii="宋体" w:hAnsi="宋体" w:cs="仿宋_GB2312"/>
                <w:color w:val="FF0000"/>
                <w:kern w:val="0"/>
                <w:sz w:val="24"/>
              </w:rPr>
              <w:t>注明增值税专用发票的抵扣税额</w:t>
            </w:r>
            <w:r>
              <w:rPr>
                <w:rFonts w:hint="eastAsia" w:ascii="宋体" w:hAnsi="宋体"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color w:val="000000"/>
                <w:kern w:val="0"/>
                <w:szCs w:val="21"/>
              </w:rPr>
              <w:t>1.7</w:t>
            </w:r>
          </w:p>
        </w:tc>
        <w:tc>
          <w:tcPr>
            <w:tcW w:w="2160" w:type="dxa"/>
            <w:vAlign w:val="center"/>
          </w:tcPr>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rPr>
              <w:t>封套上写明</w:t>
            </w:r>
          </w:p>
        </w:tc>
        <w:tc>
          <w:tcPr>
            <w:tcW w:w="6480" w:type="dxa"/>
            <w:vAlign w:val="center"/>
          </w:tcPr>
          <w:p>
            <w:pPr>
              <w:snapToGrid w:val="0"/>
              <w:spacing w:line="320" w:lineRule="exact"/>
              <w:ind w:firstLine="420"/>
              <w:rPr>
                <w:rFonts w:hint="default" w:ascii="宋体" w:hAnsi="宋体"/>
                <w:color w:val="000000"/>
                <w:szCs w:val="21"/>
                <w:lang w:val="en-US" w:eastAsia="zh-CN"/>
              </w:rPr>
            </w:pPr>
            <w:r>
              <w:rPr>
                <w:rFonts w:hint="eastAsia" w:ascii="宋体" w:hAnsi="宋体"/>
                <w:color w:val="000000"/>
                <w:szCs w:val="21"/>
              </w:rPr>
              <w:t>采购人的地址：</w:t>
            </w:r>
            <w:r>
              <w:rPr>
                <w:rFonts w:hint="eastAsia" w:ascii="宋体" w:hAnsi="宋体"/>
                <w:color w:val="000000"/>
                <w:szCs w:val="21"/>
                <w:lang w:eastAsia="zh-CN"/>
              </w:rPr>
              <w:t>成都市都江堰市蒲阳镇光泰路</w:t>
            </w:r>
            <w:r>
              <w:rPr>
                <w:rFonts w:hint="eastAsia" w:ascii="宋体" w:hAnsi="宋体"/>
                <w:color w:val="000000"/>
                <w:szCs w:val="21"/>
                <w:lang w:val="en-US" w:eastAsia="zh-CN"/>
              </w:rPr>
              <w:t>10号</w:t>
            </w:r>
          </w:p>
          <w:p>
            <w:pPr>
              <w:snapToGrid w:val="0"/>
              <w:spacing w:line="320" w:lineRule="exact"/>
              <w:ind w:firstLine="420"/>
              <w:rPr>
                <w:rFonts w:hint="eastAsia" w:ascii="宋体" w:hAnsi="宋体"/>
                <w:color w:val="000000"/>
                <w:szCs w:val="21"/>
                <w:lang w:eastAsia="zh-CN"/>
              </w:rPr>
            </w:pPr>
            <w:r>
              <w:rPr>
                <w:rFonts w:hint="eastAsia" w:ascii="宋体" w:hAnsi="宋体"/>
                <w:color w:val="000000"/>
                <w:szCs w:val="21"/>
              </w:rPr>
              <w:t>采购人名称：</w:t>
            </w:r>
            <w:r>
              <w:rPr>
                <w:rFonts w:hint="eastAsia" w:ascii="宋体" w:hAnsi="宋体"/>
                <w:color w:val="000000"/>
                <w:szCs w:val="21"/>
                <w:lang w:eastAsia="zh-CN"/>
              </w:rPr>
              <w:t>都江堰光明光电材料有限责任公司</w:t>
            </w:r>
          </w:p>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lang w:eastAsia="zh-CN"/>
              </w:rPr>
              <w:t>都江堰</w:t>
            </w:r>
            <w:r>
              <w:rPr>
                <w:rFonts w:hint="eastAsia" w:ascii="宋体" w:hAnsi="宋体"/>
                <w:color w:val="000000"/>
                <w:szCs w:val="21"/>
              </w:rPr>
              <w:t>光明光电公司2023年度危废处置询价文件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color w:val="000000"/>
                <w:kern w:val="0"/>
                <w:szCs w:val="21"/>
              </w:rPr>
              <w:t>1.8</w:t>
            </w:r>
          </w:p>
        </w:tc>
        <w:tc>
          <w:tcPr>
            <w:tcW w:w="2160" w:type="dxa"/>
            <w:vAlign w:val="center"/>
          </w:tcPr>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rPr>
              <w:t>询价采购有效期</w:t>
            </w:r>
          </w:p>
        </w:tc>
        <w:tc>
          <w:tcPr>
            <w:tcW w:w="6480" w:type="dxa"/>
            <w:vAlign w:val="center"/>
          </w:tcPr>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rPr>
              <w:t>有效期 30 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1.9</w:t>
            </w:r>
          </w:p>
        </w:tc>
        <w:tc>
          <w:tcPr>
            <w:tcW w:w="2160" w:type="dxa"/>
            <w:vAlign w:val="center"/>
          </w:tcPr>
          <w:p>
            <w:pPr>
              <w:snapToGrid w:val="0"/>
              <w:spacing w:line="320" w:lineRule="exact"/>
              <w:rPr>
                <w:rFonts w:hint="eastAsia" w:ascii="宋体" w:hAnsi="宋体"/>
                <w:color w:val="000000"/>
                <w:szCs w:val="21"/>
                <w:lang w:val="en-US" w:eastAsia="zh-CN"/>
              </w:rPr>
            </w:pPr>
            <w:r>
              <w:rPr>
                <w:rFonts w:hint="eastAsia" w:ascii="宋体" w:hAnsi="宋体"/>
                <w:color w:val="000000"/>
                <w:szCs w:val="21"/>
              </w:rPr>
              <w:t>递交报价文件地点</w:t>
            </w:r>
          </w:p>
        </w:tc>
        <w:tc>
          <w:tcPr>
            <w:tcW w:w="6480" w:type="dxa"/>
            <w:vAlign w:val="center"/>
          </w:tcPr>
          <w:p>
            <w:pPr>
              <w:snapToGrid w:val="0"/>
              <w:spacing w:line="320" w:lineRule="exact"/>
              <w:ind w:firstLine="420"/>
              <w:rPr>
                <w:rFonts w:hint="default" w:ascii="宋体" w:hAnsi="宋体"/>
                <w:color w:val="000000"/>
                <w:szCs w:val="21"/>
                <w:lang w:val="en-US" w:eastAsia="zh-CN"/>
              </w:rPr>
            </w:pPr>
            <w:r>
              <w:rPr>
                <w:rFonts w:hint="eastAsia" w:ascii="宋体" w:hAnsi="宋体"/>
                <w:color w:val="000000"/>
                <w:szCs w:val="21"/>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pPr>
              <w:snapToGrid w:val="0"/>
              <w:spacing w:line="320" w:lineRule="exact"/>
              <w:rPr>
                <w:rFonts w:hint="eastAsia" w:ascii="宋体" w:hAnsi="宋体"/>
                <w:color w:val="000000"/>
                <w:szCs w:val="21"/>
              </w:rPr>
            </w:pPr>
            <w:r>
              <w:rPr>
                <w:rFonts w:hint="eastAsia" w:ascii="宋体" w:hAnsi="宋体"/>
                <w:color w:val="000000"/>
                <w:szCs w:val="21"/>
              </w:rPr>
              <w:t>开启截止报价时间</w:t>
            </w:r>
          </w:p>
        </w:tc>
        <w:tc>
          <w:tcPr>
            <w:tcW w:w="6480" w:type="dxa"/>
            <w:vAlign w:val="center"/>
          </w:tcPr>
          <w:p>
            <w:pPr>
              <w:snapToGrid w:val="0"/>
              <w:spacing w:line="320" w:lineRule="exact"/>
              <w:ind w:firstLine="420"/>
              <w:rPr>
                <w:rFonts w:hint="eastAsia" w:ascii="宋体" w:hAnsi="宋体"/>
                <w:color w:val="000000"/>
                <w:szCs w:val="21"/>
              </w:rPr>
            </w:pPr>
            <w:r>
              <w:rPr>
                <w:rFonts w:hint="eastAsia" w:ascii="宋体" w:hAnsi="宋体"/>
                <w:color w:val="000000"/>
                <w:szCs w:val="21"/>
              </w:rPr>
              <w:t>2022年</w:t>
            </w:r>
            <w:r>
              <w:rPr>
                <w:rFonts w:hint="eastAsia" w:ascii="宋体" w:hAnsi="宋体"/>
                <w:color w:val="000000"/>
                <w:szCs w:val="21"/>
                <w:lang w:val="en-US" w:eastAsia="zh-CN"/>
              </w:rPr>
              <w:t>12</w:t>
            </w:r>
            <w:r>
              <w:rPr>
                <w:rFonts w:hint="eastAsia" w:ascii="宋体" w:hAnsi="宋体"/>
                <w:color w:val="000000"/>
                <w:szCs w:val="21"/>
              </w:rPr>
              <w:t>月</w:t>
            </w:r>
            <w:r>
              <w:rPr>
                <w:rFonts w:hint="eastAsia" w:ascii="宋体" w:hAnsi="宋体"/>
                <w:color w:val="000000"/>
                <w:szCs w:val="21"/>
                <w:lang w:val="en-US" w:eastAsia="zh-CN"/>
              </w:rPr>
              <w:t>12</w:t>
            </w:r>
            <w:r>
              <w:rPr>
                <w:rFonts w:hint="eastAsia" w:ascii="宋体" w:hAnsi="宋体"/>
                <w:color w:val="000000"/>
                <w:szCs w:val="21"/>
              </w:rPr>
              <w:t>日8:00时—2022年</w:t>
            </w:r>
            <w:r>
              <w:rPr>
                <w:rFonts w:hint="eastAsia" w:ascii="宋体" w:hAnsi="宋体"/>
                <w:color w:val="000000"/>
                <w:szCs w:val="21"/>
                <w:lang w:val="en-US" w:eastAsia="zh-CN"/>
              </w:rPr>
              <w:t>12</w:t>
            </w:r>
            <w:r>
              <w:rPr>
                <w:rFonts w:hint="eastAsia" w:ascii="宋体" w:hAnsi="宋体"/>
                <w:color w:val="000000"/>
                <w:szCs w:val="21"/>
              </w:rPr>
              <w:t>月</w:t>
            </w:r>
            <w:r>
              <w:rPr>
                <w:rFonts w:hint="eastAsia" w:ascii="宋体" w:hAnsi="宋体"/>
                <w:color w:val="000000"/>
                <w:szCs w:val="21"/>
                <w:lang w:val="en-US" w:eastAsia="zh-CN"/>
              </w:rPr>
              <w:t>19</w:t>
            </w:r>
            <w:r>
              <w:rPr>
                <w:rFonts w:hint="eastAsia" w:ascii="宋体" w:hAnsi="宋体"/>
                <w:color w:val="00000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napToGrid w:val="0"/>
              <w:spacing w:line="320" w:lineRule="exact"/>
              <w:ind w:firstLine="420"/>
              <w:rPr>
                <w:rFonts w:hint="eastAsia" w:ascii="宋体" w:hAnsi="宋体"/>
                <w:color w:val="000000"/>
                <w:szCs w:val="21"/>
              </w:rPr>
            </w:pPr>
            <w:r>
              <w:rPr>
                <w:rFonts w:hint="eastAsia" w:ascii="宋体" w:hAnsi="宋体"/>
                <w:color w:val="000000"/>
                <w:szCs w:val="21"/>
              </w:rPr>
              <w:t>评审办法</w:t>
            </w:r>
          </w:p>
        </w:tc>
        <w:tc>
          <w:tcPr>
            <w:tcW w:w="6480" w:type="dxa"/>
            <w:vAlign w:val="center"/>
          </w:tcPr>
          <w:p>
            <w:pPr>
              <w:snapToGrid w:val="0"/>
              <w:spacing w:line="320" w:lineRule="exact"/>
              <w:ind w:firstLine="420"/>
              <w:rPr>
                <w:rFonts w:hint="eastAsia" w:ascii="宋体" w:hAnsi="宋体"/>
                <w:color w:val="000000"/>
                <w:szCs w:val="21"/>
                <w:lang w:eastAsia="zh-CN"/>
              </w:rPr>
            </w:pPr>
            <w:r>
              <w:rPr>
                <w:rFonts w:hint="eastAsia" w:ascii="宋体" w:hAnsi="宋体"/>
                <w:color w:val="000000"/>
                <w:szCs w:val="21"/>
              </w:rPr>
              <w:t>最低价中标</w:t>
            </w:r>
          </w:p>
        </w:tc>
      </w:tr>
    </w:tbl>
    <w:p>
      <w:pPr>
        <w:spacing w:line="500" w:lineRule="exact"/>
        <w:rPr>
          <w:rFonts w:ascii="宋体" w:hAnsi="宋体"/>
          <w:sz w:val="24"/>
        </w:rPr>
      </w:pPr>
      <w:r>
        <w:rPr>
          <w:rFonts w:hint="eastAsia" w:ascii="宋体" w:hAnsi="宋体"/>
          <w:sz w:val="24"/>
        </w:rPr>
        <w:t>一、供应商参加采购活动应当符合国家相关法律法规。</w:t>
      </w:r>
    </w:p>
    <w:p>
      <w:pPr>
        <w:spacing w:line="500" w:lineRule="exact"/>
        <w:rPr>
          <w:rFonts w:ascii="宋体" w:hAnsi="宋体"/>
          <w:b/>
          <w:bCs/>
          <w:sz w:val="24"/>
        </w:rPr>
      </w:pPr>
      <w:r>
        <w:rPr>
          <w:rFonts w:hint="eastAsia" w:ascii="宋体" w:hAnsi="宋体"/>
          <w:sz w:val="24"/>
        </w:rPr>
        <w:t>二、供应商在报价前必须</w:t>
      </w:r>
      <w:r>
        <w:rPr>
          <w:rFonts w:hint="eastAsia" w:ascii="宋体" w:hAnsi="宋体"/>
          <w:b w:val="0"/>
          <w:bCs w:val="0"/>
          <w:sz w:val="24"/>
        </w:rPr>
        <w:t>对所投标的的型号、价格等进行市场调查，做好市场价格波动风险评估，报价一旦形成不得随意更改。保</w:t>
      </w:r>
      <w:r>
        <w:rPr>
          <w:rFonts w:hint="eastAsia" w:ascii="宋体" w:hAnsi="宋体"/>
          <w:sz w:val="24"/>
        </w:rPr>
        <w:t>证在签订合同后按期回收处置。成交供应商应保证在合作期限内，对由于回收处置发生任何不足，应由其负责并承担由此造成的甲方损失的相应费用。</w:t>
      </w:r>
    </w:p>
    <w:p>
      <w:pPr>
        <w:spacing w:line="500" w:lineRule="exact"/>
        <w:ind w:firstLine="480" w:firstLineChars="200"/>
        <w:rPr>
          <w:rFonts w:ascii="宋体" w:hAnsi="宋体"/>
          <w:sz w:val="24"/>
        </w:rPr>
      </w:pPr>
      <w:r>
        <w:rPr>
          <w:rFonts w:hint="eastAsia" w:ascii="宋体" w:hAnsi="宋体"/>
          <w:sz w:val="24"/>
        </w:rPr>
        <w:t>三、成交人必须对报价文件负全责；在成交后</w:t>
      </w:r>
      <w:r>
        <w:rPr>
          <w:rFonts w:ascii="宋体" w:hAnsi="宋体"/>
          <w:sz w:val="24"/>
        </w:rPr>
        <w:t>10</w:t>
      </w:r>
      <w:r>
        <w:rPr>
          <w:rFonts w:hint="eastAsia" w:ascii="宋体" w:hAnsi="宋体"/>
          <w:sz w:val="24"/>
        </w:rPr>
        <w:t>个工作日内与采购人签订合同。</w:t>
      </w:r>
    </w:p>
    <w:p>
      <w:pPr>
        <w:spacing w:line="480" w:lineRule="exact"/>
        <w:ind w:firstLine="480" w:firstLineChars="200"/>
        <w:rPr>
          <w:rFonts w:ascii="宋体" w:hAnsi="宋体"/>
          <w:sz w:val="24"/>
        </w:rPr>
      </w:pPr>
      <w:r>
        <w:rPr>
          <w:rFonts w:hint="eastAsia" w:ascii="宋体" w:hAnsi="宋体"/>
          <w:sz w:val="24"/>
        </w:rPr>
        <w:t>四、各供应商填列的单价以人民币元为单位，报价应包括清理、装卸费用、运输等在内的一切费用。只能有一个报价，不接受有选择的报价，否则报价无效。</w:t>
      </w:r>
    </w:p>
    <w:p>
      <w:pPr>
        <w:spacing w:line="480" w:lineRule="exact"/>
        <w:ind w:firstLine="480" w:firstLineChars="200"/>
        <w:rPr>
          <w:rFonts w:hint="eastAsia" w:ascii="宋体" w:hAnsi="宋体"/>
          <w:sz w:val="24"/>
        </w:rPr>
      </w:pPr>
      <w:r>
        <w:rPr>
          <w:rFonts w:hint="eastAsia" w:ascii="宋体" w:hAnsi="宋体"/>
          <w:sz w:val="24"/>
        </w:rPr>
        <w:t>五、因此次询价为年度采购，合同履约周期为从合同签订之日起壹年。</w:t>
      </w:r>
    </w:p>
    <w:p>
      <w:pPr>
        <w:spacing w:line="500" w:lineRule="exact"/>
        <w:ind w:firstLine="480" w:firstLineChars="200"/>
        <w:rPr>
          <w:rFonts w:ascii="宋体" w:hAnsi="宋体"/>
          <w:b/>
          <w:sz w:val="24"/>
        </w:rPr>
      </w:pPr>
      <w:r>
        <w:rPr>
          <w:rFonts w:hint="eastAsia" w:ascii="宋体" w:hAnsi="宋体"/>
          <w:sz w:val="24"/>
          <w:lang w:eastAsia="zh-CN"/>
        </w:rPr>
        <w:t>六</w:t>
      </w:r>
      <w:r>
        <w:rPr>
          <w:rFonts w:hint="eastAsia" w:ascii="宋体" w:hAnsi="宋体"/>
          <w:sz w:val="24"/>
        </w:rPr>
        <w:t>、报价文件应包括：</w:t>
      </w:r>
    </w:p>
    <w:p>
      <w:pPr>
        <w:spacing w:line="480" w:lineRule="exact"/>
        <w:ind w:firstLine="480" w:firstLineChars="200"/>
        <w:rPr>
          <w:rFonts w:ascii="宋体" w:hAnsi="宋体"/>
          <w:sz w:val="24"/>
        </w:rPr>
      </w:pPr>
      <w:r>
        <w:rPr>
          <w:rFonts w:hint="eastAsia" w:ascii="宋体" w:hAnsi="宋体"/>
          <w:sz w:val="24"/>
        </w:rPr>
        <w:t>（一）法人代表授权委托书原件（格式见附件一）；</w:t>
      </w:r>
    </w:p>
    <w:p>
      <w:pPr>
        <w:spacing w:line="480" w:lineRule="exact"/>
        <w:ind w:firstLine="480" w:firstLineChars="200"/>
        <w:rPr>
          <w:rFonts w:hint="eastAsia" w:ascii="宋体" w:hAnsi="宋体"/>
          <w:sz w:val="24"/>
        </w:rPr>
      </w:pPr>
      <w:r>
        <w:rPr>
          <w:rFonts w:hint="eastAsia" w:ascii="宋体" w:hAnsi="宋体"/>
          <w:sz w:val="24"/>
        </w:rPr>
        <w:t>（二）明细报价表（附件二</w:t>
      </w:r>
      <w:r>
        <w:rPr>
          <w:rFonts w:hint="eastAsia" w:ascii="宋体" w:hAnsi="宋体"/>
          <w:sz w:val="24"/>
          <w:lang w:eastAsia="zh-CN"/>
        </w:rPr>
        <w:t>，可自定格式</w:t>
      </w:r>
      <w:r>
        <w:rPr>
          <w:rFonts w:hint="eastAsia" w:ascii="宋体" w:hAnsi="宋体"/>
          <w:sz w:val="24"/>
        </w:rPr>
        <w:t>）；</w:t>
      </w:r>
    </w:p>
    <w:p>
      <w:pPr>
        <w:spacing w:line="480" w:lineRule="exact"/>
        <w:ind w:firstLine="480" w:firstLineChars="200"/>
        <w:rPr>
          <w:rFonts w:ascii="宋体" w:hAnsi="宋体"/>
          <w:sz w:val="24"/>
        </w:rPr>
      </w:pPr>
      <w:r>
        <w:rPr>
          <w:rFonts w:hint="eastAsia" w:ascii="宋体" w:hAnsi="宋体"/>
          <w:sz w:val="24"/>
        </w:rPr>
        <w:t>（三）相关服务承诺（书面材料，格式自定）；</w:t>
      </w:r>
    </w:p>
    <w:p>
      <w:pPr>
        <w:spacing w:line="480" w:lineRule="exact"/>
        <w:ind w:firstLine="480" w:firstLineChars="200"/>
        <w:rPr>
          <w:rFonts w:ascii="宋体" w:hAnsi="宋体"/>
          <w:sz w:val="24"/>
        </w:rPr>
      </w:pPr>
      <w:r>
        <w:rPr>
          <w:rFonts w:hint="eastAsia" w:ascii="宋体" w:hAnsi="宋体"/>
          <w:sz w:val="24"/>
        </w:rPr>
        <w:t>（四）报价单位认为适宜的与本项目相关的其他资格证明资料。</w:t>
      </w:r>
    </w:p>
    <w:p>
      <w:pPr>
        <w:spacing w:line="480" w:lineRule="exact"/>
        <w:ind w:firstLine="480" w:firstLineChars="200"/>
        <w:rPr>
          <w:rFonts w:ascii="宋体" w:hAnsi="宋体"/>
          <w:sz w:val="24"/>
        </w:rPr>
      </w:pPr>
      <w:r>
        <w:rPr>
          <w:rFonts w:hint="eastAsia" w:ascii="宋体" w:hAnsi="宋体"/>
          <w:sz w:val="24"/>
        </w:rPr>
        <w:t>注：</w:t>
      </w:r>
      <w:r>
        <w:rPr>
          <w:rFonts w:hint="eastAsia" w:ascii="宋体" w:hAnsi="宋体"/>
          <w:b/>
          <w:bCs/>
          <w:iCs/>
          <w:sz w:val="24"/>
          <w:u w:val="single"/>
        </w:rPr>
        <w:t>以上材料须加盖单位公章</w:t>
      </w:r>
      <w:r>
        <w:rPr>
          <w:rFonts w:hint="eastAsia" w:ascii="宋体" w:hAnsi="宋体"/>
          <w:b/>
          <w:sz w:val="24"/>
          <w:u w:val="single"/>
        </w:rPr>
        <w:t>（原件备查）</w:t>
      </w:r>
      <w:r>
        <w:rPr>
          <w:rFonts w:hint="eastAsia" w:ascii="宋体" w:hAnsi="宋体"/>
          <w:sz w:val="24"/>
        </w:rPr>
        <w:t>。</w:t>
      </w:r>
    </w:p>
    <w:p>
      <w:pPr>
        <w:spacing w:line="480" w:lineRule="exact"/>
        <w:ind w:firstLine="482" w:firstLineChars="200"/>
        <w:rPr>
          <w:rFonts w:ascii="宋体" w:hAnsi="宋体"/>
          <w:b/>
          <w:sz w:val="24"/>
          <w:u w:val="single"/>
        </w:rPr>
      </w:pPr>
      <w:r>
        <w:rPr>
          <w:rFonts w:hint="eastAsia" w:ascii="宋体" w:hAnsi="宋体"/>
          <w:b/>
          <w:sz w:val="24"/>
          <w:u w:val="single"/>
        </w:rPr>
        <w:t>供应商在递交询价报价文件时，必须是密封完好的，密封件正面应标明单位名称，并在封口处加盖单位公章。</w:t>
      </w:r>
    </w:p>
    <w:p>
      <w:pPr>
        <w:spacing w:line="500" w:lineRule="exact"/>
        <w:ind w:firstLine="720" w:firstLineChars="300"/>
        <w:rPr>
          <w:rFonts w:ascii="宋体" w:hAnsi="宋体"/>
          <w:sz w:val="24"/>
        </w:rPr>
      </w:pPr>
      <w:r>
        <w:rPr>
          <w:rFonts w:hint="eastAsia" w:ascii="宋体" w:hAnsi="宋体"/>
          <w:sz w:val="24"/>
          <w:lang w:eastAsia="zh-CN"/>
        </w:rPr>
        <w:t>七</w:t>
      </w:r>
      <w:r>
        <w:rPr>
          <w:rFonts w:hint="eastAsia" w:ascii="宋体" w:hAnsi="宋体"/>
          <w:sz w:val="24"/>
        </w:rPr>
        <w:t>、报价文件接受截止时间及地点</w:t>
      </w:r>
    </w:p>
    <w:p>
      <w:pPr>
        <w:spacing w:line="500" w:lineRule="exact"/>
        <w:ind w:firstLine="480" w:firstLineChars="200"/>
        <w:rPr>
          <w:rFonts w:ascii="宋体" w:hAnsi="宋体"/>
          <w:sz w:val="24"/>
        </w:rPr>
      </w:pPr>
      <w:r>
        <w:rPr>
          <w:rFonts w:hint="eastAsia" w:ascii="宋体" w:hAnsi="宋体"/>
          <w:sz w:val="24"/>
        </w:rPr>
        <w:t>（一）询价文件接收截止时间：</w:t>
      </w:r>
      <w:r>
        <w:rPr>
          <w:rFonts w:ascii="宋体" w:hAnsi="宋体"/>
          <w:sz w:val="24"/>
          <w:highlight w:val="none"/>
        </w:rPr>
        <w:t>20</w:t>
      </w:r>
      <w:r>
        <w:rPr>
          <w:rFonts w:ascii="宋体" w:hAnsi="宋体"/>
          <w:color w:val="000000"/>
          <w:sz w:val="24"/>
          <w:highlight w:val="none"/>
          <w:u w:val="single"/>
        </w:rPr>
        <w:t>2</w:t>
      </w:r>
      <w:r>
        <w:rPr>
          <w:rFonts w:hint="eastAsia" w:ascii="宋体" w:hAnsi="宋体"/>
          <w:color w:val="000000"/>
          <w:sz w:val="24"/>
          <w:highlight w:val="none"/>
          <w:u w:val="single"/>
        </w:rPr>
        <w:t>2</w:t>
      </w:r>
      <w:r>
        <w:rPr>
          <w:rFonts w:ascii="宋体" w:hAnsi="宋体"/>
          <w:color w:val="000000"/>
          <w:sz w:val="24"/>
          <w:highlight w:val="none"/>
          <w:u w:val="single"/>
        </w:rPr>
        <w:t xml:space="preserve"> </w:t>
      </w:r>
      <w:r>
        <w:rPr>
          <w:rFonts w:hint="eastAsia" w:ascii="宋体" w:hAnsi="宋体"/>
          <w:color w:val="000000"/>
          <w:sz w:val="24"/>
          <w:highlight w:val="none"/>
        </w:rPr>
        <w:t>年</w:t>
      </w:r>
      <w:r>
        <w:rPr>
          <w:rFonts w:ascii="宋体" w:hAnsi="宋体"/>
          <w:color w:val="000000"/>
          <w:sz w:val="24"/>
          <w:highlight w:val="none"/>
          <w:u w:val="single"/>
        </w:rPr>
        <w:t xml:space="preserve"> </w:t>
      </w:r>
      <w:r>
        <w:rPr>
          <w:rFonts w:hint="eastAsia" w:ascii="宋体" w:hAnsi="宋体"/>
          <w:color w:val="000000"/>
          <w:sz w:val="24"/>
          <w:highlight w:val="none"/>
          <w:u w:val="single"/>
        </w:rPr>
        <w:t>12</w:t>
      </w:r>
      <w:r>
        <w:rPr>
          <w:rFonts w:ascii="宋体" w:hAnsi="宋体"/>
          <w:color w:val="000000"/>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u w:val="single"/>
        </w:rPr>
        <w:t>1</w:t>
      </w:r>
      <w:r>
        <w:rPr>
          <w:rFonts w:hint="eastAsia" w:ascii="宋体" w:hAnsi="宋体"/>
          <w:sz w:val="24"/>
          <w:highlight w:val="none"/>
          <w:u w:val="single"/>
          <w:lang w:val="en-US" w:eastAsia="zh-CN"/>
        </w:rPr>
        <w:t>9</w:t>
      </w:r>
      <w:r>
        <w:rPr>
          <w:rFonts w:ascii="宋体" w:hAnsi="宋体"/>
          <w:sz w:val="24"/>
          <w:highlight w:val="none"/>
          <w:u w:val="single"/>
        </w:rPr>
        <w:t xml:space="preserve"> </w:t>
      </w:r>
      <w:r>
        <w:rPr>
          <w:rFonts w:hint="eastAsia" w:ascii="宋体" w:hAnsi="宋体"/>
          <w:sz w:val="24"/>
          <w:highlight w:val="none"/>
        </w:rPr>
        <w:t>日</w:t>
      </w:r>
      <w:r>
        <w:rPr>
          <w:rFonts w:hint="eastAsia" w:ascii="宋体" w:hAnsi="宋体"/>
          <w:sz w:val="24"/>
        </w:rPr>
        <w:t>，截止时间后，将拒绝接收新的报价文件。</w:t>
      </w:r>
    </w:p>
    <w:p>
      <w:pPr>
        <w:spacing w:line="460" w:lineRule="exact"/>
        <w:ind w:left="3445" w:leftChars="269" w:hanging="2880" w:hangingChars="1200"/>
        <w:rPr>
          <w:rFonts w:hint="eastAsia" w:ascii="宋体" w:hAnsi="宋体" w:eastAsia="宋体"/>
          <w:sz w:val="24"/>
          <w:lang w:eastAsia="zh-CN"/>
        </w:rPr>
      </w:pPr>
      <w:r>
        <w:rPr>
          <w:rFonts w:hint="eastAsia" w:ascii="宋体" w:hAnsi="宋体"/>
          <w:sz w:val="24"/>
        </w:rPr>
        <w:t>（二）投送地点：</w:t>
      </w:r>
      <w:r>
        <w:rPr>
          <w:rFonts w:hint="eastAsia" w:ascii="宋体" w:hAnsi="宋体"/>
          <w:sz w:val="24"/>
          <w:lang w:eastAsia="zh-CN"/>
        </w:rPr>
        <w:t>都江堰光明光电材料有限责任公司</w:t>
      </w:r>
    </w:p>
    <w:p>
      <w:pPr>
        <w:spacing w:line="500" w:lineRule="exact"/>
        <w:ind w:firstLine="482" w:firstLineChars="200"/>
        <w:rPr>
          <w:rFonts w:ascii="宋体" w:hAnsi="宋体"/>
          <w:b/>
          <w:sz w:val="24"/>
        </w:rPr>
      </w:pPr>
      <w:r>
        <w:rPr>
          <w:rFonts w:hint="eastAsia" w:ascii="宋体" w:hAnsi="宋体"/>
          <w:b/>
          <w:sz w:val="24"/>
          <w:lang w:eastAsia="zh-CN"/>
        </w:rPr>
        <w:t>八</w:t>
      </w:r>
      <w:r>
        <w:rPr>
          <w:rFonts w:hint="eastAsia" w:ascii="宋体" w:hAnsi="宋体"/>
          <w:b/>
          <w:sz w:val="24"/>
        </w:rPr>
        <w:t>、下列情况将被视为无效报价文件：</w:t>
      </w:r>
    </w:p>
    <w:p>
      <w:pPr>
        <w:spacing w:line="480" w:lineRule="exact"/>
        <w:ind w:firstLine="480" w:firstLineChars="200"/>
        <w:rPr>
          <w:rFonts w:ascii="宋体" w:hAnsi="宋体"/>
          <w:sz w:val="24"/>
        </w:rPr>
      </w:pPr>
      <w:r>
        <w:rPr>
          <w:rFonts w:hint="eastAsia" w:ascii="宋体" w:hAnsi="宋体"/>
          <w:sz w:val="24"/>
        </w:rPr>
        <w:t>（一）报价文件未在规定时间内送达指定地点；</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二</w:t>
      </w:r>
      <w:r>
        <w:rPr>
          <w:rFonts w:hint="eastAsia" w:ascii="宋体" w:hAnsi="宋体"/>
          <w:sz w:val="24"/>
        </w:rPr>
        <w:t>）报价文件中的各项内容填列不完整和有涂改现象的，供应商公章和供应商代表签字不齐的；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三</w:t>
      </w:r>
      <w:r>
        <w:rPr>
          <w:rFonts w:hint="eastAsia" w:ascii="宋体" w:hAnsi="宋体"/>
          <w:sz w:val="24"/>
        </w:rPr>
        <w:t>）报价文件中出现计算性错误的；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四</w:t>
      </w:r>
      <w:r>
        <w:rPr>
          <w:rFonts w:hint="eastAsia" w:ascii="宋体" w:hAnsi="宋体"/>
          <w:sz w:val="24"/>
        </w:rPr>
        <w:t>）供应商擅自改变货物种类、材质的；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五</w:t>
      </w:r>
      <w:r>
        <w:rPr>
          <w:rFonts w:hint="eastAsia" w:ascii="宋体" w:hAnsi="宋体"/>
          <w:sz w:val="24"/>
        </w:rPr>
        <w:t>）供应商的报价材料密封不合要求的；</w:t>
      </w:r>
    </w:p>
    <w:p>
      <w:pPr>
        <w:spacing w:line="480" w:lineRule="exact"/>
        <w:ind w:firstLine="480" w:firstLineChars="200"/>
        <w:rPr>
          <w:rFonts w:hint="eastAsia" w:ascii="宋体" w:hAnsi="宋体"/>
          <w:bCs/>
          <w:sz w:val="24"/>
        </w:rPr>
      </w:pPr>
      <w:r>
        <w:rPr>
          <w:rFonts w:hint="eastAsia" w:ascii="宋体" w:hAnsi="宋体"/>
          <w:bCs/>
          <w:sz w:val="24"/>
        </w:rPr>
        <w:t>（</w:t>
      </w:r>
      <w:r>
        <w:rPr>
          <w:rFonts w:hint="eastAsia" w:ascii="宋体" w:hAnsi="宋体"/>
          <w:bCs/>
          <w:sz w:val="24"/>
          <w:lang w:eastAsia="zh-CN"/>
        </w:rPr>
        <w:t>六</w:t>
      </w:r>
      <w:r>
        <w:rPr>
          <w:rFonts w:hint="eastAsia" w:ascii="宋体" w:hAnsi="宋体"/>
          <w:bCs/>
          <w:sz w:val="24"/>
        </w:rPr>
        <w:t>）经评审小组判定为故意压低价格，不符合市场价格规律的。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七</w:t>
      </w:r>
      <w:r>
        <w:rPr>
          <w:rFonts w:hint="eastAsia" w:ascii="宋体" w:hAnsi="宋体"/>
          <w:sz w:val="24"/>
        </w:rPr>
        <w:t>）其他询价小组认为的其他非实质性相应的；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八</w:t>
      </w:r>
      <w:r>
        <w:rPr>
          <w:rFonts w:hint="eastAsia" w:ascii="宋体" w:hAnsi="宋体"/>
          <w:sz w:val="24"/>
        </w:rPr>
        <w:t>）法律、法规规定的其他情况。</w:t>
      </w:r>
    </w:p>
    <w:p>
      <w:pPr>
        <w:spacing w:line="480" w:lineRule="exact"/>
        <w:ind w:firstLine="480" w:firstLineChars="200"/>
        <w:rPr>
          <w:rFonts w:ascii="宋体" w:hAnsi="宋体"/>
          <w:sz w:val="24"/>
        </w:rPr>
      </w:pPr>
      <w:r>
        <w:rPr>
          <w:rFonts w:hint="eastAsia" w:ascii="宋体" w:hAnsi="宋体"/>
          <w:sz w:val="24"/>
          <w:lang w:eastAsia="zh-CN"/>
        </w:rPr>
        <w:t>九</w:t>
      </w:r>
      <w:r>
        <w:rPr>
          <w:rFonts w:hint="eastAsia" w:ascii="宋体" w:hAnsi="宋体"/>
          <w:sz w:val="24"/>
        </w:rPr>
        <w:t>、询价采购评审过程的保密性：报价后，直至向成交供应商授予合同时止，凡与审查、评价和比较报价文件有关的资料以及授予合同的意见等，均不得向供应商及与询价采购无关的其他人透露。</w:t>
      </w:r>
    </w:p>
    <w:p>
      <w:pPr>
        <w:spacing w:line="480" w:lineRule="exact"/>
        <w:ind w:firstLine="480" w:firstLineChars="200"/>
        <w:rPr>
          <w:rFonts w:ascii="宋体" w:hAnsi="宋体"/>
          <w:sz w:val="24"/>
        </w:rPr>
      </w:pPr>
      <w:r>
        <w:rPr>
          <w:rFonts w:hint="eastAsia" w:ascii="宋体" w:hAnsi="宋体"/>
          <w:sz w:val="24"/>
        </w:rPr>
        <w:t>十</w:t>
      </w:r>
      <w:r>
        <w:rPr>
          <w:rFonts w:ascii="宋体" w:hAnsi="宋体"/>
          <w:sz w:val="24"/>
        </w:rPr>
        <w:t>.</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w:t>
      </w:r>
      <w:r>
        <w:rPr>
          <w:rFonts w:hint="eastAsia" w:ascii="宋体" w:hAnsi="宋体"/>
          <w:sz w:val="24"/>
          <w:lang w:eastAsia="zh-CN"/>
        </w:rPr>
        <w:t>评审小组（综合管理部、体系资产部、财务部）</w:t>
      </w:r>
      <w:r>
        <w:rPr>
          <w:rFonts w:hint="eastAsia" w:ascii="宋体" w:hAnsi="宋体"/>
          <w:sz w:val="24"/>
        </w:rPr>
        <w:t>根据询价文件规定的方法和标准完成评审，直至评定成交供应商。</w:t>
      </w:r>
    </w:p>
    <w:p>
      <w:pPr>
        <w:spacing w:line="480" w:lineRule="exact"/>
        <w:ind w:firstLine="480" w:firstLineChars="200"/>
        <w:rPr>
          <w:rFonts w:hint="eastAsia" w:ascii="宋体" w:hAnsi="宋体"/>
          <w:sz w:val="24"/>
        </w:rPr>
      </w:pPr>
      <w:r>
        <w:rPr>
          <w:rFonts w:hint="eastAsia" w:ascii="宋体" w:hAnsi="宋体"/>
          <w:sz w:val="24"/>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宋体" w:hAnsi="宋体"/>
          <w:sz w:val="24"/>
        </w:rPr>
      </w:pPr>
      <w:r>
        <w:rPr>
          <w:rFonts w:hint="eastAsia" w:ascii="宋体" w:hAnsi="宋体"/>
          <w:sz w:val="24"/>
        </w:rPr>
        <w:t>（三）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宋体" w:hAnsi="宋体"/>
          <w:sz w:val="24"/>
        </w:rPr>
      </w:pPr>
      <w:r>
        <w:rPr>
          <w:rFonts w:hint="eastAsia" w:ascii="宋体" w:hAnsi="宋体"/>
          <w:sz w:val="24"/>
        </w:rPr>
        <w:t>十</w:t>
      </w:r>
      <w:r>
        <w:rPr>
          <w:rFonts w:hint="eastAsia" w:ascii="宋体" w:hAnsi="宋体"/>
          <w:sz w:val="24"/>
          <w:lang w:eastAsia="zh-CN"/>
        </w:rPr>
        <w:t>一</w:t>
      </w:r>
      <w:r>
        <w:rPr>
          <w:rFonts w:hint="eastAsia" w:ascii="宋体" w:hAnsi="宋体"/>
          <w:sz w:val="24"/>
        </w:rPr>
        <w:t>．出现下列情形之一的，将否决所有供应商的报价或取消采购活动：</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w:t>
      </w:r>
      <w:r>
        <w:rPr>
          <w:rFonts w:hint="eastAsia" w:ascii="宋体" w:hAnsi="宋体"/>
          <w:sz w:val="24"/>
        </w:rPr>
        <w:t>出现影响采购公正的违法、违规行为的；</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 xml:space="preserve"> </w:t>
      </w:r>
      <w:r>
        <w:rPr>
          <w:rFonts w:hint="eastAsia" w:ascii="宋体" w:hAnsi="宋体"/>
          <w:sz w:val="24"/>
        </w:rPr>
        <w:t>供应商的报价均超过了采购预算，采购单位不能支付的；</w:t>
      </w:r>
    </w:p>
    <w:p>
      <w:pPr>
        <w:spacing w:line="480" w:lineRule="exact"/>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 xml:space="preserve"> </w:t>
      </w:r>
      <w:r>
        <w:rPr>
          <w:rFonts w:hint="eastAsia" w:ascii="宋体" w:hAnsi="宋体"/>
          <w:sz w:val="24"/>
        </w:rPr>
        <w:t>因重大变故，采购任务取消的</w:t>
      </w:r>
      <w:r>
        <w:rPr>
          <w:rFonts w:ascii="宋体" w:hAnsi="宋体"/>
          <w:sz w:val="24"/>
        </w:rPr>
        <w:t>;</w:t>
      </w:r>
    </w:p>
    <w:p>
      <w:pPr>
        <w:spacing w:line="480" w:lineRule="exact"/>
        <w:rPr>
          <w:rFonts w:ascii="宋体" w:hAnsi="宋体"/>
          <w:sz w:val="24"/>
        </w:rPr>
      </w:pPr>
      <w:r>
        <w:rPr>
          <w:rFonts w:ascii="宋体" w:hAnsi="宋体"/>
          <w:sz w:val="24"/>
        </w:rPr>
        <w:t xml:space="preserve">    4</w:t>
      </w:r>
      <w:r>
        <w:rPr>
          <w:rFonts w:hint="eastAsia" w:ascii="宋体" w:hAnsi="宋体"/>
          <w:sz w:val="24"/>
        </w:rPr>
        <w:t>． 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w:t>
      </w:r>
      <w:r>
        <w:rPr>
          <w:rFonts w:hint="eastAsia" w:ascii="宋体" w:hAnsi="宋体"/>
          <w:sz w:val="24"/>
          <w:lang w:eastAsia="zh-CN"/>
        </w:rPr>
        <w:t>二</w:t>
      </w:r>
      <w:r>
        <w:rPr>
          <w:rFonts w:ascii="宋体" w:hAnsi="宋体"/>
          <w:sz w:val="24"/>
        </w:rPr>
        <w:t>.</w:t>
      </w:r>
      <w:r>
        <w:rPr>
          <w:rFonts w:hint="eastAsia" w:ascii="宋体" w:hAnsi="宋体"/>
          <w:sz w:val="24"/>
        </w:rPr>
        <w:t>评审方法和标准</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．本项目采用最低中标评标法评审。将对资格性审查、符合性审查合格的供应商按评标价由低到高的顺序（评标价相同的按技术指标优劣顺序排列）</w:t>
      </w:r>
      <w:r>
        <w:rPr>
          <w:rFonts w:hint="eastAsia" w:ascii="宋体" w:hAnsi="宋体"/>
          <w:b w:val="0"/>
          <w:bCs w:val="0"/>
          <w:sz w:val="24"/>
        </w:rPr>
        <w:t>评定</w:t>
      </w:r>
      <w:bookmarkStart w:id="10" w:name="_GoBack"/>
      <w:bookmarkEnd w:id="10"/>
      <w:r>
        <w:rPr>
          <w:rFonts w:hint="eastAsia" w:ascii="宋体" w:hAnsi="宋体"/>
          <w:b w:val="0"/>
          <w:bCs w:val="0"/>
          <w:sz w:val="24"/>
        </w:rPr>
        <w:t>。本项目不接受低于成本的报价，也不接受任何额外捐赠。如果</w:t>
      </w:r>
      <w:r>
        <w:rPr>
          <w:rFonts w:hint="eastAsia" w:ascii="宋体" w:hAnsi="宋体"/>
          <w:sz w:val="24"/>
          <w:lang w:eastAsia="zh-CN"/>
        </w:rPr>
        <w:t>评审</w:t>
      </w:r>
      <w:r>
        <w:rPr>
          <w:rFonts w:hint="eastAsia" w:ascii="宋体" w:hAnsi="宋体"/>
          <w:sz w:val="24"/>
        </w:rPr>
        <w:t>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将取消其被评定为成交商的资格，并按顺序由排在其后的供应商递补，依此类推。</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．在确定成交结果后，采购人将以《供应商确认通知单》通知参与此次采购的供应商。</w:t>
      </w:r>
    </w:p>
    <w:p>
      <w:pPr>
        <w:spacing w:line="480" w:lineRule="exact"/>
        <w:ind w:firstLine="480" w:firstLineChars="200"/>
        <w:rPr>
          <w:rFonts w:ascii="宋体" w:hAnsi="宋体"/>
          <w:sz w:val="24"/>
        </w:rPr>
      </w:pPr>
      <w:r>
        <w:rPr>
          <w:rFonts w:hint="eastAsia" w:ascii="宋体" w:hAnsi="宋体"/>
          <w:sz w:val="24"/>
        </w:rPr>
        <w:t>十</w:t>
      </w:r>
      <w:r>
        <w:rPr>
          <w:rFonts w:hint="eastAsia" w:ascii="宋体" w:hAnsi="宋体"/>
          <w:sz w:val="24"/>
          <w:lang w:eastAsia="zh-CN"/>
        </w:rPr>
        <w:t>三</w:t>
      </w:r>
      <w:r>
        <w:rPr>
          <w:rFonts w:hint="eastAsia" w:ascii="宋体" w:hAnsi="宋体"/>
          <w:sz w:val="24"/>
        </w:rPr>
        <w:t>．签订合同</w:t>
      </w:r>
    </w:p>
    <w:p>
      <w:pPr>
        <w:spacing w:line="540" w:lineRule="exact"/>
        <w:ind w:firstLine="424" w:firstLineChars="177"/>
        <w:rPr>
          <w:rFonts w:ascii="宋体" w:hAnsi="宋体"/>
          <w:sz w:val="24"/>
        </w:rPr>
      </w:pPr>
      <w:r>
        <w:rPr>
          <w:rFonts w:ascii="宋体" w:hAnsi="宋体"/>
          <w:sz w:val="24"/>
        </w:rPr>
        <w:t>1.供应商须在接到</w:t>
      </w:r>
      <w:r>
        <w:rPr>
          <w:rFonts w:hint="eastAsia" w:ascii="宋体" w:hAnsi="宋体"/>
          <w:sz w:val="24"/>
        </w:rPr>
        <w:t>（</w:t>
      </w:r>
      <w:r>
        <w:rPr>
          <w:rFonts w:ascii="宋体" w:hAnsi="宋体"/>
          <w:sz w:val="24"/>
        </w:rPr>
        <w:t>或应当接到</w:t>
      </w:r>
      <w:r>
        <w:rPr>
          <w:rFonts w:hint="eastAsia" w:ascii="宋体" w:hAnsi="宋体"/>
          <w:sz w:val="24"/>
        </w:rPr>
        <w:t>）采购人所发出的《供应商确认通知单》10个工作日内与采购人签订正式采购合同；</w:t>
      </w:r>
    </w:p>
    <w:p>
      <w:pPr>
        <w:spacing w:line="540" w:lineRule="exact"/>
        <w:ind w:firstLine="424" w:firstLineChars="177"/>
        <w:rPr>
          <w:rFonts w:ascii="宋体" w:hAnsi="宋体"/>
          <w:sz w:val="24"/>
        </w:rPr>
      </w:pPr>
      <w:r>
        <w:rPr>
          <w:rFonts w:hint="eastAsia" w:ascii="宋体" w:hAnsi="宋体"/>
          <w:sz w:val="24"/>
        </w:rPr>
        <w:t>2.《供应商确认通知单》对采购人和供应商均具有法律约束力；</w:t>
      </w:r>
    </w:p>
    <w:p>
      <w:pPr>
        <w:spacing w:line="540" w:lineRule="exact"/>
        <w:ind w:firstLine="424" w:firstLineChars="177"/>
        <w:rPr>
          <w:rFonts w:ascii="宋体" w:hAnsi="宋体"/>
          <w:sz w:val="24"/>
        </w:rPr>
      </w:pPr>
      <w:r>
        <w:rPr>
          <w:rFonts w:hint="eastAsia" w:ascii="宋体" w:hAnsi="宋体"/>
          <w:sz w:val="24"/>
        </w:rPr>
        <w:t>3.《供应商确认通知单》发出后，采购人改变成交结果的，或者供应商放弃成交项目的，应当依法承担法律责任。</w:t>
      </w:r>
    </w:p>
    <w:p>
      <w:pPr>
        <w:jc w:val="center"/>
        <w:rPr>
          <w:rFonts w:hint="eastAsia" w:ascii="黑体" w:eastAsia="黑体"/>
          <w:b/>
          <w:sz w:val="44"/>
          <w:szCs w:val="44"/>
        </w:rPr>
      </w:pPr>
      <w:r>
        <w:rPr>
          <w:rFonts w:hint="eastAsia" w:ascii="宋体" w:hAnsi="宋体"/>
          <w:b/>
          <w:color w:val="000000"/>
          <w:szCs w:val="21"/>
          <w:lang w:val="en-US" w:eastAsia="zh-CN"/>
        </w:rPr>
        <w:t xml:space="preserve">    </w:t>
      </w:r>
      <w:r>
        <w:rPr>
          <w:rFonts w:hint="eastAsia" w:ascii="宋体" w:hAnsi="宋体"/>
          <w:sz w:val="32"/>
        </w:rPr>
        <w:t>第三部分</w:t>
      </w:r>
      <w:r>
        <w:rPr>
          <w:rFonts w:ascii="宋体" w:hAnsi="宋体"/>
          <w:sz w:val="32"/>
        </w:rPr>
        <w:t xml:space="preserve">  </w:t>
      </w:r>
      <w:r>
        <w:rPr>
          <w:rFonts w:hint="eastAsia" w:ascii="黑体" w:eastAsia="黑体"/>
          <w:b/>
          <w:sz w:val="44"/>
          <w:szCs w:val="44"/>
        </w:rPr>
        <w:t>工业危废处置合同</w:t>
      </w:r>
    </w:p>
    <w:p>
      <w:pPr>
        <w:spacing w:line="380" w:lineRule="exact"/>
        <w:rPr>
          <w:rFonts w:hint="eastAsia" w:ascii="Arial" w:hAnsi="Arial" w:cs="Arial"/>
          <w:szCs w:val="21"/>
        </w:rPr>
      </w:pPr>
      <w:r>
        <w:rPr>
          <w:rFonts w:hint="eastAsia" w:ascii="Arial" w:hAnsi="宋体" w:cs="Arial"/>
          <w:szCs w:val="21"/>
        </w:rPr>
        <w:t xml:space="preserve">      </w:t>
      </w:r>
      <w:r>
        <w:rPr>
          <w:rFonts w:ascii="Arial" w:hAnsi="宋体" w:cs="Arial"/>
          <w:szCs w:val="21"/>
        </w:rPr>
        <w:t>甲方（需方）：</w:t>
      </w:r>
      <w:r>
        <w:rPr>
          <w:rFonts w:hint="eastAsia" w:ascii="Arial" w:hAnsi="宋体" w:cs="Arial"/>
          <w:szCs w:val="21"/>
          <w:lang w:eastAsia="zh-CN"/>
        </w:rPr>
        <w:t>都江堰光明光电材料有限责任公司</w:t>
      </w:r>
      <w:r>
        <w:rPr>
          <w:rFonts w:hint="eastAsia" w:ascii="Arial" w:hAnsi="宋体" w:cs="Arial"/>
          <w:szCs w:val="21"/>
        </w:rPr>
        <w:t xml:space="preserve"> </w:t>
      </w:r>
      <w:r>
        <w:rPr>
          <w:rFonts w:ascii="Arial" w:hAnsi="Arial" w:cs="Arial"/>
          <w:szCs w:val="21"/>
        </w:rPr>
        <w:t xml:space="preserve"> </w:t>
      </w:r>
      <w:r>
        <w:rPr>
          <w:rFonts w:hint="eastAsia" w:ascii="Arial" w:hAnsi="Arial" w:cs="Arial"/>
          <w:szCs w:val="21"/>
        </w:rPr>
        <w:t xml:space="preserve">       </w:t>
      </w:r>
    </w:p>
    <w:p>
      <w:pPr>
        <w:spacing w:line="480" w:lineRule="exact"/>
        <w:rPr>
          <w:rFonts w:hint="eastAsia" w:ascii="Arial" w:hAnsi="宋体" w:cs="Arial"/>
          <w:szCs w:val="21"/>
        </w:rPr>
      </w:pPr>
      <w:r>
        <w:rPr>
          <w:rFonts w:ascii="Arial" w:hAnsi="Arial" w:cs="Arial"/>
          <w:szCs w:val="21"/>
        </w:rPr>
        <w:t xml:space="preserve">  </w:t>
      </w:r>
      <w:r>
        <w:rPr>
          <w:rFonts w:hint="eastAsia" w:ascii="Arial" w:hAnsi="Arial" w:cs="Arial"/>
          <w:szCs w:val="21"/>
        </w:rPr>
        <w:t xml:space="preserve">   </w:t>
      </w:r>
      <w:r>
        <w:rPr>
          <w:rFonts w:ascii="Arial" w:hAnsi="宋体" w:cs="Arial"/>
          <w:szCs w:val="21"/>
        </w:rPr>
        <w:t>地点：</w:t>
      </w:r>
      <w:r>
        <w:rPr>
          <w:rFonts w:hint="eastAsia" w:ascii="Arial" w:hAnsi="宋体" w:cs="Arial"/>
          <w:szCs w:val="21"/>
          <w:lang w:eastAsia="zh-CN"/>
        </w:rPr>
        <w:t>都江堰市蒲阳镇光泰路</w:t>
      </w:r>
      <w:r>
        <w:rPr>
          <w:rFonts w:hint="eastAsia" w:ascii="Arial" w:hAnsi="宋体" w:cs="Arial"/>
          <w:szCs w:val="21"/>
          <w:lang w:val="en-US" w:eastAsia="zh-CN"/>
        </w:rPr>
        <w:t>10号</w:t>
      </w:r>
      <w:r>
        <w:rPr>
          <w:rFonts w:hint="eastAsia" w:ascii="Arial" w:hAnsi="宋体" w:cs="Arial"/>
          <w:szCs w:val="21"/>
        </w:rPr>
        <w:t xml:space="preserve">  </w:t>
      </w:r>
    </w:p>
    <w:p>
      <w:pPr>
        <w:spacing w:line="480" w:lineRule="exact"/>
        <w:rPr>
          <w:rFonts w:hint="eastAsia" w:ascii="Arial" w:hAnsi="Arial" w:cs="Arial"/>
          <w:szCs w:val="21"/>
        </w:rPr>
      </w:pPr>
      <w:r>
        <w:rPr>
          <w:rFonts w:hint="eastAsia" w:ascii="Arial" w:hAnsi="Arial" w:cs="Arial"/>
          <w:szCs w:val="21"/>
        </w:rPr>
        <w:t xml:space="preserve">     </w:t>
      </w:r>
      <w:r>
        <w:rPr>
          <w:rFonts w:ascii="Arial" w:hAnsi="宋体" w:cs="Arial"/>
          <w:szCs w:val="21"/>
        </w:rPr>
        <w:t>乙方（供方）：</w:t>
      </w:r>
      <w:r>
        <w:rPr>
          <w:rFonts w:hint="eastAsia" w:ascii="Arial" w:hAnsi="Arial" w:cs="Arial"/>
          <w:szCs w:val="21"/>
        </w:rPr>
        <w:t xml:space="preserve">                                   </w:t>
      </w:r>
    </w:p>
    <w:p>
      <w:pPr>
        <w:spacing w:line="480" w:lineRule="exact"/>
        <w:ind w:firstLine="630" w:firstLineChars="300"/>
        <w:rPr>
          <w:rFonts w:hint="eastAsia" w:ascii="Arial" w:hAnsi="Arial" w:cs="Arial"/>
          <w:szCs w:val="21"/>
        </w:rPr>
      </w:pPr>
      <w:r>
        <w:rPr>
          <w:rFonts w:hint="eastAsia" w:ascii="Arial" w:hAnsi="Arial" w:cs="Arial"/>
          <w:szCs w:val="21"/>
        </w:rPr>
        <w:t xml:space="preserve">地点： </w:t>
      </w:r>
    </w:p>
    <w:p>
      <w:pPr>
        <w:spacing w:line="380" w:lineRule="exact"/>
        <w:ind w:firstLine="630" w:firstLineChars="300"/>
        <w:rPr>
          <w:rFonts w:ascii="Arial" w:hAnsi="宋体" w:cs="Arial"/>
          <w:szCs w:val="21"/>
        </w:rPr>
      </w:pPr>
      <w:r>
        <w:rPr>
          <w:rFonts w:hint="eastAsia" w:ascii="Arial" w:hAnsi="宋体" w:cs="Arial"/>
          <w:szCs w:val="21"/>
        </w:rPr>
        <w:t>甲方生产过程中产生的废弃物经国家危险废物鉴别标准判定为危险废弃物，根据《中华人民共和国固体废物污染环境防治法》规定，该废弃物不得污染环境，应进行无害化处理。现由甲方委托乙方作为处理危险废物的专业单位，双方依据《中华人民共和国民法典》，协商一致，签署合同如下：</w:t>
      </w:r>
    </w:p>
    <w:p>
      <w:pPr>
        <w:spacing w:line="380" w:lineRule="exact"/>
        <w:ind w:firstLine="630" w:firstLineChars="300"/>
        <w:rPr>
          <w:rFonts w:hint="eastAsia" w:ascii="Arial" w:hAnsi="宋体" w:cs="Arial"/>
          <w:szCs w:val="21"/>
        </w:rPr>
      </w:pPr>
      <w:r>
        <w:rPr>
          <w:rFonts w:hint="eastAsia" w:ascii="Arial" w:hAnsi="宋体" w:cs="Arial"/>
          <w:szCs w:val="21"/>
        </w:rPr>
        <w:t>甲方委托乙方处置的危废情况如下：（含      %税率）</w:t>
      </w:r>
    </w:p>
    <w:tbl>
      <w:tblPr>
        <w:tblStyle w:val="19"/>
        <w:tblW w:w="10176" w:type="dxa"/>
        <w:tblInd w:w="-62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08"/>
        <w:gridCol w:w="1320"/>
        <w:gridCol w:w="1188"/>
        <w:gridCol w:w="1452"/>
        <w:gridCol w:w="1188"/>
        <w:gridCol w:w="1212"/>
        <w:gridCol w:w="1308"/>
        <w:gridCol w:w="180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40" w:hRule="atLeast"/>
        </w:trPr>
        <w:tc>
          <w:tcPr>
            <w:tcW w:w="708" w:type="dxa"/>
            <w:shd w:val="clear" w:color="auto" w:fill="D9D9D9"/>
            <w:noWrap/>
            <w:vAlign w:val="center"/>
          </w:tcPr>
          <w:p>
            <w:pPr>
              <w:jc w:val="center"/>
              <w:rPr>
                <w:rFonts w:hint="eastAsia" w:ascii="Calibri" w:hAnsi="Calibri"/>
              </w:rPr>
            </w:pPr>
            <w:r>
              <w:rPr>
                <w:rFonts w:hint="eastAsia" w:ascii="Calibri" w:hAnsi="Calibri"/>
              </w:rPr>
              <w:t>序号</w:t>
            </w:r>
          </w:p>
        </w:tc>
        <w:tc>
          <w:tcPr>
            <w:tcW w:w="1320" w:type="dxa"/>
            <w:shd w:val="clear" w:color="auto" w:fill="D9D9D9"/>
            <w:noWrap w:val="0"/>
            <w:vAlign w:val="center"/>
          </w:tcPr>
          <w:p>
            <w:pPr>
              <w:jc w:val="center"/>
              <w:rPr>
                <w:rFonts w:hint="eastAsia" w:ascii="Calibri" w:hAnsi="Calibri"/>
              </w:rPr>
            </w:pPr>
            <w:r>
              <w:rPr>
                <w:rFonts w:hint="eastAsia" w:ascii="Calibri" w:hAnsi="Calibri"/>
              </w:rPr>
              <w:t>废物名称</w:t>
            </w:r>
          </w:p>
        </w:tc>
        <w:tc>
          <w:tcPr>
            <w:tcW w:w="1188" w:type="dxa"/>
            <w:shd w:val="clear" w:color="auto" w:fill="D9D9D9"/>
            <w:noWrap/>
            <w:vAlign w:val="center"/>
          </w:tcPr>
          <w:p>
            <w:pPr>
              <w:jc w:val="center"/>
              <w:rPr>
                <w:rFonts w:hint="eastAsia" w:ascii="Calibri" w:hAnsi="Calibri"/>
              </w:rPr>
            </w:pPr>
            <w:r>
              <w:rPr>
                <w:rFonts w:hint="eastAsia" w:ascii="Calibri" w:hAnsi="Calibri"/>
              </w:rPr>
              <w:t>废物类别</w:t>
            </w:r>
          </w:p>
        </w:tc>
        <w:tc>
          <w:tcPr>
            <w:tcW w:w="1452" w:type="dxa"/>
            <w:shd w:val="clear" w:color="auto" w:fill="D9D9D9"/>
            <w:noWrap w:val="0"/>
            <w:vAlign w:val="center"/>
          </w:tcPr>
          <w:p>
            <w:pPr>
              <w:jc w:val="center"/>
              <w:rPr>
                <w:rFonts w:hint="eastAsia" w:ascii="Calibri" w:hAnsi="Calibri"/>
              </w:rPr>
            </w:pPr>
            <w:r>
              <w:rPr>
                <w:rFonts w:hint="eastAsia" w:ascii="Calibri" w:hAnsi="Calibri"/>
              </w:rPr>
              <w:t>数  量</w:t>
            </w:r>
          </w:p>
          <w:p>
            <w:pPr>
              <w:jc w:val="center"/>
              <w:rPr>
                <w:rFonts w:hint="eastAsia" w:ascii="Calibri" w:hAnsi="Calibri"/>
              </w:rPr>
            </w:pPr>
            <w:r>
              <w:rPr>
                <w:rFonts w:hint="eastAsia" w:ascii="Calibri" w:hAnsi="Calibri"/>
              </w:rPr>
              <w:t>（吨 / 年）</w:t>
            </w:r>
          </w:p>
        </w:tc>
        <w:tc>
          <w:tcPr>
            <w:tcW w:w="1188" w:type="dxa"/>
            <w:shd w:val="clear" w:color="auto" w:fill="D9D9D9"/>
            <w:noWrap/>
            <w:vAlign w:val="center"/>
          </w:tcPr>
          <w:p>
            <w:pPr>
              <w:jc w:val="center"/>
              <w:rPr>
                <w:rFonts w:hint="eastAsia" w:ascii="Calibri" w:hAnsi="Calibri"/>
              </w:rPr>
            </w:pPr>
            <w:r>
              <w:rPr>
                <w:rFonts w:hint="eastAsia" w:ascii="Calibri" w:hAnsi="Calibri"/>
              </w:rPr>
              <w:t>形 态</w:t>
            </w:r>
          </w:p>
        </w:tc>
        <w:tc>
          <w:tcPr>
            <w:tcW w:w="1212" w:type="dxa"/>
            <w:shd w:val="clear" w:color="auto" w:fill="D9D9D9"/>
            <w:noWrap/>
            <w:vAlign w:val="center"/>
          </w:tcPr>
          <w:p>
            <w:pPr>
              <w:jc w:val="center"/>
              <w:rPr>
                <w:rFonts w:hint="eastAsia" w:ascii="Calibri" w:hAnsi="Calibri"/>
              </w:rPr>
            </w:pPr>
            <w:r>
              <w:rPr>
                <w:rFonts w:hint="eastAsia" w:ascii="Calibri" w:hAnsi="Calibri"/>
              </w:rPr>
              <w:t>包装方式</w:t>
            </w:r>
          </w:p>
        </w:tc>
        <w:tc>
          <w:tcPr>
            <w:tcW w:w="1308" w:type="dxa"/>
            <w:shd w:val="clear" w:color="auto" w:fill="D9D9D9"/>
            <w:noWrap w:val="0"/>
            <w:vAlign w:val="top"/>
          </w:tcPr>
          <w:p>
            <w:pPr>
              <w:jc w:val="center"/>
              <w:rPr>
                <w:rFonts w:hint="eastAsia" w:ascii="Calibri" w:hAnsi="Calibri"/>
              </w:rPr>
            </w:pPr>
          </w:p>
          <w:p>
            <w:pPr>
              <w:jc w:val="center"/>
              <w:rPr>
                <w:rFonts w:hint="eastAsia" w:ascii="Calibri" w:hAnsi="Calibri"/>
              </w:rPr>
            </w:pPr>
            <w:r>
              <w:rPr>
                <w:rFonts w:hint="eastAsia" w:ascii="Calibri" w:hAnsi="Calibri"/>
              </w:rPr>
              <w:t>处置费用（元/吨）</w:t>
            </w:r>
          </w:p>
        </w:tc>
        <w:tc>
          <w:tcPr>
            <w:tcW w:w="1800" w:type="dxa"/>
            <w:shd w:val="clear" w:color="auto" w:fill="D9D9D9"/>
            <w:noWrap/>
            <w:vAlign w:val="center"/>
          </w:tcPr>
          <w:p>
            <w:pPr>
              <w:jc w:val="center"/>
              <w:rPr>
                <w:rFonts w:hint="eastAsia" w:ascii="Calibri" w:hAnsi="Calibri"/>
              </w:rPr>
            </w:pPr>
            <w:r>
              <w:rPr>
                <w:rFonts w:hint="eastAsia" w:ascii="Calibri" w:hAnsi="Calibri"/>
              </w:rPr>
              <w:t>备  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4" w:hRule="atLeast"/>
        </w:trPr>
        <w:tc>
          <w:tcPr>
            <w:tcW w:w="708" w:type="dxa"/>
            <w:noWrap/>
            <w:vAlign w:val="center"/>
          </w:tcPr>
          <w:p>
            <w:pPr>
              <w:jc w:val="center"/>
              <w:rPr>
                <w:rFonts w:hint="eastAsia" w:ascii="宋体" w:hAnsi="宋体" w:cs="Arial"/>
                <w:b/>
                <w:kern w:val="0"/>
                <w:szCs w:val="21"/>
              </w:rPr>
            </w:pPr>
            <w:r>
              <w:rPr>
                <w:rFonts w:hint="eastAsia" w:ascii="宋体" w:hAnsi="宋体" w:cs="Arial"/>
                <w:b/>
                <w:kern w:val="0"/>
                <w:szCs w:val="21"/>
              </w:rPr>
              <w:t>01</w:t>
            </w:r>
          </w:p>
        </w:tc>
        <w:tc>
          <w:tcPr>
            <w:tcW w:w="1320" w:type="dxa"/>
            <w:noWrap w:val="0"/>
            <w:vAlign w:val="center"/>
          </w:tcPr>
          <w:p>
            <w:pPr>
              <w:jc w:val="center"/>
              <w:rPr>
                <w:rFonts w:ascii="Calibri" w:hAnsi="Calibri"/>
              </w:rPr>
            </w:pPr>
            <w:r>
              <w:rPr>
                <w:rFonts w:hint="eastAsia" w:ascii="FangSong_GB2312" w:hAnsi="Times New Roman" w:eastAsia="FangSong_GB2312" w:cs="Times New Roman"/>
                <w:kern w:val="2"/>
                <w:sz w:val="24"/>
                <w:szCs w:val="20"/>
                <w:lang w:val="en-US" w:eastAsia="zh-CN" w:bidi="ar-SA"/>
              </w:rPr>
              <w:t>废矿物油</w:t>
            </w:r>
          </w:p>
        </w:tc>
        <w:tc>
          <w:tcPr>
            <w:tcW w:w="1188" w:type="dxa"/>
            <w:noWrap w:val="0"/>
            <w:vAlign w:val="center"/>
          </w:tcPr>
          <w:p>
            <w:pPr>
              <w:widowControl/>
              <w:jc w:val="center"/>
              <w:textAlignment w:val="center"/>
              <w:rPr>
                <w:rFonts w:ascii="Calibri" w:hAnsi="Calibri"/>
                <w:color w:val="000000"/>
                <w:szCs w:val="21"/>
              </w:rPr>
            </w:pPr>
            <w:r>
              <w:rPr>
                <w:rFonts w:hint="eastAsia"/>
                <w:color w:val="000000"/>
                <w:szCs w:val="21"/>
              </w:rPr>
              <w:t>HW08</w:t>
            </w:r>
          </w:p>
        </w:tc>
        <w:tc>
          <w:tcPr>
            <w:tcW w:w="1452" w:type="dxa"/>
            <w:noWrap w:val="0"/>
            <w:vAlign w:val="center"/>
          </w:tcPr>
          <w:p>
            <w:pPr>
              <w:jc w:val="center"/>
              <w:rPr>
                <w:rFonts w:hint="eastAsia" w:eastAsia="宋体"/>
                <w:lang w:val="en-US" w:eastAsia="zh-CN"/>
              </w:rPr>
            </w:pPr>
            <w:r>
              <w:rPr>
                <w:rFonts w:hint="eastAsia"/>
                <w:lang w:val="en-US" w:eastAsia="zh-CN"/>
              </w:rPr>
              <w:t>2</w:t>
            </w:r>
          </w:p>
        </w:tc>
        <w:tc>
          <w:tcPr>
            <w:tcW w:w="1188" w:type="dxa"/>
            <w:noWrap w:val="0"/>
            <w:vAlign w:val="center"/>
          </w:tcPr>
          <w:p>
            <w:pPr>
              <w:jc w:val="center"/>
              <w:rPr>
                <w:rFonts w:hint="eastAsia" w:eastAsia="宋体"/>
                <w:lang w:eastAsia="zh-CN"/>
              </w:rPr>
            </w:pPr>
            <w:r>
              <w:rPr>
                <w:rFonts w:hint="eastAsia"/>
                <w:lang w:eastAsia="zh-CN"/>
              </w:rPr>
              <w:t>液态</w:t>
            </w:r>
          </w:p>
        </w:tc>
        <w:tc>
          <w:tcPr>
            <w:tcW w:w="1212" w:type="dxa"/>
            <w:noWrap w:val="0"/>
            <w:vAlign w:val="center"/>
          </w:tcPr>
          <w:p>
            <w:pPr>
              <w:jc w:val="center"/>
            </w:pPr>
            <w:r>
              <w:rPr>
                <w:rFonts w:hint="eastAsia"/>
              </w:rPr>
              <w:t>桶装</w:t>
            </w:r>
          </w:p>
        </w:tc>
        <w:tc>
          <w:tcPr>
            <w:tcW w:w="1308" w:type="dxa"/>
            <w:noWrap w:val="0"/>
            <w:vAlign w:val="center"/>
          </w:tcPr>
          <w:p>
            <w:pPr>
              <w:jc w:val="center"/>
              <w:rPr>
                <w:rFonts w:ascii="Calibri" w:hAnsi="Calibri"/>
              </w:rPr>
            </w:pPr>
          </w:p>
        </w:tc>
        <w:tc>
          <w:tcPr>
            <w:tcW w:w="1800" w:type="dxa"/>
            <w:noWrap/>
            <w:vAlign w:val="center"/>
          </w:tcPr>
          <w:p>
            <w:pPr>
              <w:widowControl/>
              <w:ind w:right="105"/>
              <w:jc w:val="center"/>
              <w:rPr>
                <w:rFonts w:hint="eastAsia" w:ascii="Arial" w:hAnsi="Arial" w:cs="Arial"/>
                <w:b/>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trPr>
        <w:tc>
          <w:tcPr>
            <w:tcW w:w="708" w:type="dxa"/>
            <w:noWrap/>
            <w:vAlign w:val="center"/>
          </w:tcPr>
          <w:p>
            <w:pPr>
              <w:jc w:val="center"/>
              <w:rPr>
                <w:rFonts w:hint="eastAsia" w:ascii="宋体" w:hAnsi="宋体" w:cs="Arial"/>
                <w:b/>
                <w:kern w:val="0"/>
                <w:szCs w:val="21"/>
              </w:rPr>
            </w:pPr>
            <w:r>
              <w:rPr>
                <w:rFonts w:hint="eastAsia" w:ascii="宋体" w:hAnsi="宋体" w:cs="Arial"/>
                <w:b/>
                <w:kern w:val="0"/>
                <w:szCs w:val="21"/>
              </w:rPr>
              <w:t>02</w:t>
            </w:r>
          </w:p>
        </w:tc>
        <w:tc>
          <w:tcPr>
            <w:tcW w:w="1320" w:type="dxa"/>
            <w:noWrap w:val="0"/>
            <w:vAlign w:val="center"/>
          </w:tcPr>
          <w:p>
            <w:pPr>
              <w:jc w:val="center"/>
              <w:rPr>
                <w:rFonts w:hint="eastAsia" w:ascii="Calibri" w:hAnsi="Calibri"/>
              </w:rPr>
            </w:pPr>
            <w:r>
              <w:rPr>
                <w:rFonts w:hint="eastAsia" w:ascii="FangSong_GB2312" w:hAnsi="Times New Roman" w:eastAsia="FangSong_GB2312" w:cs="Times New Roman"/>
                <w:kern w:val="2"/>
                <w:sz w:val="24"/>
                <w:szCs w:val="20"/>
                <w:lang w:val="en-US" w:eastAsia="zh-CN" w:bidi="ar-SA"/>
              </w:rPr>
              <w:t>废乳化液</w:t>
            </w:r>
          </w:p>
        </w:tc>
        <w:tc>
          <w:tcPr>
            <w:tcW w:w="1188" w:type="dxa"/>
            <w:noWrap w:val="0"/>
            <w:vAlign w:val="center"/>
          </w:tcPr>
          <w:p>
            <w:pPr>
              <w:widowControl/>
              <w:jc w:val="center"/>
              <w:textAlignment w:val="center"/>
              <w:rPr>
                <w:rFonts w:hint="eastAsia" w:ascii="Calibri" w:hAnsi="Calibri" w:eastAsia="宋体"/>
                <w:color w:val="000000"/>
                <w:szCs w:val="21"/>
                <w:lang w:eastAsia="zh-CN"/>
              </w:rPr>
            </w:pPr>
            <w:r>
              <w:rPr>
                <w:rFonts w:hint="eastAsia"/>
                <w:color w:val="000000"/>
                <w:szCs w:val="21"/>
              </w:rPr>
              <w:t>HW0</w:t>
            </w:r>
            <w:r>
              <w:rPr>
                <w:rFonts w:hint="eastAsia"/>
                <w:color w:val="000000"/>
                <w:szCs w:val="21"/>
                <w:lang w:val="en-US" w:eastAsia="zh-CN"/>
              </w:rPr>
              <w:t>9</w:t>
            </w:r>
          </w:p>
        </w:tc>
        <w:tc>
          <w:tcPr>
            <w:tcW w:w="1452" w:type="dxa"/>
            <w:noWrap w:val="0"/>
            <w:vAlign w:val="center"/>
          </w:tcPr>
          <w:p>
            <w:pPr>
              <w:jc w:val="center"/>
              <w:rPr>
                <w:rFonts w:hint="eastAsia" w:eastAsia="宋体"/>
                <w:lang w:val="en-US" w:eastAsia="zh-CN"/>
              </w:rPr>
            </w:pPr>
            <w:r>
              <w:rPr>
                <w:rFonts w:hint="eastAsia"/>
                <w:lang w:val="en-US" w:eastAsia="zh-CN"/>
              </w:rPr>
              <w:t>2</w:t>
            </w:r>
          </w:p>
        </w:tc>
        <w:tc>
          <w:tcPr>
            <w:tcW w:w="1188" w:type="dxa"/>
            <w:noWrap w:val="0"/>
            <w:vAlign w:val="center"/>
          </w:tcPr>
          <w:p>
            <w:pPr>
              <w:jc w:val="center"/>
              <w:rPr>
                <w:rFonts w:hint="eastAsia" w:eastAsia="宋体"/>
                <w:lang w:eastAsia="zh-CN"/>
              </w:rPr>
            </w:pPr>
            <w:r>
              <w:rPr>
                <w:rFonts w:hint="eastAsia"/>
                <w:lang w:eastAsia="zh-CN"/>
              </w:rPr>
              <w:t>液态</w:t>
            </w:r>
          </w:p>
        </w:tc>
        <w:tc>
          <w:tcPr>
            <w:tcW w:w="1212" w:type="dxa"/>
            <w:noWrap w:val="0"/>
            <w:vAlign w:val="center"/>
          </w:tcPr>
          <w:p>
            <w:pPr>
              <w:jc w:val="center"/>
              <w:rPr>
                <w:rFonts w:hint="eastAsia"/>
              </w:rPr>
            </w:pPr>
            <w:r>
              <w:rPr>
                <w:rFonts w:hint="eastAsia"/>
              </w:rPr>
              <w:t>桶装</w:t>
            </w:r>
          </w:p>
        </w:tc>
        <w:tc>
          <w:tcPr>
            <w:tcW w:w="1308" w:type="dxa"/>
            <w:noWrap w:val="0"/>
            <w:vAlign w:val="center"/>
          </w:tcPr>
          <w:p>
            <w:pPr>
              <w:jc w:val="center"/>
              <w:rPr>
                <w:rFonts w:hint="eastAsia" w:ascii="Calibri" w:hAnsi="Calibri"/>
              </w:rPr>
            </w:pPr>
          </w:p>
        </w:tc>
        <w:tc>
          <w:tcPr>
            <w:tcW w:w="1800" w:type="dxa"/>
            <w:noWrap/>
            <w:vAlign w:val="center"/>
          </w:tcPr>
          <w:p>
            <w:pPr>
              <w:jc w:val="center"/>
              <w:rPr>
                <w:rFonts w:hint="eastAsia" w:ascii="Calibri" w:hAnsi="Calibri"/>
              </w:rPr>
            </w:pPr>
          </w:p>
        </w:tc>
      </w:tr>
    </w:tbl>
    <w:p>
      <w:pPr>
        <w:spacing w:line="240" w:lineRule="exact"/>
        <w:rPr>
          <w:rFonts w:hint="eastAsia" w:ascii="Arial" w:hAnsi="宋体" w:cs="Arial"/>
          <w:b/>
          <w:szCs w:val="21"/>
        </w:rPr>
      </w:pPr>
      <w:r>
        <w:rPr>
          <w:rFonts w:hint="eastAsia" w:ascii="Arial" w:hAnsi="宋体" w:cs="Arial"/>
          <w:b/>
          <w:szCs w:val="21"/>
        </w:rPr>
        <w:t>注：年度处置数量为预估数，实际处置数量以</w:t>
      </w:r>
      <w:r>
        <w:rPr>
          <w:rFonts w:hint="eastAsia" w:ascii="Arial" w:hAnsi="宋体" w:cs="Arial"/>
          <w:b/>
          <w:szCs w:val="21"/>
          <w:lang w:eastAsia="zh-CN"/>
        </w:rPr>
        <w:t>称重数量</w:t>
      </w:r>
      <w:r>
        <w:rPr>
          <w:rFonts w:hint="eastAsia" w:ascii="Arial" w:hAnsi="宋体" w:cs="Arial"/>
          <w:b/>
          <w:szCs w:val="21"/>
        </w:rPr>
        <w:t>为准</w:t>
      </w:r>
    </w:p>
    <w:p>
      <w:pPr>
        <w:numPr>
          <w:ilvl w:val="0"/>
          <w:numId w:val="0"/>
        </w:numPr>
        <w:spacing w:line="520" w:lineRule="exact"/>
        <w:rPr>
          <w:rFonts w:hint="eastAsia" w:ascii="宋体" w:hAnsi="宋体"/>
          <w:sz w:val="24"/>
          <w:szCs w:val="24"/>
        </w:rPr>
      </w:pPr>
      <w:r>
        <w:rPr>
          <w:rFonts w:hint="eastAsia" w:ascii="宋体" w:hAnsi="宋体"/>
          <w:sz w:val="24"/>
          <w:szCs w:val="24"/>
          <w:lang w:eastAsia="zh-CN"/>
        </w:rPr>
        <w:t>第一条：</w:t>
      </w:r>
      <w:r>
        <w:rPr>
          <w:rFonts w:hint="eastAsia" w:ascii="宋体" w:hAnsi="宋体"/>
          <w:sz w:val="24"/>
          <w:szCs w:val="24"/>
        </w:rPr>
        <w:t>废弃物的种类、重量：</w:t>
      </w:r>
    </w:p>
    <w:p>
      <w:pPr>
        <w:numPr>
          <w:ilvl w:val="0"/>
          <w:numId w:val="1"/>
        </w:numPr>
        <w:spacing w:line="520" w:lineRule="exact"/>
        <w:ind w:left="570" w:leftChars="0" w:firstLineChars="0"/>
        <w:rPr>
          <w:rFonts w:hint="eastAsia" w:asciiTheme="majorEastAsia" w:hAnsiTheme="majorEastAsia" w:eastAsiaTheme="majorEastAsia" w:cstheme="majorEastAsia"/>
          <w:sz w:val="24"/>
          <w:szCs w:val="24"/>
        </w:rPr>
      </w:pPr>
      <w:r>
        <w:rPr>
          <w:rFonts w:hint="eastAsia" w:ascii="宋体" w:hAnsi="宋体"/>
          <w:sz w:val="24"/>
          <w:szCs w:val="24"/>
        </w:rPr>
        <w:t xml:space="preserve">甲方委托乙方处理废弃物的种类以报价单为准，未在报价单上的废弃物名称不属于本合同范畴： </w:t>
      </w:r>
    </w:p>
    <w:p>
      <w:pPr>
        <w:numPr>
          <w:ilvl w:val="0"/>
          <w:numId w:val="1"/>
        </w:numPr>
        <w:spacing w:line="520" w:lineRule="exact"/>
        <w:ind w:left="570" w:leftChars="0" w:firstLineChars="0"/>
        <w:rPr>
          <w:rFonts w:ascii="宋体" w:hAnsi="宋体"/>
          <w:sz w:val="24"/>
          <w:highlight w:val="none"/>
        </w:rPr>
      </w:pPr>
      <w:r>
        <w:rPr>
          <w:rFonts w:hint="eastAsia" w:asciiTheme="majorEastAsia" w:hAnsiTheme="majorEastAsia" w:eastAsiaTheme="majorEastAsia" w:cstheme="majorEastAsia"/>
          <w:sz w:val="24"/>
          <w:szCs w:val="24"/>
          <w:highlight w:val="none"/>
        </w:rPr>
        <w:t>甲方需要转移危险废物时，应当提前告知乙方有待处理的危险废物的清单（包括各类危险废物名称、数量、包装等相关资料）及物料的安全处置相关资料，并保证实际到场废物与内容及本协</w:t>
      </w:r>
      <w:r>
        <w:rPr>
          <w:rFonts w:hint="eastAsia" w:ascii="宋体" w:hAnsi="宋体"/>
          <w:sz w:val="24"/>
          <w:szCs w:val="24"/>
          <w:highlight w:val="none"/>
        </w:rPr>
        <w:t>议约定相符。否则，对于因废物所含危险物质超出乙方处置范围引起的后果，由甲</w:t>
      </w:r>
      <w:r>
        <w:rPr>
          <w:rFonts w:hint="eastAsia" w:ascii="宋体" w:hAnsi="宋体"/>
          <w:sz w:val="24"/>
          <w:highlight w:val="none"/>
        </w:rPr>
        <w:t>方承担全部责任，甲方还需赔偿乙方因此所遭受的所有损失。</w:t>
      </w:r>
    </w:p>
    <w:p>
      <w:pPr>
        <w:numPr>
          <w:ilvl w:val="0"/>
          <w:numId w:val="1"/>
        </w:numPr>
        <w:spacing w:line="520" w:lineRule="exact"/>
        <w:ind w:left="570" w:leftChars="0" w:firstLineChars="0"/>
        <w:rPr>
          <w:rFonts w:hint="eastAsia" w:ascii="宋体" w:hAnsi="宋体"/>
          <w:sz w:val="24"/>
        </w:rPr>
      </w:pPr>
      <w:r>
        <w:rPr>
          <w:rFonts w:hint="eastAsia" w:ascii="宋体" w:hAnsi="宋体"/>
          <w:sz w:val="24"/>
        </w:rPr>
        <w:t>重量确认：本合同项下的废弃物重量以乙方实际过磅之重量为准；若甲方对乙方过磅重量存有疑义，应当出具相关证据，双方协商解决。</w:t>
      </w:r>
    </w:p>
    <w:p>
      <w:pPr>
        <w:numPr>
          <w:ilvl w:val="0"/>
          <w:numId w:val="0"/>
        </w:numPr>
        <w:spacing w:line="520" w:lineRule="exact"/>
        <w:rPr>
          <w:rFonts w:hint="eastAsia" w:ascii="宋体" w:hAnsi="宋体"/>
          <w:sz w:val="24"/>
        </w:rPr>
      </w:pPr>
      <w:r>
        <w:rPr>
          <w:rFonts w:hint="eastAsia" w:ascii="宋体" w:hAnsi="宋体"/>
          <w:sz w:val="24"/>
          <w:lang w:eastAsia="zh-CN"/>
        </w:rPr>
        <w:t>第二条：</w:t>
      </w:r>
      <w:r>
        <w:rPr>
          <w:rFonts w:hint="eastAsia" w:ascii="宋体" w:hAnsi="宋体"/>
          <w:sz w:val="24"/>
        </w:rPr>
        <w:t>废弃物的包装</w:t>
      </w:r>
    </w:p>
    <w:p>
      <w:pPr>
        <w:numPr>
          <w:ilvl w:val="0"/>
          <w:numId w:val="2"/>
        </w:numPr>
        <w:spacing w:line="520" w:lineRule="exact"/>
        <w:rPr>
          <w:rFonts w:hint="eastAsia" w:ascii="宋体" w:hAnsi="宋体"/>
          <w:sz w:val="24"/>
        </w:rPr>
      </w:pPr>
      <w:r>
        <w:rPr>
          <w:rFonts w:hint="eastAsia" w:ascii="宋体" w:hAnsi="宋体"/>
          <w:sz w:val="24"/>
        </w:rPr>
        <w:t>甲方应按照环保法律法规要求对危险废物进行包装，保证包装容器密封、无破损、确保运输贮存过程中不发生抛洒泄漏，否则承担全部责任。</w:t>
      </w:r>
    </w:p>
    <w:p>
      <w:pPr>
        <w:numPr>
          <w:ilvl w:val="0"/>
          <w:numId w:val="2"/>
        </w:numPr>
        <w:spacing w:line="520" w:lineRule="exact"/>
        <w:rPr>
          <w:rFonts w:hint="eastAsia" w:ascii="宋体" w:hAnsi="宋体"/>
          <w:sz w:val="24"/>
        </w:rPr>
      </w:pPr>
      <w:r>
        <w:rPr>
          <w:rFonts w:hint="eastAsia" w:ascii="宋体" w:hAnsi="宋体"/>
          <w:sz w:val="24"/>
        </w:rPr>
        <w:t>甲方应对每个独立包装（吨袋、桶或托盘）按照规范粘贴危险废物标签并按规范写全 标签内容，分类储存及包装，不得混装，如甲方未按规定粘贴合规的危险废物标签，乙方有权拒绝接收该废弃物，由此产生的运输等费用全部由甲方承担。</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第三条：</w:t>
      </w:r>
      <w:r>
        <w:rPr>
          <w:rFonts w:hint="eastAsia" w:ascii="宋体" w:hAnsi="宋体"/>
          <w:sz w:val="24"/>
        </w:rPr>
        <w:t>废弃物的运输：</w:t>
      </w:r>
    </w:p>
    <w:p>
      <w:pPr>
        <w:numPr>
          <w:ilvl w:val="0"/>
          <w:numId w:val="3"/>
        </w:numPr>
        <w:spacing w:line="520" w:lineRule="exact"/>
        <w:rPr>
          <w:rFonts w:hint="eastAsia" w:ascii="宋体" w:hAnsi="宋体"/>
          <w:sz w:val="24"/>
        </w:rPr>
      </w:pPr>
      <w:r>
        <w:rPr>
          <w:rFonts w:hint="eastAsia" w:ascii="宋体" w:hAnsi="宋体"/>
          <w:sz w:val="24"/>
        </w:rPr>
        <w:t>甲方有向乙方提供危险废物具体明细、种类、主要成份组成、以及乙方在储运、处置等环节中注意的安全技术要点等资料及操作防护要求和措施的义务，乙方在此基础上与甲方共同协作，做好甲方的危险废物的安全有效处置。</w:t>
      </w:r>
    </w:p>
    <w:p>
      <w:pPr>
        <w:numPr>
          <w:ilvl w:val="0"/>
          <w:numId w:val="3"/>
        </w:numPr>
        <w:spacing w:line="520" w:lineRule="exact"/>
        <w:rPr>
          <w:rFonts w:hint="eastAsia" w:ascii="宋体" w:hAnsi="宋体"/>
          <w:sz w:val="24"/>
        </w:rPr>
      </w:pPr>
      <w:r>
        <w:rPr>
          <w:rFonts w:hint="eastAsia" w:ascii="宋体" w:hAnsi="宋体"/>
          <w:sz w:val="24"/>
        </w:rPr>
        <w:t>甲方负责废弃物的分类、收集、包装、贮存，</w:t>
      </w:r>
      <w:r>
        <w:rPr>
          <w:rFonts w:hint="eastAsia" w:ascii="宋体" w:hAnsi="宋体"/>
          <w:sz w:val="24"/>
          <w:lang w:eastAsia="zh-CN"/>
        </w:rPr>
        <w:t>乙方负责</w:t>
      </w:r>
      <w:r>
        <w:rPr>
          <w:rFonts w:hint="eastAsia" w:ascii="宋体" w:hAnsi="宋体"/>
          <w:sz w:val="24"/>
        </w:rPr>
        <w:t>将</w:t>
      </w:r>
      <w:r>
        <w:rPr>
          <w:rFonts w:hint="eastAsia" w:ascii="宋体" w:hAnsi="宋体"/>
          <w:sz w:val="24"/>
          <w:lang w:eastAsia="zh-CN"/>
        </w:rPr>
        <w:t>甲方</w:t>
      </w:r>
      <w:r>
        <w:rPr>
          <w:rFonts w:hint="eastAsia" w:ascii="宋体" w:hAnsi="宋体"/>
          <w:sz w:val="24"/>
        </w:rPr>
        <w:t>所产生的危险废物安全、顺利地装运到乙方的运输车辆上，确保在包装、装运、运输过程中不产生洒落、泄漏等环境安全等方面意外的情况。</w:t>
      </w:r>
    </w:p>
    <w:p>
      <w:pPr>
        <w:numPr>
          <w:ilvl w:val="0"/>
          <w:numId w:val="3"/>
        </w:numPr>
        <w:spacing w:line="520" w:lineRule="exact"/>
        <w:rPr>
          <w:rFonts w:hint="eastAsia" w:ascii="宋体" w:hAnsi="宋体"/>
          <w:sz w:val="24"/>
        </w:rPr>
      </w:pPr>
      <w:r>
        <w:rPr>
          <w:rFonts w:hint="eastAsia" w:ascii="宋体" w:hAnsi="宋体"/>
          <w:sz w:val="24"/>
        </w:rPr>
        <w:t>乙方接到甲方通知后，2-3天内及时安排车辆到甲方储存危险废物的场所收集危险废弃物，并运至乙方的处理场所，进行安全、有效、合理的处置。</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第四条：</w:t>
      </w:r>
      <w:r>
        <w:rPr>
          <w:rFonts w:hint="eastAsia" w:ascii="宋体" w:hAnsi="宋体"/>
          <w:sz w:val="24"/>
        </w:rPr>
        <w:t>废弃物的交接</w:t>
      </w:r>
    </w:p>
    <w:p>
      <w:pPr>
        <w:numPr>
          <w:ilvl w:val="0"/>
          <w:numId w:val="0"/>
        </w:numPr>
        <w:spacing w:line="520" w:lineRule="exact"/>
        <w:ind w:left="718" w:leftChars="342" w:firstLine="240" w:firstLineChars="100"/>
        <w:rPr>
          <w:rFonts w:hint="eastAsia" w:ascii="宋体" w:hAnsi="宋体"/>
          <w:color w:val="FF0000"/>
          <w:sz w:val="24"/>
          <w:highlight w:val="none"/>
        </w:rPr>
      </w:pPr>
      <w:r>
        <w:rPr>
          <w:rFonts w:hint="eastAsia" w:ascii="宋体" w:hAnsi="宋体"/>
          <w:sz w:val="24"/>
          <w:highlight w:val="none"/>
          <w:lang w:val="en-US" w:eastAsia="zh-CN"/>
        </w:rPr>
        <w:t>1、</w:t>
      </w:r>
      <w:r>
        <w:rPr>
          <w:rFonts w:hint="eastAsia" w:ascii="宋体" w:hAnsi="宋体"/>
          <w:sz w:val="24"/>
          <w:highlight w:val="none"/>
        </w:rPr>
        <w:t>在甲、乙双方签订本合同后，由甲方在“</w:t>
      </w:r>
      <w:r>
        <w:rPr>
          <w:rFonts w:ascii="Tahoma" w:hAnsi="Tahoma" w:eastAsia="Tahoma" w:cs="Tahoma"/>
          <w:b/>
          <w:bCs/>
          <w:sz w:val="24"/>
          <w:highlight w:val="none"/>
          <w:shd w:val="clear" w:color="auto" w:fill="FFFFFF"/>
        </w:rPr>
        <w:t>污染源“一企一档”管理系统</w:t>
      </w:r>
      <w:r>
        <w:rPr>
          <w:rFonts w:hint="eastAsia" w:ascii="宋体" w:hAnsi="宋体"/>
          <w:sz w:val="24"/>
          <w:highlight w:val="none"/>
        </w:rPr>
        <w:t>”办理危险废物管理计划审批手续，待审批结束方可进行危废转移。</w:t>
      </w:r>
    </w:p>
    <w:p>
      <w:pPr>
        <w:numPr>
          <w:ilvl w:val="0"/>
          <w:numId w:val="0"/>
        </w:numPr>
        <w:spacing w:line="520" w:lineRule="exact"/>
        <w:ind w:left="718" w:leftChars="342" w:firstLine="240" w:firstLineChars="100"/>
        <w:rPr>
          <w:rFonts w:hint="eastAsia" w:ascii="宋体" w:hAnsi="宋体"/>
          <w:sz w:val="24"/>
          <w:highlight w:val="yellow"/>
        </w:rPr>
      </w:pPr>
      <w:r>
        <w:rPr>
          <w:rFonts w:hint="eastAsia" w:ascii="宋体" w:hAnsi="宋体"/>
          <w:sz w:val="24"/>
          <w:highlight w:val="none"/>
          <w:lang w:val="en-US" w:eastAsia="zh-CN"/>
        </w:rPr>
        <w:t>2、甲</w:t>
      </w:r>
      <w:r>
        <w:rPr>
          <w:rFonts w:hint="eastAsia" w:ascii="宋体" w:hAnsi="宋体"/>
          <w:sz w:val="24"/>
          <w:highlight w:val="none"/>
        </w:rPr>
        <w:t>方应确保管理计划通过，并在“</w:t>
      </w:r>
      <w:r>
        <w:rPr>
          <w:rFonts w:ascii="Tahoma" w:hAnsi="Tahoma" w:eastAsia="Tahoma" w:cs="Tahoma"/>
          <w:b/>
          <w:bCs/>
          <w:sz w:val="24"/>
          <w:highlight w:val="none"/>
          <w:shd w:val="clear" w:color="auto" w:fill="FFFFFF"/>
        </w:rPr>
        <w:t>污染源“一企一档”管理系统</w:t>
      </w:r>
      <w:r>
        <w:rPr>
          <w:rFonts w:hint="eastAsia" w:ascii="宋体" w:hAnsi="宋体"/>
          <w:sz w:val="24"/>
          <w:highlight w:val="none"/>
        </w:rPr>
        <w:t>”中如实填写包括危险废物名称、化学成份等信息，并经双方确认。</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第五条：</w:t>
      </w:r>
      <w:r>
        <w:rPr>
          <w:rFonts w:hint="eastAsia" w:ascii="宋体" w:hAnsi="宋体"/>
          <w:sz w:val="24"/>
        </w:rPr>
        <w:t>环境污染的责任承担</w:t>
      </w:r>
    </w:p>
    <w:p>
      <w:pPr>
        <w:numPr>
          <w:ilvl w:val="0"/>
          <w:numId w:val="4"/>
        </w:numPr>
        <w:tabs>
          <w:tab w:val="left" w:pos="993"/>
          <w:tab w:val="clear" w:pos="360"/>
        </w:tabs>
        <w:spacing w:line="520" w:lineRule="exact"/>
        <w:ind w:left="993" w:hanging="284"/>
        <w:rPr>
          <w:rFonts w:hint="eastAsia" w:ascii="宋体" w:hAnsi="宋体"/>
          <w:sz w:val="24"/>
        </w:rPr>
      </w:pPr>
      <w:r>
        <w:rPr>
          <w:rFonts w:hint="eastAsia" w:ascii="宋体" w:hAnsi="宋体"/>
          <w:sz w:val="24"/>
        </w:rPr>
        <w:t>甲方将生产经营过程中产生的危险废物通过其他渠道处置危险废物，其后果由甲方自行承担，与乙方无关。</w:t>
      </w:r>
    </w:p>
    <w:p>
      <w:pPr>
        <w:numPr>
          <w:ilvl w:val="0"/>
          <w:numId w:val="4"/>
        </w:numPr>
        <w:tabs>
          <w:tab w:val="left" w:pos="993"/>
          <w:tab w:val="clear" w:pos="360"/>
        </w:tabs>
        <w:spacing w:line="520" w:lineRule="exact"/>
        <w:ind w:left="993" w:hanging="284"/>
        <w:rPr>
          <w:rFonts w:hint="eastAsia" w:ascii="宋体" w:hAnsi="宋体"/>
          <w:sz w:val="24"/>
        </w:rPr>
      </w:pPr>
      <w:r>
        <w:rPr>
          <w:rFonts w:hint="eastAsia" w:ascii="宋体" w:hAnsi="宋体"/>
          <w:sz w:val="24"/>
        </w:rPr>
        <w:t>乙方在甲方的厂区将危废物装车离开后，由此产生的相关法律责任及环境保护责任，均由乙方全权负责。</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第六条：</w:t>
      </w:r>
      <w:r>
        <w:rPr>
          <w:rFonts w:hint="eastAsia" w:ascii="宋体" w:hAnsi="宋体"/>
          <w:sz w:val="24"/>
        </w:rPr>
        <w:t>处理费用及支付方法</w:t>
      </w:r>
    </w:p>
    <w:p>
      <w:pPr>
        <w:numPr>
          <w:ilvl w:val="0"/>
          <w:numId w:val="5"/>
        </w:numPr>
        <w:spacing w:line="520" w:lineRule="exact"/>
        <w:rPr>
          <w:rFonts w:hint="eastAsia" w:ascii="宋体" w:hAnsi="宋体"/>
          <w:sz w:val="24"/>
        </w:rPr>
      </w:pPr>
      <w:r>
        <w:rPr>
          <w:rFonts w:hint="eastAsia" w:ascii="宋体" w:hAnsi="宋体"/>
          <w:sz w:val="24"/>
        </w:rPr>
        <w:t>危险废物处理费用：乙方为甲方提供处置危险废物的服务，甲方向乙方支付本合同项下的废弃物处理费+运费+增值税+其它，详见附件报价单。</w:t>
      </w:r>
    </w:p>
    <w:p>
      <w:pPr>
        <w:numPr>
          <w:ilvl w:val="0"/>
          <w:numId w:val="5"/>
        </w:numPr>
        <w:spacing w:line="360" w:lineRule="auto"/>
        <w:rPr>
          <w:rFonts w:hint="eastAsia" w:ascii="宋体" w:hAnsi="宋体"/>
          <w:sz w:val="24"/>
        </w:rPr>
      </w:pPr>
      <w:r>
        <w:rPr>
          <w:rFonts w:hint="eastAsia" w:ascii="宋体" w:hAnsi="宋体"/>
          <w:sz w:val="24"/>
        </w:rPr>
        <w:t>结算方法：</w:t>
      </w:r>
    </w:p>
    <w:p>
      <w:pPr>
        <w:spacing w:line="360" w:lineRule="auto"/>
        <w:ind w:left="554" w:leftChars="264" w:firstLine="240" w:firstLineChars="100"/>
        <w:rPr>
          <w:rFonts w:hint="eastAsia" w:ascii="宋体" w:hAnsi="宋体"/>
          <w:sz w:val="24"/>
        </w:rPr>
      </w:pPr>
      <w:r>
        <w:rPr>
          <w:rFonts w:hint="eastAsia" w:ascii="宋体" w:hAnsi="宋体"/>
          <w:sz w:val="24"/>
        </w:rPr>
        <w:t>双方根据</w:t>
      </w:r>
      <w:r>
        <w:rPr>
          <w:rFonts w:hint="eastAsia" w:ascii="宋体" w:hAnsi="宋体"/>
          <w:sz w:val="24"/>
          <w:lang w:eastAsia="zh-CN"/>
        </w:rPr>
        <w:t>称重</w:t>
      </w:r>
      <w:r>
        <w:rPr>
          <w:rFonts w:hint="eastAsia" w:ascii="宋体" w:hAnsi="宋体"/>
          <w:sz w:val="24"/>
        </w:rPr>
        <w:t>单对帐无误后，乙方开具增值税专用发票，甲方收到发票后15个工作日转帐。</w:t>
      </w:r>
    </w:p>
    <w:p>
      <w:pPr>
        <w:numPr>
          <w:ilvl w:val="0"/>
          <w:numId w:val="0"/>
        </w:numPr>
        <w:spacing w:line="360" w:lineRule="auto"/>
        <w:ind w:firstLine="720" w:firstLineChars="300"/>
        <w:rPr>
          <w:rFonts w:hint="eastAsia" w:ascii="宋体" w:hAnsi="宋体"/>
          <w:sz w:val="24"/>
        </w:rPr>
      </w:pPr>
      <w:r>
        <w:rPr>
          <w:rFonts w:hint="eastAsia" w:ascii="宋体" w:hAnsi="宋体"/>
          <w:sz w:val="24"/>
          <w:lang w:eastAsia="zh-CN"/>
        </w:rPr>
        <w:t>第七条：</w:t>
      </w:r>
      <w:r>
        <w:rPr>
          <w:rFonts w:hint="eastAsia" w:ascii="宋体" w:hAnsi="宋体"/>
          <w:sz w:val="24"/>
        </w:rPr>
        <w:t>合同的有效期、解除及终止</w:t>
      </w:r>
    </w:p>
    <w:p>
      <w:pPr>
        <w:numPr>
          <w:ilvl w:val="0"/>
          <w:numId w:val="6"/>
        </w:numPr>
        <w:spacing w:line="520" w:lineRule="exact"/>
        <w:rPr>
          <w:rFonts w:hint="eastAsia" w:ascii="宋体" w:hAnsi="宋体"/>
          <w:sz w:val="24"/>
        </w:rPr>
      </w:pPr>
      <w:r>
        <w:rPr>
          <w:rFonts w:hint="eastAsia" w:ascii="宋体" w:hAnsi="宋体"/>
          <w:sz w:val="24"/>
        </w:rPr>
        <w:t xml:space="preserve">本合同自双方签字盖章起生效，有效期自 </w:t>
      </w:r>
      <w:r>
        <w:rPr>
          <w:rFonts w:hint="eastAsia" w:ascii="宋体" w:hAnsi="宋体"/>
          <w:sz w:val="24"/>
          <w:lang w:val="en-US" w:eastAsia="zh-CN"/>
        </w:rPr>
        <w:t xml:space="preserve">   </w:t>
      </w:r>
      <w:r>
        <w:rPr>
          <w:rFonts w:hint="eastAsia" w:ascii="宋体" w:hAnsi="宋体"/>
          <w:sz w:val="24"/>
        </w:rPr>
        <w:t xml:space="preserve">年 月  日起至 </w:t>
      </w:r>
      <w:r>
        <w:rPr>
          <w:rFonts w:hint="eastAsia" w:ascii="宋体" w:hAnsi="宋体"/>
          <w:sz w:val="24"/>
          <w:lang w:val="en-US" w:eastAsia="zh-CN"/>
        </w:rPr>
        <w:t xml:space="preserve"> </w:t>
      </w:r>
      <w:r>
        <w:rPr>
          <w:rFonts w:hint="eastAsia" w:ascii="宋体" w:hAnsi="宋体"/>
          <w:sz w:val="24"/>
        </w:rPr>
        <w:t xml:space="preserve"> 年</w:t>
      </w:r>
      <w:r>
        <w:rPr>
          <w:rFonts w:hint="eastAsia" w:ascii="宋体" w:hAnsi="宋体"/>
          <w:sz w:val="24"/>
          <w:lang w:val="en-US" w:eastAsia="zh-CN"/>
        </w:rPr>
        <w:t xml:space="preserve"> </w:t>
      </w:r>
      <w:r>
        <w:rPr>
          <w:rFonts w:hint="eastAsia" w:ascii="宋体" w:hAnsi="宋体"/>
          <w:sz w:val="24"/>
        </w:rPr>
        <w:t>月日止。</w:t>
      </w:r>
    </w:p>
    <w:p>
      <w:pPr>
        <w:numPr>
          <w:ilvl w:val="0"/>
          <w:numId w:val="6"/>
        </w:numPr>
        <w:spacing w:line="520" w:lineRule="exact"/>
        <w:rPr>
          <w:rFonts w:hint="eastAsia" w:ascii="宋体" w:hAnsi="宋体"/>
          <w:sz w:val="24"/>
        </w:rPr>
      </w:pPr>
      <w:r>
        <w:rPr>
          <w:rFonts w:hint="eastAsia" w:ascii="宋体" w:hAnsi="宋体"/>
          <w:sz w:val="24"/>
        </w:rPr>
        <w:t>乙方无法提供合法有效的危险废弃物经营许可证、或乙方公司被环保主管部门责令停产、或公司危险废弃物经营许可证为主管机关依法撤销者</w:t>
      </w:r>
      <w:r>
        <w:rPr>
          <w:rFonts w:ascii="宋体" w:hAnsi="宋体"/>
          <w:sz w:val="24"/>
        </w:rPr>
        <w:t>,</w:t>
      </w:r>
      <w:r>
        <w:rPr>
          <w:rFonts w:hint="eastAsia" w:ascii="宋体" w:hAnsi="宋体"/>
          <w:sz w:val="24"/>
        </w:rPr>
        <w:t>本协议自动终止。</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第八条：</w:t>
      </w:r>
      <w:r>
        <w:rPr>
          <w:rFonts w:hint="eastAsia" w:ascii="宋体" w:hAnsi="宋体"/>
          <w:sz w:val="24"/>
        </w:rPr>
        <w:t>争议的解决：发生争议双方协商解决，协商不成，可向</w:t>
      </w:r>
      <w:r>
        <w:rPr>
          <w:rFonts w:hint="eastAsia" w:ascii="宋体" w:hAnsi="宋体"/>
          <w:color w:val="FF0000"/>
          <w:sz w:val="24"/>
        </w:rPr>
        <w:t>甲方</w:t>
      </w:r>
      <w:r>
        <w:rPr>
          <w:rFonts w:hint="eastAsia" w:ascii="宋体" w:hAnsi="宋体"/>
          <w:sz w:val="24"/>
        </w:rPr>
        <w:t>所在地人民法院提起诉讼，违约方承担包含但不限于律师费在内的全部费用。</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第九条：</w:t>
      </w:r>
      <w:r>
        <w:rPr>
          <w:rFonts w:hint="eastAsia" w:ascii="宋体" w:hAnsi="宋体"/>
          <w:sz w:val="24"/>
        </w:rPr>
        <w:t>附项</w:t>
      </w:r>
    </w:p>
    <w:p>
      <w:pPr>
        <w:numPr>
          <w:ilvl w:val="0"/>
          <w:numId w:val="7"/>
        </w:numPr>
        <w:spacing w:line="520" w:lineRule="exact"/>
        <w:rPr>
          <w:rFonts w:hint="eastAsia"/>
          <w:sz w:val="24"/>
        </w:rPr>
      </w:pPr>
      <w:r>
        <w:rPr>
          <w:rFonts w:hint="eastAsia" w:ascii="宋体" w:hAnsi="宋体"/>
          <w:sz w:val="24"/>
        </w:rPr>
        <w:t>本合同如有未尽事宜，或执行中双方遇有疑义的事宜，双方可友好协商解决也可双方协商后另增附加条款，并签字盖章后生效。附加条款与本合同具同等效力。</w:t>
      </w:r>
    </w:p>
    <w:p>
      <w:pPr>
        <w:numPr>
          <w:ilvl w:val="0"/>
          <w:numId w:val="7"/>
        </w:numPr>
        <w:spacing w:line="520" w:lineRule="exact"/>
        <w:rPr>
          <w:rFonts w:hint="eastAsia"/>
          <w:sz w:val="24"/>
        </w:rPr>
      </w:pPr>
      <w:r>
        <w:rPr>
          <w:rFonts w:hint="eastAsia" w:ascii="宋体" w:hAnsi="宋体"/>
          <w:sz w:val="24"/>
        </w:rPr>
        <w:t>本合同一式四份，甲方执二份、乙方执二份。</w:t>
      </w:r>
    </w:p>
    <w:tbl>
      <w:tblPr>
        <w:tblStyle w:val="20"/>
        <w:tblW w:w="9216"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4"/>
        <w:gridCol w:w="4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宋体" w:hAnsi="宋体" w:eastAsia="宋体"/>
                <w:b/>
                <w:color w:val="000000"/>
                <w:szCs w:val="21"/>
                <w:vertAlign w:val="baseline"/>
                <w:lang w:val="en-US" w:eastAsia="zh-CN"/>
              </w:rPr>
            </w:pPr>
            <w:r>
              <w:rPr>
                <w:rFonts w:hint="eastAsia" w:ascii="Arial" w:hAnsi="宋体" w:cs="Arial"/>
                <w:szCs w:val="21"/>
              </w:rPr>
              <w:t xml:space="preserve"> </w:t>
            </w:r>
            <w:r>
              <w:rPr>
                <w:rFonts w:ascii="Arial" w:hAnsi="宋体" w:cs="Arial"/>
                <w:szCs w:val="21"/>
              </w:rPr>
              <w:t>甲方（需方）：</w:t>
            </w:r>
            <w:r>
              <w:rPr>
                <w:rFonts w:hint="eastAsia" w:ascii="Arial" w:hAnsi="宋体" w:cs="Arial"/>
                <w:szCs w:val="21"/>
                <w:lang w:eastAsia="zh-CN"/>
              </w:rPr>
              <w:t>都江堰光明光电材料有限责任公司</w:t>
            </w:r>
          </w:p>
        </w:tc>
        <w:tc>
          <w:tcPr>
            <w:tcW w:w="4392" w:type="dxa"/>
          </w:tcPr>
          <w:p>
            <w:pPr>
              <w:tabs>
                <w:tab w:val="left" w:pos="202"/>
              </w:tabs>
              <w:spacing w:line="560" w:lineRule="exact"/>
              <w:jc w:val="left"/>
              <w:rPr>
                <w:rFonts w:hint="default" w:ascii="宋体" w:hAnsi="宋体" w:eastAsia="宋体"/>
                <w:b/>
                <w:color w:val="000000"/>
                <w:szCs w:val="21"/>
                <w:vertAlign w:val="baseline"/>
                <w:lang w:val="en-US" w:eastAsia="zh-CN"/>
              </w:rPr>
            </w:pPr>
            <w:r>
              <w:rPr>
                <w:rFonts w:hint="eastAsia" w:ascii="Arial" w:hAnsi="宋体" w:cs="Arial"/>
                <w:szCs w:val="21"/>
                <w:lang w:val="en-US" w:eastAsia="zh-CN"/>
              </w:rPr>
              <w:t>乙方（供方）：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地址：都江堰市蒲阳镇光泰路10号</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法人代表委托人：</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开户银行：农行都江堰支行城区所</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账号：22853401040001321</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行号：103651085344</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电话：028-87118620</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电话：</w:t>
            </w:r>
          </w:p>
        </w:tc>
      </w:tr>
    </w:tbl>
    <w:p>
      <w:pPr>
        <w:tabs>
          <w:tab w:val="left" w:pos="202"/>
        </w:tabs>
        <w:spacing w:line="560" w:lineRule="exact"/>
        <w:jc w:val="left"/>
        <w:rPr>
          <w:rFonts w:hint="default" w:ascii="Arial" w:hAnsi="宋体" w:cs="Arial"/>
          <w:szCs w:val="21"/>
          <w:lang w:val="en-US" w:eastAsia="zh-CN"/>
        </w:rPr>
      </w:pPr>
    </w:p>
    <w:p>
      <w:pPr>
        <w:tabs>
          <w:tab w:val="left" w:pos="538"/>
        </w:tabs>
        <w:bidi w:val="0"/>
        <w:jc w:val="left"/>
        <w:rPr>
          <w:rFonts w:hint="eastAsia" w:ascii="Times New Roman" w:hAnsi="Times New Roman" w:eastAsia="宋体" w:cs="Times New Roman"/>
          <w:kern w:val="2"/>
          <w:sz w:val="21"/>
          <w:lang w:val="en-US" w:eastAsia="zh-CN" w:bidi="ar-SA"/>
        </w:rPr>
        <w:sectPr>
          <w:pgSz w:w="11906" w:h="16838"/>
          <w:pgMar w:top="1089" w:right="1797" w:bottom="1440" w:left="1797" w:header="851" w:footer="992" w:gutter="0"/>
          <w:cols w:space="425" w:num="1"/>
          <w:docGrid w:type="lines" w:linePitch="312" w:charSpace="0"/>
        </w:sectPr>
      </w:pPr>
      <w:r>
        <w:rPr>
          <w:rFonts w:hint="eastAsia" w:cs="Times New Roman"/>
          <w:kern w:val="2"/>
          <w:sz w:val="21"/>
          <w:lang w:val="en-US" w:eastAsia="zh-CN" w:bidi="ar-SA"/>
        </w:rPr>
        <w:tab/>
      </w:r>
    </w:p>
    <w:p>
      <w:pPr>
        <w:ind w:firstLine="2760" w:firstLineChars="1150"/>
        <w:rPr>
          <w:rFonts w:ascii="宋体" w:hAnsi="宋体" w:cs="Arial"/>
          <w:b/>
          <w:sz w:val="30"/>
          <w:szCs w:val="30"/>
        </w:rPr>
      </w:pPr>
      <w:r>
        <w:rPr>
          <w:rFonts w:hint="eastAsia" w:ascii="宋体" w:hAnsi="宋体" w:cs="宋体"/>
          <w:kern w:val="0"/>
          <w:sz w:val="24"/>
          <w:szCs w:val="24"/>
        </w:rPr>
        <w:t xml:space="preserve">  </w:t>
      </w:r>
      <w:r>
        <w:rPr>
          <w:rFonts w:hint="eastAsia" w:ascii="宋体" w:hAnsi="宋体"/>
          <w:bCs/>
          <w:sz w:val="32"/>
          <w:szCs w:val="32"/>
        </w:rPr>
        <w:t>第四部分</w:t>
      </w:r>
      <w:r>
        <w:rPr>
          <w:rFonts w:ascii="宋体" w:hAnsi="宋体"/>
          <w:bCs/>
          <w:sz w:val="32"/>
          <w:szCs w:val="32"/>
        </w:rPr>
        <w:t xml:space="preserve">  </w:t>
      </w:r>
      <w:r>
        <w:rPr>
          <w:rFonts w:hint="eastAsia" w:ascii="宋体" w:hAnsi="宋体"/>
          <w:bCs/>
          <w:sz w:val="32"/>
          <w:szCs w:val="32"/>
        </w:rPr>
        <w:t>附件</w:t>
      </w:r>
    </w:p>
    <w:p>
      <w:pPr>
        <w:spacing w:line="500" w:lineRule="exact"/>
        <w:jc w:val="left"/>
        <w:rPr>
          <w:rFonts w:hint="eastAsia" w:ascii="宋体" w:hAnsi="宋体"/>
          <w:b/>
          <w:sz w:val="30"/>
          <w:szCs w:val="30"/>
        </w:rPr>
      </w:pPr>
    </w:p>
    <w:p>
      <w:pPr>
        <w:spacing w:line="500" w:lineRule="exact"/>
        <w:jc w:val="left"/>
        <w:rPr>
          <w:rFonts w:ascii="宋体" w:hAnsi="宋体"/>
          <w:b/>
          <w:sz w:val="30"/>
          <w:szCs w:val="30"/>
        </w:rPr>
      </w:pPr>
      <w:r>
        <w:rPr>
          <w:rFonts w:hint="eastAsia" w:ascii="宋体" w:hAnsi="宋体"/>
          <w:b/>
          <w:sz w:val="30"/>
          <w:szCs w:val="30"/>
        </w:rPr>
        <w:t>附件一</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都江堰光明光电材料有限责任公司</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after="0" w:line="560" w:lineRule="exact"/>
        <w:ind w:left="0" w:leftChars="0"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单位名称（公章）：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法定代表人（签字、印章）：</w:t>
      </w:r>
      <w:r>
        <w:rPr>
          <w:rFonts w:ascii="宋体" w:hAnsi="宋体"/>
          <w:sz w:val="24"/>
          <w:u w:val="single"/>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单位基本户帐号：</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rPr>
          <w:rFonts w:ascii="宋体" w:hAnsi="宋体"/>
          <w:sz w:val="24"/>
        </w:rPr>
      </w:pPr>
    </w:p>
    <w:p>
      <w:pPr>
        <w:widowControl/>
        <w:snapToGrid w:val="0"/>
        <w:spacing w:before="19" w:line="500" w:lineRule="exact"/>
        <w:rPr>
          <w:rFonts w:ascii="宋体" w:hAnsi="宋体"/>
          <w:sz w:val="24"/>
        </w:rPr>
      </w:pPr>
    </w:p>
    <w:p>
      <w:pPr>
        <w:widowControl/>
        <w:snapToGrid w:val="0"/>
        <w:spacing w:before="19" w:line="500" w:lineRule="exact"/>
        <w:rPr>
          <w:rFonts w:hint="eastAsia" w:ascii="宋体" w:hAnsi="宋体"/>
          <w:sz w:val="24"/>
        </w:rPr>
      </w:pPr>
    </w:p>
    <w:p>
      <w:pPr>
        <w:widowControl/>
        <w:snapToGrid w:val="0"/>
        <w:spacing w:before="19" w:line="500" w:lineRule="exact"/>
        <w:rPr>
          <w:rFonts w:hint="eastAsia" w:ascii="宋体" w:hAnsi="宋体"/>
          <w:sz w:val="24"/>
        </w:rPr>
      </w:pPr>
    </w:p>
    <w:p>
      <w:pPr>
        <w:spacing w:line="500" w:lineRule="exact"/>
        <w:rPr>
          <w:rFonts w:ascii="宋体" w:hAnsi="宋体"/>
          <w:b/>
          <w:sz w:val="30"/>
          <w:szCs w:val="30"/>
        </w:rPr>
      </w:pPr>
      <w:r>
        <w:rPr>
          <w:rFonts w:hint="eastAsia" w:ascii="宋体" w:hAnsi="宋体"/>
          <w:b/>
          <w:sz w:val="30"/>
          <w:szCs w:val="30"/>
        </w:rPr>
        <w:t>附件二</w:t>
      </w:r>
    </w:p>
    <w:p>
      <w:pPr>
        <w:spacing w:line="500" w:lineRule="exact"/>
        <w:ind w:firstLine="3920" w:firstLineChars="1400"/>
        <w:rPr>
          <w:rFonts w:hint="eastAsia" w:ascii="宋体" w:hAnsi="宋体" w:eastAsia="宋体"/>
          <w:sz w:val="28"/>
          <w:szCs w:val="28"/>
          <w:lang w:eastAsia="zh-CN"/>
        </w:rPr>
      </w:pPr>
      <w:r>
        <w:rPr>
          <w:rFonts w:hint="eastAsia" w:ascii="宋体" w:hAnsi="宋体"/>
          <w:sz w:val="28"/>
          <w:szCs w:val="28"/>
        </w:rPr>
        <w:t>报价</w:t>
      </w:r>
      <w:r>
        <w:rPr>
          <w:rFonts w:hint="eastAsia" w:ascii="宋体" w:hAnsi="宋体"/>
          <w:sz w:val="28"/>
          <w:szCs w:val="28"/>
          <w:lang w:eastAsia="zh-CN"/>
        </w:rPr>
        <w:t>单</w:t>
      </w:r>
    </w:p>
    <w:p>
      <w:pPr>
        <w:spacing w:line="480" w:lineRule="auto"/>
        <w:rPr>
          <w:rFonts w:hint="eastAsia" w:ascii="宋体" w:hAnsi="宋体"/>
          <w:sz w:val="32"/>
        </w:rPr>
      </w:pPr>
      <w:bookmarkStart w:id="0" w:name="_Toc116869942"/>
      <w:bookmarkStart w:id="1" w:name="_Toc182560070"/>
      <w:bookmarkStart w:id="2" w:name="_Toc89791634"/>
      <w:bookmarkStart w:id="3" w:name="_Toc105315045"/>
      <w:bookmarkStart w:id="4" w:name="_Toc89791736"/>
      <w:bookmarkStart w:id="5" w:name="_Toc172809818"/>
      <w:bookmarkStart w:id="6" w:name="_Toc172811881"/>
      <w:bookmarkStart w:id="7" w:name="_Toc172809947"/>
      <w:bookmarkStart w:id="8" w:name="_Toc90180911"/>
      <w:bookmarkStart w:id="9" w:name="_Toc116895449"/>
    </w:p>
    <w:tbl>
      <w:tblPr>
        <w:tblStyle w:val="19"/>
        <w:tblW w:w="9924"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181"/>
        <w:gridCol w:w="1289"/>
        <w:gridCol w:w="1692"/>
        <w:gridCol w:w="708"/>
        <w:gridCol w:w="1296"/>
        <w:gridCol w:w="1512"/>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9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序号</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废物名称</w:t>
            </w:r>
          </w:p>
        </w:tc>
        <w:tc>
          <w:tcPr>
            <w:tcW w:w="1289"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废物类别</w:t>
            </w:r>
          </w:p>
        </w:tc>
        <w:tc>
          <w:tcPr>
            <w:tcW w:w="1692" w:type="dxa"/>
            <w:shd w:val="clear" w:color="auto" w:fill="auto"/>
            <w:noWrap w:val="0"/>
            <w:vAlign w:val="center"/>
          </w:tcPr>
          <w:p>
            <w:pPr>
              <w:jc w:val="both"/>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 xml:space="preserve">数量（吨 </w:t>
            </w:r>
            <w:r>
              <w:rPr>
                <w:rFonts w:hint="eastAsia" w:ascii="FangSong_GB2312" w:eastAsia="FangSong_GB2312" w:cs="Times New Roman"/>
                <w:kern w:val="2"/>
                <w:sz w:val="24"/>
                <w:szCs w:val="20"/>
                <w:lang w:val="en-US" w:eastAsia="zh-CN" w:bidi="ar-SA"/>
              </w:rPr>
              <w:t>/</w:t>
            </w:r>
            <w:r>
              <w:rPr>
                <w:rFonts w:hint="eastAsia" w:ascii="FangSong_GB2312" w:hAnsi="Times New Roman" w:eastAsia="FangSong_GB2312" w:cs="Times New Roman"/>
                <w:kern w:val="2"/>
                <w:sz w:val="24"/>
                <w:szCs w:val="20"/>
                <w:lang w:val="en-US" w:eastAsia="zh-CN" w:bidi="ar-SA"/>
              </w:rPr>
              <w:t>年）</w:t>
            </w:r>
          </w:p>
        </w:tc>
        <w:tc>
          <w:tcPr>
            <w:tcW w:w="70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形态</w:t>
            </w:r>
          </w:p>
        </w:tc>
        <w:tc>
          <w:tcPr>
            <w:tcW w:w="129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包装方式</w:t>
            </w:r>
          </w:p>
        </w:tc>
        <w:tc>
          <w:tcPr>
            <w:tcW w:w="1512" w:type="dxa"/>
            <w:shd w:val="clear" w:color="auto" w:fill="auto"/>
            <w:noWrap w:val="0"/>
            <w:vAlign w:val="top"/>
          </w:tcPr>
          <w:p>
            <w:pPr>
              <w:bidi w:val="0"/>
              <w:jc w:val="both"/>
              <w:rPr>
                <w:rFonts w:hint="default" w:ascii="Times New Roman" w:hAnsi="Times New Roman" w:eastAsia="宋体" w:cs="Times New Roman"/>
                <w:kern w:val="2"/>
                <w:sz w:val="21"/>
                <w:lang w:val="en-US" w:eastAsia="zh-CN" w:bidi="ar-SA"/>
              </w:rPr>
            </w:pPr>
            <w:r>
              <w:rPr>
                <w:rFonts w:hint="eastAsia" w:cs="Times New Roman"/>
                <w:kern w:val="2"/>
                <w:sz w:val="21"/>
                <w:lang w:val="en-US" w:eastAsia="zh-CN" w:bidi="ar-SA"/>
              </w:rPr>
              <w:t>单价（元/吨）</w:t>
            </w:r>
          </w:p>
        </w:tc>
        <w:tc>
          <w:tcPr>
            <w:tcW w:w="154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1</w:t>
            </w:r>
          </w:p>
        </w:tc>
        <w:tc>
          <w:tcPr>
            <w:tcW w:w="118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废矿物油</w:t>
            </w:r>
          </w:p>
        </w:tc>
        <w:tc>
          <w:tcPr>
            <w:tcW w:w="1289"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HW08</w:t>
            </w:r>
          </w:p>
        </w:tc>
        <w:tc>
          <w:tcPr>
            <w:tcW w:w="1692"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70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29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512"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p>
        </w:tc>
        <w:tc>
          <w:tcPr>
            <w:tcW w:w="1548"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118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废乳化液</w:t>
            </w:r>
          </w:p>
        </w:tc>
        <w:tc>
          <w:tcPr>
            <w:tcW w:w="1289"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HW09</w:t>
            </w:r>
          </w:p>
        </w:tc>
        <w:tc>
          <w:tcPr>
            <w:tcW w:w="1692" w:type="dxa"/>
            <w:shd w:val="clear" w:color="auto" w:fill="auto"/>
            <w:noWrap w:val="0"/>
            <w:vAlign w:val="center"/>
          </w:tcPr>
          <w:p>
            <w:pPr>
              <w:jc w:val="center"/>
              <w:rPr>
                <w:rFonts w:hint="default"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70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29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512"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p>
        </w:tc>
        <w:tc>
          <w:tcPr>
            <w:tcW w:w="1548"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bl>
    <w:p>
      <w:pPr>
        <w:spacing w:line="480" w:lineRule="auto"/>
        <w:rPr>
          <w:rFonts w:hint="default" w:ascii="宋体" w:hAnsi="宋体" w:eastAsia="宋体"/>
          <w:sz w:val="32"/>
          <w:lang w:val="en-US" w:eastAsia="zh-CN"/>
        </w:rPr>
      </w:pPr>
      <w:r>
        <w:rPr>
          <w:rFonts w:hint="eastAsia" w:ascii="宋体" w:hAnsi="宋体"/>
          <w:sz w:val="32"/>
          <w:lang w:eastAsia="zh-CN"/>
        </w:rPr>
        <w:t>注：以上报价均含</w:t>
      </w:r>
      <w:r>
        <w:rPr>
          <w:rFonts w:hint="eastAsia" w:ascii="宋体" w:hAnsi="宋体"/>
          <w:sz w:val="32"/>
          <w:u w:val="single"/>
          <w:lang w:val="en-US" w:eastAsia="zh-CN"/>
        </w:rPr>
        <w:t xml:space="preserve">  %</w:t>
      </w:r>
      <w:r>
        <w:rPr>
          <w:rFonts w:hint="eastAsia" w:ascii="宋体" w:hAnsi="宋体"/>
          <w:sz w:val="32"/>
          <w:lang w:eastAsia="zh-CN"/>
        </w:rPr>
        <w:t>增值税专用发票。</w:t>
      </w:r>
    </w:p>
    <w:p>
      <w:pPr>
        <w:spacing w:line="480" w:lineRule="auto"/>
        <w:rPr>
          <w:rFonts w:ascii="宋体" w:hAnsi="宋体"/>
          <w:sz w:val="32"/>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ind w:firstLine="2800" w:firstLineChars="1000"/>
        <w:rPr>
          <w:rFonts w:ascii="宋体" w:hAnsi="宋体"/>
          <w:sz w:val="28"/>
          <w:szCs w:val="28"/>
        </w:rPr>
      </w:pPr>
      <w:r>
        <w:rPr>
          <w:rFonts w:hint="eastAsia" w:ascii="宋体" w:hAnsi="宋体"/>
          <w:sz w:val="28"/>
          <w:szCs w:val="28"/>
        </w:rPr>
        <w:t>营业执照、危废经营许可证</w:t>
      </w:r>
    </w:p>
    <w:p>
      <w:pPr>
        <w:spacing w:line="480" w:lineRule="auto"/>
        <w:rPr>
          <w:rFonts w:hint="eastAsia" w:ascii="宋体" w:hAnsi="宋体"/>
          <w:sz w:val="32"/>
        </w:rPr>
      </w:pPr>
    </w:p>
    <w:p>
      <w:pPr>
        <w:spacing w:line="480" w:lineRule="auto"/>
        <w:rPr>
          <w:rFonts w:hint="eastAsia" w:ascii="宋体" w:hAnsi="宋体"/>
          <w:sz w:val="32"/>
        </w:rPr>
      </w:pPr>
    </w:p>
    <w:p>
      <w:pPr>
        <w:spacing w:line="480" w:lineRule="auto"/>
        <w:rPr>
          <w:rFonts w:hint="eastAsia" w:ascii="宋体" w:hAnsi="宋体"/>
          <w:sz w:val="32"/>
        </w:rPr>
      </w:pPr>
    </w:p>
    <w:p>
      <w:pPr>
        <w:spacing w:line="480" w:lineRule="auto"/>
        <w:rPr>
          <w:rFonts w:hint="eastAsia" w:ascii="宋体" w:hAnsi="宋体"/>
          <w:sz w:val="32"/>
        </w:rPr>
      </w:pPr>
    </w:p>
    <w:p>
      <w:pPr>
        <w:spacing w:line="480" w:lineRule="auto"/>
        <w:rPr>
          <w:rFonts w:hint="eastAsia" w:ascii="宋体" w:hAnsi="宋体"/>
          <w:sz w:val="32"/>
        </w:rPr>
      </w:pPr>
    </w:p>
    <w:bookmarkEnd w:id="0"/>
    <w:bookmarkEnd w:id="1"/>
    <w:bookmarkEnd w:id="2"/>
    <w:bookmarkEnd w:id="3"/>
    <w:bookmarkEnd w:id="4"/>
    <w:bookmarkEnd w:id="5"/>
    <w:bookmarkEnd w:id="6"/>
    <w:bookmarkEnd w:id="7"/>
    <w:bookmarkEnd w:id="8"/>
    <w:bookmarkEnd w:id="9"/>
    <w:p>
      <w:pPr>
        <w:spacing w:line="480" w:lineRule="auto"/>
        <w:rPr>
          <w:rFonts w:hint="eastAsia" w:ascii="宋体" w:hAnsi="宋体"/>
          <w:sz w:val="32"/>
        </w:rPr>
      </w:pPr>
    </w:p>
    <w:p>
      <w:pPr>
        <w:spacing w:line="360" w:lineRule="auto"/>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00000003"/>
    <w:multiLevelType w:val="multilevel"/>
    <w:tmpl w:val="00000003"/>
    <w:lvl w:ilvl="0" w:tentative="0">
      <w:start w:val="1"/>
      <w:numFmt w:val="decimal"/>
      <w:lvlText w:val="%1、"/>
      <w:lvlJc w:val="left"/>
      <w:pPr>
        <w:tabs>
          <w:tab w:val="left" w:pos="644"/>
        </w:tabs>
        <w:ind w:left="570" w:hanging="36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2">
    <w:nsid w:val="00000005"/>
    <w:multiLevelType w:val="multilevel"/>
    <w:tmpl w:val="00000005"/>
    <w:lvl w:ilvl="0" w:tentative="0">
      <w:start w:val="1"/>
      <w:numFmt w:val="decimal"/>
      <w:lvlText w:val="%1、"/>
      <w:lvlJc w:val="left"/>
      <w:pPr>
        <w:ind w:left="960" w:hanging="360"/>
      </w:pPr>
      <w:rPr>
        <w:rFonts w:hint="default" w:ascii="宋体" w:hAnsi="宋体"/>
        <w:color w:val="auto"/>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00000006"/>
    <w:multiLevelType w:val="multilevel"/>
    <w:tmpl w:val="00000006"/>
    <w:lvl w:ilvl="0" w:tentative="0">
      <w:start w:val="1"/>
      <w:numFmt w:val="decimal"/>
      <w:lvlText w:val="%1、"/>
      <w:lvlJc w:val="left"/>
      <w:pPr>
        <w:tabs>
          <w:tab w:val="left" w:pos="915"/>
        </w:tabs>
        <w:ind w:left="915" w:hanging="360"/>
      </w:pPr>
      <w:rPr>
        <w:rFonts w:hint="default"/>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4">
    <w:nsid w:val="00000007"/>
    <w:multiLevelType w:val="multilevel"/>
    <w:tmpl w:val="00000007"/>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8"/>
    <w:multiLevelType w:val="multilevel"/>
    <w:tmpl w:val="00000008"/>
    <w:lvl w:ilvl="0" w:tentative="0">
      <w:start w:val="1"/>
      <w:numFmt w:val="decimal"/>
      <w:lvlText w:val="%1、"/>
      <w:lvlJc w:val="left"/>
      <w:pPr>
        <w:ind w:left="1211" w:hanging="360"/>
      </w:pPr>
      <w:rPr>
        <w:rFonts w:hint="default"/>
      </w:rPr>
    </w:lvl>
    <w:lvl w:ilvl="1" w:tentative="0">
      <w:start w:val="1"/>
      <w:numFmt w:val="lowerLetter"/>
      <w:lvlText w:val="%2)"/>
      <w:lvlJc w:val="left"/>
      <w:pPr>
        <w:ind w:left="1635" w:hanging="420"/>
      </w:pPr>
    </w:lvl>
    <w:lvl w:ilvl="2" w:tentative="0">
      <w:start w:val="1"/>
      <w:numFmt w:val="lowerRoman"/>
      <w:lvlText w:val="%3."/>
      <w:lvlJc w:val="right"/>
      <w:pPr>
        <w:ind w:left="2055" w:hanging="420"/>
      </w:pPr>
    </w:lvl>
    <w:lvl w:ilvl="3" w:tentative="0">
      <w:start w:val="1"/>
      <w:numFmt w:val="decimal"/>
      <w:lvlText w:val="%4."/>
      <w:lvlJc w:val="left"/>
      <w:pPr>
        <w:ind w:left="2475" w:hanging="420"/>
      </w:pPr>
    </w:lvl>
    <w:lvl w:ilvl="4" w:tentative="0">
      <w:start w:val="1"/>
      <w:numFmt w:val="lowerLetter"/>
      <w:lvlText w:val="%5)"/>
      <w:lvlJc w:val="left"/>
      <w:pPr>
        <w:ind w:left="2895" w:hanging="420"/>
      </w:pPr>
    </w:lvl>
    <w:lvl w:ilvl="5" w:tentative="0">
      <w:start w:val="1"/>
      <w:numFmt w:val="lowerRoman"/>
      <w:lvlText w:val="%6."/>
      <w:lvlJc w:val="right"/>
      <w:pPr>
        <w:ind w:left="3315" w:hanging="420"/>
      </w:pPr>
    </w:lvl>
    <w:lvl w:ilvl="6" w:tentative="0">
      <w:start w:val="1"/>
      <w:numFmt w:val="decimal"/>
      <w:lvlText w:val="%7."/>
      <w:lvlJc w:val="left"/>
      <w:pPr>
        <w:ind w:left="3735" w:hanging="420"/>
      </w:pPr>
    </w:lvl>
    <w:lvl w:ilvl="7" w:tentative="0">
      <w:start w:val="1"/>
      <w:numFmt w:val="lowerLetter"/>
      <w:lvlText w:val="%8)"/>
      <w:lvlJc w:val="left"/>
      <w:pPr>
        <w:ind w:left="4155" w:hanging="420"/>
      </w:pPr>
    </w:lvl>
    <w:lvl w:ilvl="8" w:tentative="0">
      <w:start w:val="1"/>
      <w:numFmt w:val="lowerRoman"/>
      <w:lvlText w:val="%9."/>
      <w:lvlJc w:val="right"/>
      <w:pPr>
        <w:ind w:left="4575" w:hanging="420"/>
      </w:pPr>
    </w:lvl>
  </w:abstractNum>
  <w:abstractNum w:abstractNumId="6">
    <w:nsid w:val="7B98A839"/>
    <w:multiLevelType w:val="multilevel"/>
    <w:tmpl w:val="7B98A839"/>
    <w:lvl w:ilvl="0" w:tentative="0">
      <w:start w:val="1"/>
      <w:numFmt w:val="decimal"/>
      <w:lvlText w:val="%1、"/>
      <w:lvlJc w:val="left"/>
      <w:pPr>
        <w:tabs>
          <w:tab w:val="left" w:pos="915"/>
        </w:tabs>
        <w:ind w:left="915" w:hanging="360"/>
      </w:pPr>
      <w:rPr>
        <w:rFonts w:hint="default"/>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num w:numId="1">
    <w:abstractNumId w:val="1"/>
  </w:num>
  <w:num w:numId="2">
    <w:abstractNumId w:val="0"/>
  </w:num>
  <w:num w:numId="3">
    <w:abstractNumId w:val="5"/>
  </w:num>
  <w:num w:numId="4">
    <w:abstractNumId w:val="4"/>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1C42B8B"/>
    <w:rsid w:val="01FF1E15"/>
    <w:rsid w:val="028B36A9"/>
    <w:rsid w:val="03022507"/>
    <w:rsid w:val="033B50CF"/>
    <w:rsid w:val="034D6BB0"/>
    <w:rsid w:val="03C2590E"/>
    <w:rsid w:val="04FF037E"/>
    <w:rsid w:val="058D6A20"/>
    <w:rsid w:val="05F6352F"/>
    <w:rsid w:val="067601CC"/>
    <w:rsid w:val="069074E0"/>
    <w:rsid w:val="070659F4"/>
    <w:rsid w:val="0728596A"/>
    <w:rsid w:val="0730448F"/>
    <w:rsid w:val="07373DFF"/>
    <w:rsid w:val="07A271DA"/>
    <w:rsid w:val="08031F33"/>
    <w:rsid w:val="0808579C"/>
    <w:rsid w:val="082500FC"/>
    <w:rsid w:val="08713341"/>
    <w:rsid w:val="089332B7"/>
    <w:rsid w:val="08BD6586"/>
    <w:rsid w:val="098A290C"/>
    <w:rsid w:val="0A187F18"/>
    <w:rsid w:val="0BC96FF0"/>
    <w:rsid w:val="0C452B1A"/>
    <w:rsid w:val="0C994C14"/>
    <w:rsid w:val="0CD914B5"/>
    <w:rsid w:val="0D0D4028"/>
    <w:rsid w:val="0DDF432E"/>
    <w:rsid w:val="0E0A588C"/>
    <w:rsid w:val="0F0F5662"/>
    <w:rsid w:val="10BE2E9B"/>
    <w:rsid w:val="11D02E86"/>
    <w:rsid w:val="11EB3930"/>
    <w:rsid w:val="12FE1C75"/>
    <w:rsid w:val="133979BF"/>
    <w:rsid w:val="135D2E40"/>
    <w:rsid w:val="137A108F"/>
    <w:rsid w:val="13895DFC"/>
    <w:rsid w:val="13A740BB"/>
    <w:rsid w:val="143B5ABD"/>
    <w:rsid w:val="14773EFC"/>
    <w:rsid w:val="14F450DE"/>
    <w:rsid w:val="15396F94"/>
    <w:rsid w:val="156659CF"/>
    <w:rsid w:val="15757A82"/>
    <w:rsid w:val="15820C4A"/>
    <w:rsid w:val="15A85EC8"/>
    <w:rsid w:val="16151D06"/>
    <w:rsid w:val="163A2FC4"/>
    <w:rsid w:val="16F77107"/>
    <w:rsid w:val="175956CC"/>
    <w:rsid w:val="17887D5F"/>
    <w:rsid w:val="17CA481C"/>
    <w:rsid w:val="17F11DA8"/>
    <w:rsid w:val="19B62EC1"/>
    <w:rsid w:val="1A635C3D"/>
    <w:rsid w:val="1A7A6085"/>
    <w:rsid w:val="1B0D0CA7"/>
    <w:rsid w:val="1B0D6EF9"/>
    <w:rsid w:val="1B4C7393"/>
    <w:rsid w:val="1B642891"/>
    <w:rsid w:val="1B83540D"/>
    <w:rsid w:val="1C197B20"/>
    <w:rsid w:val="1C77655F"/>
    <w:rsid w:val="1C7C59A7"/>
    <w:rsid w:val="1CDD0B4D"/>
    <w:rsid w:val="1D6A0633"/>
    <w:rsid w:val="1E2A5FF9"/>
    <w:rsid w:val="1ECC3F0D"/>
    <w:rsid w:val="1ED26EA1"/>
    <w:rsid w:val="1F737547"/>
    <w:rsid w:val="202D5948"/>
    <w:rsid w:val="20344F28"/>
    <w:rsid w:val="204E3B2C"/>
    <w:rsid w:val="21090163"/>
    <w:rsid w:val="211B0084"/>
    <w:rsid w:val="212925B3"/>
    <w:rsid w:val="2130749E"/>
    <w:rsid w:val="21787096"/>
    <w:rsid w:val="217A696B"/>
    <w:rsid w:val="21C85928"/>
    <w:rsid w:val="221768AF"/>
    <w:rsid w:val="22511DC1"/>
    <w:rsid w:val="229E2B2D"/>
    <w:rsid w:val="22A04AF7"/>
    <w:rsid w:val="23E40A13"/>
    <w:rsid w:val="24154CF0"/>
    <w:rsid w:val="247352CB"/>
    <w:rsid w:val="248F097F"/>
    <w:rsid w:val="24E76A0D"/>
    <w:rsid w:val="25115838"/>
    <w:rsid w:val="25B6018D"/>
    <w:rsid w:val="27194E78"/>
    <w:rsid w:val="272950BB"/>
    <w:rsid w:val="27400452"/>
    <w:rsid w:val="277327DA"/>
    <w:rsid w:val="280B2A12"/>
    <w:rsid w:val="287A36F4"/>
    <w:rsid w:val="29E259F5"/>
    <w:rsid w:val="29EF3C6E"/>
    <w:rsid w:val="2A4915D0"/>
    <w:rsid w:val="2AAB5DE7"/>
    <w:rsid w:val="2B141BDE"/>
    <w:rsid w:val="2B381D70"/>
    <w:rsid w:val="2B3D7387"/>
    <w:rsid w:val="2B4D6E9E"/>
    <w:rsid w:val="2B512E32"/>
    <w:rsid w:val="2B732DA8"/>
    <w:rsid w:val="2B9845BD"/>
    <w:rsid w:val="2BB23F62"/>
    <w:rsid w:val="2BBF5FEE"/>
    <w:rsid w:val="2BCD4BB9"/>
    <w:rsid w:val="2BDF043E"/>
    <w:rsid w:val="2CB74F17"/>
    <w:rsid w:val="2CFE2B46"/>
    <w:rsid w:val="2D0143E4"/>
    <w:rsid w:val="2D1E4F96"/>
    <w:rsid w:val="2D667E8C"/>
    <w:rsid w:val="2DCF44E2"/>
    <w:rsid w:val="2E7C6418"/>
    <w:rsid w:val="2EA17C2D"/>
    <w:rsid w:val="2EBD258D"/>
    <w:rsid w:val="2F083808"/>
    <w:rsid w:val="2F8337D6"/>
    <w:rsid w:val="300C7328"/>
    <w:rsid w:val="31190EAF"/>
    <w:rsid w:val="31892EFB"/>
    <w:rsid w:val="31B1462B"/>
    <w:rsid w:val="3302586B"/>
    <w:rsid w:val="3361798A"/>
    <w:rsid w:val="34B00BC9"/>
    <w:rsid w:val="34ED20C2"/>
    <w:rsid w:val="355A48E4"/>
    <w:rsid w:val="358E07DF"/>
    <w:rsid w:val="359C2EFC"/>
    <w:rsid w:val="36062A6B"/>
    <w:rsid w:val="369A4114"/>
    <w:rsid w:val="369D33CF"/>
    <w:rsid w:val="378974B0"/>
    <w:rsid w:val="37A147F9"/>
    <w:rsid w:val="37DC3A83"/>
    <w:rsid w:val="382D0783"/>
    <w:rsid w:val="383438BF"/>
    <w:rsid w:val="39576A13"/>
    <w:rsid w:val="399F545E"/>
    <w:rsid w:val="3A4B3142"/>
    <w:rsid w:val="3ABE1B40"/>
    <w:rsid w:val="3B4262F3"/>
    <w:rsid w:val="3B491430"/>
    <w:rsid w:val="3B4958D4"/>
    <w:rsid w:val="3C8A61A4"/>
    <w:rsid w:val="3C925059"/>
    <w:rsid w:val="3D167A38"/>
    <w:rsid w:val="3D7A6218"/>
    <w:rsid w:val="3DD0408A"/>
    <w:rsid w:val="3DF00289"/>
    <w:rsid w:val="3E0755D2"/>
    <w:rsid w:val="3ED454B4"/>
    <w:rsid w:val="3F980F59"/>
    <w:rsid w:val="3F984734"/>
    <w:rsid w:val="3F9F1F66"/>
    <w:rsid w:val="40D64434"/>
    <w:rsid w:val="40F37AC3"/>
    <w:rsid w:val="410F0A26"/>
    <w:rsid w:val="41474664"/>
    <w:rsid w:val="418036D2"/>
    <w:rsid w:val="41E2613A"/>
    <w:rsid w:val="420C765B"/>
    <w:rsid w:val="42B51AA1"/>
    <w:rsid w:val="43AF029E"/>
    <w:rsid w:val="4530540F"/>
    <w:rsid w:val="45617CBE"/>
    <w:rsid w:val="45F12DF0"/>
    <w:rsid w:val="465B64BB"/>
    <w:rsid w:val="469C3B23"/>
    <w:rsid w:val="46D71FE6"/>
    <w:rsid w:val="46F34946"/>
    <w:rsid w:val="47460E91"/>
    <w:rsid w:val="479F062A"/>
    <w:rsid w:val="483E66B7"/>
    <w:rsid w:val="487C5347"/>
    <w:rsid w:val="49B650AE"/>
    <w:rsid w:val="49BB5BEF"/>
    <w:rsid w:val="4A713D5E"/>
    <w:rsid w:val="4B0B04B0"/>
    <w:rsid w:val="4B394939"/>
    <w:rsid w:val="4B63653E"/>
    <w:rsid w:val="4B8D7117"/>
    <w:rsid w:val="4C4D68A6"/>
    <w:rsid w:val="4D040C59"/>
    <w:rsid w:val="4D1D0480"/>
    <w:rsid w:val="4E52289A"/>
    <w:rsid w:val="4ED31854"/>
    <w:rsid w:val="4F5C39D0"/>
    <w:rsid w:val="4FD5108C"/>
    <w:rsid w:val="500F5A41"/>
    <w:rsid w:val="504306EC"/>
    <w:rsid w:val="50966A6E"/>
    <w:rsid w:val="50E235F4"/>
    <w:rsid w:val="51AC0513"/>
    <w:rsid w:val="52100AA2"/>
    <w:rsid w:val="52642B9B"/>
    <w:rsid w:val="52707792"/>
    <w:rsid w:val="53A70F92"/>
    <w:rsid w:val="53E73A84"/>
    <w:rsid w:val="53EB5322"/>
    <w:rsid w:val="540B649C"/>
    <w:rsid w:val="540E7263"/>
    <w:rsid w:val="546C17D8"/>
    <w:rsid w:val="547A48F8"/>
    <w:rsid w:val="54A43723"/>
    <w:rsid w:val="54A83213"/>
    <w:rsid w:val="54AB6860"/>
    <w:rsid w:val="54C16083"/>
    <w:rsid w:val="54DE09E3"/>
    <w:rsid w:val="553C395C"/>
    <w:rsid w:val="564D28DF"/>
    <w:rsid w:val="57466FE4"/>
    <w:rsid w:val="576378C6"/>
    <w:rsid w:val="584D65AC"/>
    <w:rsid w:val="58647451"/>
    <w:rsid w:val="586B07E0"/>
    <w:rsid w:val="58A91308"/>
    <w:rsid w:val="58B02697"/>
    <w:rsid w:val="594A6647"/>
    <w:rsid w:val="5A845B89"/>
    <w:rsid w:val="5AB81CD6"/>
    <w:rsid w:val="5C6F3A45"/>
    <w:rsid w:val="5C8C51C9"/>
    <w:rsid w:val="5D1D26CA"/>
    <w:rsid w:val="5E2D6537"/>
    <w:rsid w:val="5E4C4C10"/>
    <w:rsid w:val="5E624418"/>
    <w:rsid w:val="5EC155FD"/>
    <w:rsid w:val="5EDD61AF"/>
    <w:rsid w:val="5EFA466C"/>
    <w:rsid w:val="5F3F726F"/>
    <w:rsid w:val="5F790778"/>
    <w:rsid w:val="5F9B6061"/>
    <w:rsid w:val="60676AA6"/>
    <w:rsid w:val="60A616D2"/>
    <w:rsid w:val="60BD0047"/>
    <w:rsid w:val="60EF5D26"/>
    <w:rsid w:val="616E7593"/>
    <w:rsid w:val="617C3A5E"/>
    <w:rsid w:val="62685D90"/>
    <w:rsid w:val="628E5630"/>
    <w:rsid w:val="63DA0F0F"/>
    <w:rsid w:val="640E3409"/>
    <w:rsid w:val="64432611"/>
    <w:rsid w:val="65202952"/>
    <w:rsid w:val="65D42961"/>
    <w:rsid w:val="67010561"/>
    <w:rsid w:val="67746F85"/>
    <w:rsid w:val="67C021CA"/>
    <w:rsid w:val="6974326C"/>
    <w:rsid w:val="69AE49D0"/>
    <w:rsid w:val="6ACB7804"/>
    <w:rsid w:val="6B5C1D6B"/>
    <w:rsid w:val="6B7307FB"/>
    <w:rsid w:val="6B9876E6"/>
    <w:rsid w:val="6C1A00FB"/>
    <w:rsid w:val="6D3451EC"/>
    <w:rsid w:val="6D4B0788"/>
    <w:rsid w:val="6DB8406F"/>
    <w:rsid w:val="6DD4077E"/>
    <w:rsid w:val="6E056B89"/>
    <w:rsid w:val="6EBB6440"/>
    <w:rsid w:val="6EE70B67"/>
    <w:rsid w:val="704C4F43"/>
    <w:rsid w:val="710870BC"/>
    <w:rsid w:val="71463740"/>
    <w:rsid w:val="71700BFE"/>
    <w:rsid w:val="7275749B"/>
    <w:rsid w:val="72807126"/>
    <w:rsid w:val="72BA4EF0"/>
    <w:rsid w:val="72CB65F3"/>
    <w:rsid w:val="73974727"/>
    <w:rsid w:val="73D74B24"/>
    <w:rsid w:val="74065409"/>
    <w:rsid w:val="754937FF"/>
    <w:rsid w:val="754F6D17"/>
    <w:rsid w:val="75742F72"/>
    <w:rsid w:val="75840CDB"/>
    <w:rsid w:val="75986535"/>
    <w:rsid w:val="75F55735"/>
    <w:rsid w:val="763224E5"/>
    <w:rsid w:val="765D3A06"/>
    <w:rsid w:val="76805946"/>
    <w:rsid w:val="774C5829"/>
    <w:rsid w:val="77A318EC"/>
    <w:rsid w:val="78C95383"/>
    <w:rsid w:val="792F0F5E"/>
    <w:rsid w:val="79ED32F3"/>
    <w:rsid w:val="7A2F7467"/>
    <w:rsid w:val="7A4B0019"/>
    <w:rsid w:val="7A6115EB"/>
    <w:rsid w:val="7BCE2CB0"/>
    <w:rsid w:val="7C2D3E7B"/>
    <w:rsid w:val="7C484810"/>
    <w:rsid w:val="7C5022B6"/>
    <w:rsid w:val="7D823D52"/>
    <w:rsid w:val="7D9F4904"/>
    <w:rsid w:val="7DC46119"/>
    <w:rsid w:val="7DE95B7F"/>
    <w:rsid w:val="7EE06F82"/>
    <w:rsid w:val="7F2F214E"/>
    <w:rsid w:val="7F392B36"/>
    <w:rsid w:val="7F5E259D"/>
    <w:rsid w:val="7F67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12</Pages>
  <Words>4925</Words>
  <Characters>5133</Characters>
  <Lines>74</Lines>
  <Paragraphs>21</Paragraphs>
  <TotalTime>317</TotalTime>
  <ScaleCrop>false</ScaleCrop>
  <LinksUpToDate>false</LinksUpToDate>
  <CharactersWithSpaces>5472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2022-12-14T04:43:32Z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6D993A9E4E294810AEA66AC2053A427A</vt:lpwstr>
  </property>
</Properties>
</file>