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ascii="宋体"/>
          <w:b/>
          <w:sz w:val="28"/>
          <w:szCs w:val="28"/>
        </w:rPr>
      </w:pP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可燃气体报警器年度</w:t>
      </w:r>
      <w:r>
        <w:rPr>
          <w:rFonts w:hint="eastAsia" w:ascii="宋体" w:hAnsi="宋体"/>
          <w:b/>
          <w:sz w:val="36"/>
          <w:szCs w:val="36"/>
          <w:u w:val="single"/>
          <w:lang w:eastAsia="zh-CN"/>
        </w:rPr>
        <w:t>检定</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560"/>
        <w:jc w:val="center"/>
        <w:rPr>
          <w:rFonts w:hint="eastAsia" w:hAnsi="宋体" w:eastAsia="宋体"/>
          <w:b/>
          <w:sz w:val="28"/>
          <w:szCs w:val="28"/>
          <w:lang w:eastAsia="zh-CN"/>
        </w:rPr>
      </w:pPr>
      <w:r>
        <w:rPr>
          <w:rFonts w:hint="eastAsia" w:hAnsi="宋体"/>
          <w:b/>
          <w:sz w:val="44"/>
          <w:szCs w:val="44"/>
          <w:lang w:eastAsia="zh-CN"/>
        </w:rPr>
        <w:t>都江堰光明光电材料有限责任公司</w:t>
      </w: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二二年十</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都江堰光明光电材料有限责任公司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可燃气体报警器年度检定采购项目</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项目内容如下：</w:t>
      </w:r>
    </w:p>
    <w:tbl>
      <w:tblPr>
        <w:tblStyle w:val="16"/>
        <w:tblW w:w="10212" w:type="dxa"/>
        <w:tblInd w:w="-3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08"/>
        <w:gridCol w:w="1356"/>
        <w:gridCol w:w="924"/>
        <w:gridCol w:w="3204"/>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序号</w:t>
            </w:r>
          </w:p>
        </w:tc>
        <w:tc>
          <w:tcPr>
            <w:tcW w:w="2208"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服务项目</w:t>
            </w:r>
          </w:p>
        </w:tc>
        <w:tc>
          <w:tcPr>
            <w:tcW w:w="1356"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型号</w:t>
            </w:r>
          </w:p>
        </w:tc>
        <w:tc>
          <w:tcPr>
            <w:tcW w:w="924"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数量</w:t>
            </w:r>
          </w:p>
        </w:tc>
        <w:tc>
          <w:tcPr>
            <w:tcW w:w="3204"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检定标准</w:t>
            </w:r>
          </w:p>
        </w:tc>
        <w:tc>
          <w:tcPr>
            <w:tcW w:w="1692"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828" w:type="dxa"/>
          </w:tcPr>
          <w:p>
            <w:pPr>
              <w:spacing w:line="540" w:lineRule="exact"/>
              <w:jc w:val="center"/>
              <w:rPr>
                <w:rFonts w:asciiTheme="minorEastAsia" w:hAnsiTheme="minorEastAsia" w:eastAsiaTheme="minorEastAsia"/>
                <w:bCs/>
                <w:sz w:val="28"/>
                <w:szCs w:val="28"/>
              </w:rPr>
            </w:pPr>
            <w:r>
              <w:rPr>
                <w:rFonts w:hint="eastAsia" w:asciiTheme="minorEastAsia" w:hAnsiTheme="minorEastAsia" w:eastAsiaTheme="minorEastAsia"/>
                <w:bCs/>
                <w:sz w:val="28"/>
                <w:szCs w:val="28"/>
              </w:rPr>
              <w:t>1</w:t>
            </w:r>
          </w:p>
        </w:tc>
        <w:tc>
          <w:tcPr>
            <w:tcW w:w="2208" w:type="dxa"/>
          </w:tcPr>
          <w:p>
            <w:pPr>
              <w:spacing w:line="540" w:lineRule="exact"/>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可燃气体报警器年度检定</w:t>
            </w:r>
          </w:p>
        </w:tc>
        <w:tc>
          <w:tcPr>
            <w:tcW w:w="1356" w:type="dxa"/>
          </w:tcPr>
          <w:p>
            <w:pPr>
              <w:spacing w:line="540" w:lineRule="exact"/>
              <w:jc w:val="left"/>
              <w:rPr>
                <w:rFonts w:hint="default"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lang w:val="en-US" w:eastAsia="zh-CN"/>
              </w:rPr>
              <w:t>GT-EA201</w:t>
            </w:r>
          </w:p>
        </w:tc>
        <w:tc>
          <w:tcPr>
            <w:tcW w:w="924" w:type="dxa"/>
          </w:tcPr>
          <w:p>
            <w:pPr>
              <w:spacing w:line="540" w:lineRule="exact"/>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lang w:val="en-US" w:eastAsia="zh-CN"/>
              </w:rPr>
              <w:t>36</w:t>
            </w:r>
            <w:r>
              <w:rPr>
                <w:rFonts w:hint="eastAsia" w:asciiTheme="minorEastAsia" w:hAnsiTheme="minorEastAsia" w:eastAsiaTheme="minorEastAsia"/>
                <w:bCs/>
                <w:sz w:val="28"/>
                <w:szCs w:val="28"/>
              </w:rPr>
              <w:t>个</w:t>
            </w:r>
          </w:p>
        </w:tc>
        <w:tc>
          <w:tcPr>
            <w:tcW w:w="3204" w:type="dxa"/>
          </w:tcPr>
          <w:p>
            <w:pPr>
              <w:spacing w:line="540" w:lineRule="exact"/>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highlight w:val="none"/>
              </w:rPr>
              <w:t>JJG 693-20</w:t>
            </w:r>
            <w:r>
              <w:rPr>
                <w:rFonts w:hint="eastAsia" w:asciiTheme="minorEastAsia" w:hAnsiTheme="minorEastAsia" w:eastAsiaTheme="minorEastAsia"/>
                <w:bCs/>
                <w:sz w:val="28"/>
                <w:szCs w:val="28"/>
                <w:highlight w:val="none"/>
                <w:lang w:val="en-US" w:eastAsia="zh-CN"/>
              </w:rPr>
              <w:t>04</w:t>
            </w:r>
            <w:r>
              <w:rPr>
                <w:rFonts w:hint="eastAsia" w:asciiTheme="minorEastAsia" w:hAnsiTheme="minorEastAsia" w:eastAsiaTheme="minorEastAsia"/>
                <w:bCs/>
                <w:sz w:val="28"/>
                <w:szCs w:val="28"/>
                <w:highlight w:val="none"/>
              </w:rPr>
              <w:t>《可燃气体检测报警器检定规程》</w:t>
            </w:r>
          </w:p>
        </w:tc>
        <w:tc>
          <w:tcPr>
            <w:tcW w:w="1692" w:type="dxa"/>
          </w:tcPr>
          <w:p>
            <w:pPr>
              <w:spacing w:line="540" w:lineRule="exact"/>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检测并出具检测报告</w:t>
            </w:r>
          </w:p>
        </w:tc>
      </w:tr>
    </w:tbl>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（三）能提供和本业务相符的增值税专用发票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22年</w:t>
      </w:r>
      <w:r>
        <w:rPr>
          <w:rFonts w:hint="eastAsia" w:asciiTheme="minorEastAsia" w:hAnsiTheme="minorEastAsia" w:eastAsiaTheme="minorEastAsia"/>
          <w:sz w:val="28"/>
          <w:szCs w:val="28"/>
          <w:lang w:val="en-US" w:eastAsia="zh-CN"/>
        </w:rPr>
        <w:t>12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12</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22年</w:t>
      </w:r>
      <w:r>
        <w:rPr>
          <w:rFonts w:hint="eastAsia" w:asciiTheme="minorEastAsia" w:hAnsiTheme="minorEastAsia" w:eastAsiaTheme="minorEastAsia"/>
          <w:sz w:val="28"/>
          <w:szCs w:val="28"/>
          <w:lang w:val="en-US" w:eastAsia="zh-CN"/>
        </w:rPr>
        <w:t>12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19</w:t>
      </w:r>
      <w:r>
        <w:rPr>
          <w:rFonts w:hint="eastAsia" w:asciiTheme="minorEastAsia" w:hAnsiTheme="minorEastAsia" w:eastAsiaTheme="minorEastAsia"/>
          <w:sz w:val="28"/>
          <w:szCs w:val="28"/>
        </w:rPr>
        <w:t>日</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（一）递交截止时间：2022年</w:t>
      </w:r>
      <w:r>
        <w:rPr>
          <w:rFonts w:hint="eastAsia" w:asciiTheme="minorEastAsia" w:hAnsiTheme="minorEastAsia" w:eastAsiaTheme="minorEastAsia"/>
          <w:bCs/>
          <w:sz w:val="28"/>
          <w:szCs w:val="28"/>
          <w:lang w:val="en-US" w:eastAsia="zh-CN"/>
        </w:rPr>
        <w:t>12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19</w:t>
      </w:r>
      <w:r>
        <w:rPr>
          <w:rFonts w:hint="eastAsia" w:asciiTheme="minorEastAsia" w:hAnsiTheme="minorEastAsia" w:eastAsiaTheme="minorEastAsia"/>
          <w:bCs/>
          <w:sz w:val="28"/>
          <w:szCs w:val="28"/>
        </w:rPr>
        <w:t>日17：00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w:t>
      </w:r>
      <w:r>
        <w:rPr>
          <w:rFonts w:hint="eastAsia" w:asciiTheme="minorEastAsia" w:hAnsiTheme="minorEastAsia" w:eastAsiaTheme="minorEastAsia"/>
          <w:bCs/>
          <w:sz w:val="28"/>
          <w:szCs w:val="28"/>
          <w:lang w:eastAsia="zh-CN"/>
        </w:rPr>
        <w:t>都江堰市蒲阳镇光泰路</w:t>
      </w:r>
      <w:r>
        <w:rPr>
          <w:rFonts w:hint="eastAsia" w:asciiTheme="minorEastAsia" w:hAnsiTheme="minorEastAsia" w:eastAsiaTheme="minorEastAsia"/>
          <w:bCs/>
          <w:sz w:val="28"/>
          <w:szCs w:val="28"/>
          <w:lang w:val="en-US" w:eastAsia="zh-CN"/>
        </w:rPr>
        <w:t>10号</w:t>
      </w:r>
      <w:r>
        <w:rPr>
          <w:rFonts w:hint="eastAsia" w:asciiTheme="minorEastAsia" w:hAnsiTheme="minorEastAsia" w:eastAsiaTheme="minorEastAsia"/>
          <w:bCs/>
          <w:sz w:val="28"/>
          <w:szCs w:val="28"/>
        </w:rPr>
        <w:t xml:space="preserve"> </w:t>
      </w:r>
      <w:r>
        <w:rPr>
          <w:rFonts w:hint="eastAsia" w:asciiTheme="minorEastAsia" w:hAnsiTheme="minorEastAsia" w:eastAsiaTheme="minorEastAsia"/>
          <w:bCs/>
          <w:sz w:val="28"/>
          <w:szCs w:val="28"/>
          <w:lang w:eastAsia="zh-CN"/>
        </w:rPr>
        <w:t>都江堰光明光电材料有限责任公司</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财务</w:t>
      </w:r>
      <w:r>
        <w:rPr>
          <w:rFonts w:hint="eastAsia" w:asciiTheme="minorEastAsia" w:hAnsiTheme="minorEastAsia" w:eastAsiaTheme="minorEastAsia"/>
          <w:sz w:val="28"/>
          <w:szCs w:val="28"/>
        </w:rPr>
        <w:t>部：</w:t>
      </w:r>
      <w:r>
        <w:rPr>
          <w:rFonts w:hint="eastAsia" w:asciiTheme="minorEastAsia" w:hAnsiTheme="minorEastAsia" w:eastAsiaTheme="minorEastAsia"/>
          <w:sz w:val="28"/>
          <w:szCs w:val="28"/>
          <w:lang w:eastAsia="zh-CN"/>
        </w:rPr>
        <w:t>邓先生</w:t>
      </w:r>
      <w:r>
        <w:rPr>
          <w:rFonts w:hint="eastAsia" w:asciiTheme="minorEastAsia" w:hAnsiTheme="minorEastAsia" w:eastAsiaTheme="minorEastAsia"/>
          <w:sz w:val="28"/>
          <w:szCs w:val="28"/>
          <w:lang w:val="en-US" w:eastAsia="zh-CN"/>
        </w:rPr>
        <w:t xml:space="preserve">   028-87118620  </w:t>
      </w:r>
      <w:r>
        <w:rPr>
          <w:rFonts w:hint="eastAsia" w:asciiTheme="minorEastAsia" w:hAnsiTheme="minorEastAsia" w:eastAsiaTheme="minorEastAsia"/>
          <w:sz w:val="28"/>
          <w:szCs w:val="28"/>
        </w:rPr>
        <w:t>）</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w:t>
      </w:r>
      <w:r>
        <w:rPr>
          <w:rFonts w:hint="eastAsia" w:asciiTheme="minorEastAsia" w:hAnsiTheme="minorEastAsia" w:eastAsiaTheme="minorEastAsia"/>
          <w:sz w:val="28"/>
          <w:szCs w:val="28"/>
          <w:lang w:eastAsia="zh-CN"/>
        </w:rPr>
        <w:t>罗女士</w:t>
      </w:r>
      <w:r>
        <w:rPr>
          <w:rFonts w:hint="eastAsia" w:asciiTheme="minorEastAsia" w:hAnsiTheme="minorEastAsia" w:eastAsiaTheme="minorEastAsia"/>
          <w:sz w:val="28"/>
          <w:szCs w:val="28"/>
          <w:lang w:val="en-US" w:eastAsia="zh-CN"/>
        </w:rPr>
        <w:t xml:space="preserve">   18117914033</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eastAsia="zh-CN"/>
        </w:rPr>
        <w:t>（四）技术咨询人：杨先生</w:t>
      </w:r>
      <w:r>
        <w:rPr>
          <w:rFonts w:hint="eastAsia" w:asciiTheme="minorEastAsia" w:hAnsiTheme="minorEastAsia" w:eastAsiaTheme="minorEastAsia"/>
          <w:sz w:val="28"/>
          <w:szCs w:val="28"/>
          <w:lang w:val="en-US" w:eastAsia="zh-CN"/>
        </w:rPr>
        <w:t xml:space="preserve">   13668159561</w:t>
      </w: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五</w:t>
      </w:r>
      <w:r>
        <w:rPr>
          <w:rFonts w:hint="eastAsia" w:asciiTheme="minorEastAsia" w:hAnsiTheme="minorEastAsia" w:eastAsiaTheme="minorEastAsia"/>
          <w:sz w:val="28"/>
          <w:szCs w:val="28"/>
        </w:rPr>
        <w:t>）询价采购监督人：</w:t>
      </w:r>
      <w:r>
        <w:rPr>
          <w:rFonts w:hint="eastAsia" w:asciiTheme="minorEastAsia" w:hAnsiTheme="minorEastAsia" w:eastAsiaTheme="minorEastAsia"/>
          <w:sz w:val="28"/>
          <w:szCs w:val="28"/>
          <w:lang w:eastAsia="zh-CN"/>
        </w:rPr>
        <w:t>余女士</w:t>
      </w:r>
      <w:r>
        <w:rPr>
          <w:rFonts w:hint="eastAsia" w:asciiTheme="minorEastAsia" w:hAnsiTheme="minorEastAsia" w:eastAsiaTheme="minorEastAsia"/>
          <w:sz w:val="28"/>
          <w:szCs w:val="28"/>
          <w:lang w:val="en-US" w:eastAsia="zh-CN"/>
        </w:rPr>
        <w:t xml:space="preserve">    13568842997</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bCs/>
          <w:sz w:val="28"/>
          <w:szCs w:val="28"/>
        </w:rPr>
        <w:t>（</w:t>
      </w:r>
      <w:r>
        <w:rPr>
          <w:rFonts w:hint="eastAsia" w:asciiTheme="minorEastAsia" w:hAnsiTheme="minorEastAsia" w:eastAsiaTheme="minorEastAsia"/>
          <w:bCs/>
          <w:sz w:val="28"/>
          <w:szCs w:val="28"/>
          <w:lang w:eastAsia="zh-CN"/>
        </w:rPr>
        <w:t>六</w:t>
      </w:r>
      <w:r>
        <w:rPr>
          <w:rFonts w:hint="eastAsia" w:asciiTheme="minorEastAsia" w:hAnsiTheme="minorEastAsia" w:eastAsiaTheme="minorEastAsia"/>
          <w:bCs/>
          <w:sz w:val="28"/>
          <w:szCs w:val="28"/>
        </w:rPr>
        <w:t>）</w:t>
      </w:r>
      <w:r>
        <w:rPr>
          <w:rFonts w:hint="eastAsia" w:asciiTheme="minorEastAsia" w:hAnsiTheme="minorEastAsia" w:eastAsiaTheme="minorEastAsia"/>
          <w:sz w:val="28"/>
          <w:szCs w:val="28"/>
        </w:rPr>
        <w:t>所提供的各类资料须分别</w:t>
      </w:r>
      <w:r>
        <w:rPr>
          <w:rFonts w:asciiTheme="minorEastAsia" w:hAnsiTheme="minorEastAsia" w:eastAsiaTheme="minorEastAsia"/>
          <w:sz w:val="28"/>
          <w:szCs w:val="28"/>
        </w:rPr>
        <w:t>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七</w:t>
      </w:r>
      <w:r>
        <w:rPr>
          <w:rFonts w:hint="eastAsia" w:asciiTheme="minorEastAsia" w:hAnsiTheme="minorEastAsia" w:eastAsiaTheme="minorEastAsia"/>
          <w:sz w:val="28"/>
          <w:szCs w:val="28"/>
        </w:rPr>
        <w:t>）全部比价文件资料需装</w:t>
      </w:r>
      <w:r>
        <w:rPr>
          <w:rFonts w:asciiTheme="minorEastAsia" w:hAnsiTheme="minorEastAsia" w:eastAsiaTheme="minorEastAsia"/>
          <w:sz w:val="28"/>
          <w:szCs w:val="28"/>
        </w:rPr>
        <w:t>订成册</w:t>
      </w:r>
      <w:r>
        <w:rPr>
          <w:rFonts w:hint="eastAsia" w:asciiTheme="minorEastAsia" w:hAnsiTheme="minorEastAsia" w:eastAsiaTheme="minorEastAsia"/>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都江堰</w:t>
      </w:r>
      <w:r>
        <w:rPr>
          <w:rFonts w:hint="eastAsia" w:asciiTheme="minorEastAsia" w:hAnsiTheme="minorEastAsia" w:eastAsiaTheme="minorEastAsia"/>
          <w:sz w:val="28"/>
          <w:szCs w:val="28"/>
        </w:rPr>
        <w:t>光明光电</w:t>
      </w:r>
      <w:r>
        <w:rPr>
          <w:rFonts w:hint="eastAsia" w:asciiTheme="minorEastAsia" w:hAnsiTheme="minorEastAsia" w:eastAsiaTheme="minorEastAsia"/>
          <w:sz w:val="28"/>
          <w:szCs w:val="28"/>
          <w:lang w:eastAsia="zh-CN"/>
        </w:rPr>
        <w:t>材料</w:t>
      </w:r>
      <w:r>
        <w:rPr>
          <w:rFonts w:hint="eastAsia" w:asciiTheme="minorEastAsia" w:hAnsiTheme="minorEastAsia" w:eastAsiaTheme="minorEastAsia"/>
          <w:sz w:val="28"/>
          <w:szCs w:val="28"/>
        </w:rPr>
        <w:t>有限</w:t>
      </w:r>
      <w:r>
        <w:rPr>
          <w:rFonts w:hint="eastAsia" w:asciiTheme="minorEastAsia" w:hAnsiTheme="minorEastAsia" w:eastAsiaTheme="minorEastAsia"/>
          <w:sz w:val="28"/>
          <w:szCs w:val="28"/>
          <w:lang w:eastAsia="zh-CN"/>
        </w:rPr>
        <w:t>责任</w:t>
      </w:r>
      <w:r>
        <w:rPr>
          <w:rFonts w:hint="eastAsia" w:asciiTheme="minorEastAsia" w:hAnsiTheme="minorEastAsia" w:eastAsiaTheme="minorEastAsia"/>
          <w:sz w:val="28"/>
          <w:szCs w:val="28"/>
        </w:rPr>
        <w:t>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二0二二年十</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月十</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22"/>
        <w:gridCol w:w="3036"/>
        <w:gridCol w:w="56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22"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3036"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5674"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3036"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5674"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3036"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5674"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303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5674"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303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报价文件签字或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5674"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报价文件由供应商的法定代表人或其委托代理人签字并加盖单位章。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4"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303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报价文件提交份数</w:t>
            </w:r>
          </w:p>
        </w:tc>
        <w:tc>
          <w:tcPr>
            <w:tcW w:w="5674"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壹份</w:t>
            </w:r>
            <w:bookmarkStart w:id="2" w:name="_GoBack"/>
            <w:bookmarkEnd w:id="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303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报价文件装订要求</w:t>
            </w:r>
          </w:p>
        </w:tc>
        <w:tc>
          <w:tcPr>
            <w:tcW w:w="5674"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3036"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5674"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3036"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5674"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922"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3036"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5674"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2、报价表（格式自拟）；</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4、相关服务承诺</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w:t>
      </w:r>
      <w:r>
        <w:rPr>
          <w:rFonts w:hint="eastAsia" w:asciiTheme="minorEastAsia" w:hAnsiTheme="minorEastAsia" w:eastAsiaTheme="minorEastAsia"/>
          <w:sz w:val="28"/>
          <w:szCs w:val="28"/>
          <w:lang w:eastAsia="zh-CN"/>
        </w:rPr>
        <w:t>都江堰</w:t>
      </w:r>
      <w:r>
        <w:rPr>
          <w:rFonts w:hint="eastAsia" w:asciiTheme="minorEastAsia" w:hAnsiTheme="minorEastAsia" w:eastAsiaTheme="minorEastAsia"/>
          <w:sz w:val="28"/>
          <w:szCs w:val="28"/>
        </w:rPr>
        <w:t>光明光电</w:t>
      </w:r>
      <w:r>
        <w:rPr>
          <w:rFonts w:hint="eastAsia" w:asciiTheme="minorEastAsia" w:hAnsiTheme="minorEastAsia" w:eastAsiaTheme="minorEastAsia"/>
          <w:sz w:val="28"/>
          <w:szCs w:val="28"/>
          <w:lang w:eastAsia="zh-CN"/>
        </w:rPr>
        <w:t>材料</w:t>
      </w:r>
      <w:r>
        <w:rPr>
          <w:rFonts w:hint="eastAsia" w:asciiTheme="minorEastAsia" w:hAnsiTheme="minorEastAsia" w:eastAsiaTheme="minorEastAsia"/>
          <w:sz w:val="28"/>
          <w:szCs w:val="28"/>
        </w:rPr>
        <w:t>有限</w:t>
      </w:r>
      <w:r>
        <w:rPr>
          <w:rFonts w:hint="eastAsia" w:asciiTheme="minorEastAsia" w:hAnsiTheme="minorEastAsia" w:eastAsiaTheme="minorEastAsia"/>
          <w:sz w:val="28"/>
          <w:szCs w:val="28"/>
          <w:lang w:eastAsia="zh-CN"/>
        </w:rPr>
        <w:t>责任</w:t>
      </w:r>
      <w:r>
        <w:rPr>
          <w:rFonts w:hint="eastAsia" w:asciiTheme="minorEastAsia" w:hAnsiTheme="minorEastAsia" w:eastAsiaTheme="minorEastAsia"/>
          <w:sz w:val="28"/>
          <w:szCs w:val="28"/>
        </w:rPr>
        <w:t>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（二）对通过初审的报价文件，根据询价文件规定的评审程序及标准进行评价和比较。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1540" w:firstLineChars="350"/>
        <w:rPr>
          <w:rFonts w:hint="eastAsia" w:ascii="黑体" w:eastAsia="黑体" w:hAnsiTheme="minorEastAsia"/>
          <w:sz w:val="44"/>
          <w:szCs w:val="44"/>
        </w:rPr>
      </w:pPr>
    </w:p>
    <w:p>
      <w:pPr>
        <w:spacing w:line="540" w:lineRule="exact"/>
        <w:ind w:firstLine="1540" w:firstLineChars="350"/>
        <w:rPr>
          <w:rFonts w:ascii="黑体" w:eastAsia="黑体" w:hAnsiTheme="minorEastAsia"/>
          <w:sz w:val="44"/>
          <w:szCs w:val="44"/>
        </w:rPr>
      </w:pPr>
      <w:r>
        <w:rPr>
          <w:rFonts w:hint="eastAsia" w:ascii="黑体" w:eastAsia="黑体" w:hAnsiTheme="minorEastAsia"/>
          <w:sz w:val="44"/>
          <w:szCs w:val="44"/>
        </w:rPr>
        <w:t>第三部分 合同条款（部分）</w:t>
      </w:r>
    </w:p>
    <w:p>
      <w:pPr>
        <w:spacing w:line="460" w:lineRule="exact"/>
        <w:jc w:val="center"/>
        <w:outlineLvl w:val="0"/>
        <w:rPr>
          <w:rFonts w:ascii="宋体" w:hAnsi="宋体"/>
          <w:b/>
          <w:sz w:val="32"/>
        </w:rPr>
      </w:pPr>
      <w:r>
        <w:rPr>
          <w:rFonts w:hint="eastAsia" w:ascii="宋体" w:hAnsi="宋体"/>
          <w:b/>
          <w:sz w:val="32"/>
        </w:rPr>
        <w:t>计量器具检定/校准合同</w:t>
      </w:r>
    </w:p>
    <w:p>
      <w:pPr>
        <w:spacing w:line="540" w:lineRule="exact"/>
        <w:jc w:val="center"/>
        <w:rPr>
          <w:rFonts w:asciiTheme="minorEastAsia" w:hAnsiTheme="minorEastAsia" w:eastAsiaTheme="minorEastAsia"/>
          <w:sz w:val="24"/>
        </w:rPr>
      </w:pPr>
      <w:r>
        <w:rPr>
          <w:rFonts w:hint="eastAsia" w:ascii="宋体"/>
          <w:b/>
          <w:sz w:val="28"/>
          <w:szCs w:val="28"/>
        </w:rPr>
        <w:t xml:space="preserve">                                 </w:t>
      </w:r>
    </w:p>
    <w:p>
      <w:pPr>
        <w:spacing w:line="460" w:lineRule="exact"/>
        <w:jc w:val="center"/>
        <w:outlineLvl w:val="0"/>
        <w:rPr>
          <w:rFonts w:ascii="宋体" w:hAnsi="宋体"/>
          <w:b/>
        </w:rPr>
      </w:pPr>
    </w:p>
    <w:p>
      <w:pPr>
        <w:spacing w:line="460" w:lineRule="exact"/>
        <w:ind w:left="-718" w:leftChars="-342"/>
        <w:rPr>
          <w:rFonts w:ascii="宋体" w:hAnsi="宋体"/>
          <w:bCs/>
          <w:sz w:val="24"/>
        </w:rPr>
      </w:pPr>
      <w:r>
        <w:rPr>
          <w:rFonts w:hint="eastAsia" w:ascii="宋体" w:hAnsi="宋体"/>
          <w:bCs/>
          <w:sz w:val="24"/>
        </w:rPr>
        <w:t>甲方（委托方）：</w:t>
      </w:r>
      <w:r>
        <w:rPr>
          <w:rFonts w:hint="eastAsia" w:ascii="宋体" w:hAnsi="宋体"/>
          <w:bCs/>
          <w:sz w:val="24"/>
          <w:lang w:eastAsia="zh-CN"/>
        </w:rPr>
        <w:t>都江堰光明光电材料有限责任公司</w:t>
      </w:r>
      <w:r>
        <w:rPr>
          <w:rFonts w:hint="eastAsia" w:ascii="宋体" w:hAnsi="宋体"/>
          <w:bCs/>
          <w:sz w:val="24"/>
        </w:rPr>
        <w:t xml:space="preserve">   </w:t>
      </w:r>
    </w:p>
    <w:p>
      <w:pPr>
        <w:spacing w:line="460" w:lineRule="exact"/>
        <w:ind w:left="-718" w:leftChars="-342"/>
        <w:rPr>
          <w:rFonts w:ascii="宋体" w:hAnsi="宋体"/>
          <w:bCs/>
          <w:sz w:val="24"/>
        </w:rPr>
      </w:pPr>
      <w:r>
        <w:rPr>
          <w:rFonts w:hint="eastAsia" w:ascii="宋体" w:hAnsi="宋体"/>
          <w:bCs/>
          <w:sz w:val="24"/>
        </w:rPr>
        <w:t>地址:</w:t>
      </w:r>
      <w:r>
        <w:rPr>
          <w:rFonts w:hint="eastAsia" w:ascii="宋体" w:hAnsi="宋体"/>
          <w:bCs/>
          <w:sz w:val="24"/>
          <w:lang w:eastAsia="zh-CN"/>
        </w:rPr>
        <w:t>都江堰市蒲阳镇光泰路</w:t>
      </w:r>
      <w:r>
        <w:rPr>
          <w:rFonts w:hint="eastAsia" w:ascii="宋体" w:hAnsi="宋体"/>
          <w:bCs/>
          <w:sz w:val="24"/>
          <w:lang w:val="en-US" w:eastAsia="zh-CN"/>
        </w:rPr>
        <w:t>10号</w:t>
      </w:r>
      <w:r>
        <w:rPr>
          <w:rFonts w:hint="eastAsia" w:ascii="宋体" w:hAnsi="宋体"/>
          <w:bCs/>
          <w:sz w:val="24"/>
        </w:rPr>
        <w:t xml:space="preserve">                       </w:t>
      </w:r>
    </w:p>
    <w:p>
      <w:pPr>
        <w:spacing w:line="460" w:lineRule="exact"/>
        <w:ind w:left="-718" w:leftChars="-342"/>
        <w:rPr>
          <w:rFonts w:ascii="宋体" w:hAnsi="宋体"/>
          <w:bCs/>
          <w:sz w:val="24"/>
        </w:rPr>
      </w:pPr>
      <w:r>
        <w:rPr>
          <w:rFonts w:hint="eastAsia" w:ascii="宋体" w:hAnsi="宋体"/>
          <w:bCs/>
          <w:sz w:val="24"/>
        </w:rPr>
        <w:t>乙方：（受委托方）：</w:t>
      </w:r>
      <w:r>
        <w:rPr>
          <w:rFonts w:hint="eastAsia"/>
          <w:szCs w:val="21"/>
          <w:u w:val="single"/>
        </w:rPr>
        <w:t xml:space="preserve">                            </w:t>
      </w:r>
      <w:r>
        <w:rPr>
          <w:rFonts w:hint="eastAsia" w:ascii="宋体" w:hAnsi="宋体"/>
          <w:bCs/>
          <w:sz w:val="24"/>
        </w:rPr>
        <w:t xml:space="preserve">   </w:t>
      </w:r>
    </w:p>
    <w:p>
      <w:pPr>
        <w:spacing w:line="460" w:lineRule="exact"/>
        <w:ind w:left="-718" w:leftChars="-342"/>
        <w:rPr>
          <w:rFonts w:ascii="宋体" w:hAnsi="宋体"/>
          <w:bCs/>
          <w:sz w:val="24"/>
          <w:u w:val="single"/>
        </w:rPr>
      </w:pPr>
      <w:r>
        <w:rPr>
          <w:rFonts w:hint="eastAsia" w:ascii="宋体" w:hAnsi="宋体"/>
          <w:bCs/>
          <w:sz w:val="24"/>
        </w:rPr>
        <w:t>地址：</w:t>
      </w:r>
      <w:r>
        <w:rPr>
          <w:rFonts w:hint="eastAsia" w:eastAsia="黑体"/>
          <w:sz w:val="24"/>
          <w:u w:val="single"/>
        </w:rPr>
        <w:t xml:space="preserve">                           </w:t>
      </w:r>
    </w:p>
    <w:p>
      <w:pPr>
        <w:spacing w:line="460" w:lineRule="exact"/>
        <w:ind w:left="-718" w:leftChars="-342"/>
        <w:rPr>
          <w:rFonts w:ascii="宋体" w:hAnsi="宋体"/>
          <w:bCs/>
          <w:sz w:val="24"/>
        </w:rPr>
      </w:pPr>
      <w:r>
        <w:rPr>
          <w:rFonts w:hint="eastAsia" w:ascii="宋体" w:hAnsi="宋体"/>
          <w:bCs/>
          <w:sz w:val="24"/>
        </w:rPr>
        <w:t xml:space="preserve">     根据《中华人民共和国计量法》、《中华人民共和国计量法实施细则》等法律、法规的要求，甲方为确保单位内部质量管理体系的正常运行，保证计量器具的受检率，将需要检定/校准的计量器具委托乙方进行检定/校准。现将有关事项签订合同如下：</w:t>
      </w:r>
    </w:p>
    <w:p>
      <w:pPr>
        <w:pStyle w:val="34"/>
        <w:numPr>
          <w:ilvl w:val="0"/>
          <w:numId w:val="1"/>
        </w:numPr>
        <w:spacing w:line="460" w:lineRule="exact"/>
        <w:ind w:firstLineChars="0"/>
        <w:rPr>
          <w:rFonts w:hint="eastAsia" w:ascii="宋体" w:hAnsi="宋体"/>
          <w:bCs/>
          <w:sz w:val="24"/>
        </w:rPr>
      </w:pPr>
      <w:r>
        <w:rPr>
          <w:rFonts w:hint="eastAsia" w:ascii="宋体" w:hAnsi="宋体"/>
          <w:bCs/>
          <w:sz w:val="24"/>
        </w:rPr>
        <w:t>强制检定计量器具清单</w:t>
      </w:r>
    </w:p>
    <w:tbl>
      <w:tblPr>
        <w:tblStyle w:val="16"/>
        <w:tblW w:w="984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1776"/>
        <w:gridCol w:w="1224"/>
        <w:gridCol w:w="684"/>
        <w:gridCol w:w="1132"/>
        <w:gridCol w:w="1076"/>
        <w:gridCol w:w="2184"/>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spacing w:line="540" w:lineRule="exact"/>
              <w:jc w:val="center"/>
              <w:rPr>
                <w:rFonts w:ascii="宋体" w:hAnsi="宋体"/>
                <w:bCs/>
                <w:kern w:val="0"/>
                <w:sz w:val="18"/>
                <w:szCs w:val="18"/>
              </w:rPr>
            </w:pPr>
            <w:r>
              <w:rPr>
                <w:rFonts w:hint="eastAsia" w:ascii="宋体" w:hAnsi="宋体"/>
                <w:bCs/>
                <w:kern w:val="0"/>
                <w:sz w:val="18"/>
                <w:szCs w:val="18"/>
              </w:rPr>
              <w:t>序号</w:t>
            </w:r>
          </w:p>
        </w:tc>
        <w:tc>
          <w:tcPr>
            <w:tcW w:w="1776" w:type="dxa"/>
          </w:tcPr>
          <w:p>
            <w:pPr>
              <w:spacing w:line="540" w:lineRule="exact"/>
              <w:jc w:val="center"/>
              <w:rPr>
                <w:rFonts w:ascii="宋体" w:hAnsi="宋体"/>
                <w:bCs/>
                <w:kern w:val="0"/>
                <w:sz w:val="18"/>
                <w:szCs w:val="18"/>
              </w:rPr>
            </w:pPr>
            <w:r>
              <w:rPr>
                <w:rFonts w:hint="eastAsia" w:ascii="宋体" w:hAnsi="宋体"/>
                <w:bCs/>
                <w:kern w:val="0"/>
                <w:sz w:val="18"/>
                <w:szCs w:val="18"/>
              </w:rPr>
              <w:t>服务项目</w:t>
            </w:r>
          </w:p>
        </w:tc>
        <w:tc>
          <w:tcPr>
            <w:tcW w:w="1224" w:type="dxa"/>
          </w:tcPr>
          <w:p>
            <w:pPr>
              <w:spacing w:line="540" w:lineRule="exact"/>
              <w:jc w:val="center"/>
              <w:rPr>
                <w:rFonts w:ascii="宋体" w:hAnsi="宋体"/>
                <w:bCs/>
                <w:kern w:val="0"/>
                <w:sz w:val="18"/>
                <w:szCs w:val="18"/>
              </w:rPr>
            </w:pPr>
            <w:r>
              <w:rPr>
                <w:rFonts w:hint="eastAsia" w:ascii="宋体" w:hAnsi="宋体"/>
                <w:bCs/>
                <w:kern w:val="0"/>
                <w:sz w:val="18"/>
                <w:szCs w:val="18"/>
              </w:rPr>
              <w:t>型号</w:t>
            </w:r>
          </w:p>
        </w:tc>
        <w:tc>
          <w:tcPr>
            <w:tcW w:w="684" w:type="dxa"/>
          </w:tcPr>
          <w:p>
            <w:pPr>
              <w:spacing w:line="540" w:lineRule="exact"/>
              <w:jc w:val="center"/>
              <w:rPr>
                <w:rFonts w:ascii="宋体" w:hAnsi="宋体"/>
                <w:bCs/>
                <w:kern w:val="0"/>
                <w:sz w:val="18"/>
                <w:szCs w:val="18"/>
              </w:rPr>
            </w:pPr>
            <w:r>
              <w:rPr>
                <w:rFonts w:hint="eastAsia" w:ascii="宋体" w:hAnsi="宋体"/>
                <w:bCs/>
                <w:kern w:val="0"/>
                <w:sz w:val="18"/>
                <w:szCs w:val="18"/>
              </w:rPr>
              <w:t>数量</w:t>
            </w:r>
          </w:p>
        </w:tc>
        <w:tc>
          <w:tcPr>
            <w:tcW w:w="1132" w:type="dxa"/>
          </w:tcPr>
          <w:p>
            <w:pPr>
              <w:spacing w:line="540" w:lineRule="exact"/>
              <w:jc w:val="center"/>
              <w:rPr>
                <w:rFonts w:ascii="宋体" w:hAnsi="宋体"/>
                <w:bCs/>
                <w:kern w:val="0"/>
                <w:sz w:val="18"/>
                <w:szCs w:val="18"/>
              </w:rPr>
            </w:pPr>
            <w:r>
              <w:rPr>
                <w:rFonts w:hint="eastAsia" w:ascii="宋体" w:hAnsi="宋体"/>
                <w:bCs/>
                <w:kern w:val="0"/>
                <w:sz w:val="18"/>
                <w:szCs w:val="18"/>
              </w:rPr>
              <w:t>单价</w:t>
            </w:r>
          </w:p>
        </w:tc>
        <w:tc>
          <w:tcPr>
            <w:tcW w:w="1076" w:type="dxa"/>
          </w:tcPr>
          <w:p>
            <w:pPr>
              <w:spacing w:line="540" w:lineRule="exact"/>
              <w:jc w:val="center"/>
              <w:rPr>
                <w:rFonts w:ascii="宋体" w:hAnsi="宋体"/>
                <w:bCs/>
                <w:kern w:val="0"/>
                <w:sz w:val="18"/>
                <w:szCs w:val="18"/>
              </w:rPr>
            </w:pPr>
            <w:r>
              <w:rPr>
                <w:rFonts w:hint="eastAsia" w:ascii="宋体" w:hAnsi="宋体"/>
                <w:bCs/>
                <w:kern w:val="0"/>
                <w:sz w:val="18"/>
                <w:szCs w:val="18"/>
              </w:rPr>
              <w:t>总价</w:t>
            </w:r>
          </w:p>
        </w:tc>
        <w:tc>
          <w:tcPr>
            <w:tcW w:w="2184" w:type="dxa"/>
          </w:tcPr>
          <w:p>
            <w:pPr>
              <w:spacing w:line="540" w:lineRule="exact"/>
              <w:jc w:val="center"/>
              <w:rPr>
                <w:rFonts w:ascii="宋体" w:hAnsi="宋体"/>
                <w:bCs/>
                <w:kern w:val="0"/>
                <w:sz w:val="18"/>
                <w:szCs w:val="18"/>
              </w:rPr>
            </w:pPr>
            <w:r>
              <w:rPr>
                <w:rFonts w:hint="eastAsia" w:ascii="宋体" w:hAnsi="宋体"/>
                <w:bCs/>
                <w:kern w:val="0"/>
                <w:sz w:val="18"/>
                <w:szCs w:val="18"/>
              </w:rPr>
              <w:t>检定标准</w:t>
            </w:r>
          </w:p>
        </w:tc>
        <w:tc>
          <w:tcPr>
            <w:tcW w:w="1020" w:type="dxa"/>
          </w:tcPr>
          <w:p>
            <w:pPr>
              <w:spacing w:line="540" w:lineRule="exact"/>
              <w:jc w:val="center"/>
              <w:rPr>
                <w:rFonts w:ascii="宋体" w:hAnsi="宋体"/>
                <w:bCs/>
                <w:kern w:val="0"/>
                <w:sz w:val="18"/>
                <w:szCs w:val="18"/>
              </w:rPr>
            </w:pPr>
            <w:r>
              <w:rPr>
                <w:rFonts w:hint="eastAsia" w:ascii="宋体" w:hAnsi="宋体"/>
                <w:bCs/>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752" w:type="dxa"/>
            <w:vAlign w:val="center"/>
          </w:tcPr>
          <w:p>
            <w:pPr>
              <w:spacing w:line="540" w:lineRule="exact"/>
              <w:jc w:val="center"/>
              <w:rPr>
                <w:rFonts w:ascii="宋体" w:hAnsi="宋体"/>
                <w:bCs/>
                <w:kern w:val="0"/>
                <w:sz w:val="18"/>
                <w:szCs w:val="18"/>
              </w:rPr>
            </w:pPr>
            <w:r>
              <w:rPr>
                <w:rFonts w:hint="eastAsia" w:ascii="宋体" w:hAnsi="宋体"/>
                <w:bCs/>
                <w:kern w:val="0"/>
                <w:sz w:val="18"/>
                <w:szCs w:val="18"/>
              </w:rPr>
              <w:t>1</w:t>
            </w:r>
          </w:p>
        </w:tc>
        <w:tc>
          <w:tcPr>
            <w:tcW w:w="1776" w:type="dxa"/>
            <w:vAlign w:val="center"/>
          </w:tcPr>
          <w:p>
            <w:pPr>
              <w:spacing w:line="540" w:lineRule="exact"/>
              <w:jc w:val="center"/>
              <w:rPr>
                <w:rFonts w:ascii="宋体" w:hAnsi="宋体"/>
                <w:bCs/>
                <w:kern w:val="0"/>
                <w:sz w:val="18"/>
                <w:szCs w:val="18"/>
              </w:rPr>
            </w:pPr>
            <w:r>
              <w:rPr>
                <w:rFonts w:hint="eastAsia" w:ascii="宋体" w:hAnsi="宋体"/>
                <w:bCs/>
                <w:kern w:val="0"/>
                <w:sz w:val="18"/>
                <w:szCs w:val="18"/>
              </w:rPr>
              <w:t>可燃气体报警器年度检定</w:t>
            </w:r>
          </w:p>
        </w:tc>
        <w:tc>
          <w:tcPr>
            <w:tcW w:w="1224" w:type="dxa"/>
            <w:vAlign w:val="top"/>
          </w:tcPr>
          <w:p>
            <w:pPr>
              <w:spacing w:line="540" w:lineRule="exact"/>
              <w:jc w:val="left"/>
              <w:rPr>
                <w:rFonts w:hint="eastAsia" w:asciiTheme="minorEastAsia" w:hAnsiTheme="minorEastAsia" w:eastAsiaTheme="minorEastAsia"/>
                <w:bCs/>
                <w:sz w:val="28"/>
                <w:szCs w:val="28"/>
                <w:lang w:val="en-US" w:eastAsia="zh-CN"/>
              </w:rPr>
            </w:pPr>
          </w:p>
          <w:p>
            <w:pPr>
              <w:spacing w:line="540" w:lineRule="exact"/>
              <w:jc w:val="left"/>
              <w:rPr>
                <w:rFonts w:hint="default" w:cs="Times New Roman" w:asciiTheme="minorEastAsia" w:hAnsiTheme="minorEastAsia" w:eastAsiaTheme="minorEastAsia"/>
                <w:bCs/>
                <w:kern w:val="2"/>
                <w:sz w:val="28"/>
                <w:szCs w:val="28"/>
                <w:lang w:val="en-US" w:eastAsia="zh-CN" w:bidi="ar-SA"/>
              </w:rPr>
            </w:pPr>
            <w:r>
              <w:rPr>
                <w:rFonts w:hint="eastAsia" w:ascii="宋体" w:hAnsi="宋体"/>
                <w:bCs/>
                <w:kern w:val="0"/>
                <w:sz w:val="18"/>
                <w:szCs w:val="18"/>
                <w:lang w:val="en-US" w:eastAsia="zh-CN"/>
              </w:rPr>
              <w:t>GT-EA201</w:t>
            </w:r>
          </w:p>
        </w:tc>
        <w:tc>
          <w:tcPr>
            <w:tcW w:w="684" w:type="dxa"/>
            <w:vAlign w:val="center"/>
          </w:tcPr>
          <w:p>
            <w:pPr>
              <w:spacing w:line="540" w:lineRule="exact"/>
              <w:jc w:val="center"/>
              <w:rPr>
                <w:rFonts w:hint="default" w:ascii="宋体" w:hAnsi="宋体" w:eastAsia="宋体"/>
                <w:bCs/>
                <w:kern w:val="0"/>
                <w:sz w:val="18"/>
                <w:szCs w:val="18"/>
                <w:lang w:val="en-US" w:eastAsia="zh-CN"/>
              </w:rPr>
            </w:pPr>
            <w:r>
              <w:rPr>
                <w:rFonts w:hint="eastAsia" w:ascii="宋体" w:hAnsi="宋体"/>
                <w:bCs/>
                <w:kern w:val="0"/>
                <w:sz w:val="18"/>
                <w:szCs w:val="18"/>
                <w:lang w:val="en-US" w:eastAsia="zh-CN"/>
              </w:rPr>
              <w:t>36</w:t>
            </w:r>
          </w:p>
        </w:tc>
        <w:tc>
          <w:tcPr>
            <w:tcW w:w="1132" w:type="dxa"/>
            <w:vAlign w:val="center"/>
          </w:tcPr>
          <w:p>
            <w:pPr>
              <w:spacing w:line="540" w:lineRule="exact"/>
              <w:jc w:val="center"/>
              <w:rPr>
                <w:rFonts w:ascii="宋体" w:hAnsi="宋体"/>
                <w:bCs/>
                <w:kern w:val="0"/>
                <w:sz w:val="18"/>
                <w:szCs w:val="18"/>
              </w:rPr>
            </w:pPr>
          </w:p>
        </w:tc>
        <w:tc>
          <w:tcPr>
            <w:tcW w:w="1076" w:type="dxa"/>
            <w:vAlign w:val="center"/>
          </w:tcPr>
          <w:p>
            <w:pPr>
              <w:spacing w:line="540" w:lineRule="exact"/>
              <w:jc w:val="center"/>
              <w:rPr>
                <w:rFonts w:ascii="宋体" w:hAnsi="宋体"/>
                <w:bCs/>
                <w:kern w:val="0"/>
                <w:sz w:val="18"/>
                <w:szCs w:val="18"/>
              </w:rPr>
            </w:pPr>
          </w:p>
        </w:tc>
        <w:tc>
          <w:tcPr>
            <w:tcW w:w="2184" w:type="dxa"/>
            <w:vAlign w:val="top"/>
          </w:tcPr>
          <w:p>
            <w:pPr>
              <w:spacing w:line="540" w:lineRule="exact"/>
              <w:jc w:val="left"/>
              <w:rPr>
                <w:rFonts w:cs="Times New Roman" w:asciiTheme="minorEastAsia" w:hAnsiTheme="minorEastAsia" w:eastAsiaTheme="minorEastAsia"/>
                <w:bCs/>
                <w:kern w:val="2"/>
                <w:sz w:val="28"/>
                <w:szCs w:val="28"/>
                <w:lang w:val="en-US" w:eastAsia="zh-CN" w:bidi="ar-SA"/>
              </w:rPr>
            </w:pPr>
            <w:r>
              <w:rPr>
                <w:rFonts w:hint="eastAsia" w:ascii="宋体" w:hAnsi="宋体"/>
                <w:bCs/>
                <w:kern w:val="0"/>
                <w:sz w:val="18"/>
                <w:szCs w:val="18"/>
              </w:rPr>
              <w:t>JJG 693-20</w:t>
            </w:r>
            <w:r>
              <w:rPr>
                <w:rFonts w:hint="eastAsia" w:ascii="宋体" w:hAnsi="宋体"/>
                <w:bCs/>
                <w:kern w:val="0"/>
                <w:sz w:val="18"/>
                <w:szCs w:val="18"/>
                <w:lang w:val="en-US" w:eastAsia="zh-CN"/>
              </w:rPr>
              <w:t>04</w:t>
            </w:r>
            <w:r>
              <w:rPr>
                <w:rFonts w:hint="eastAsia" w:ascii="宋体" w:hAnsi="宋体"/>
                <w:bCs/>
                <w:kern w:val="0"/>
                <w:sz w:val="18"/>
                <w:szCs w:val="18"/>
              </w:rPr>
              <w:t>《可燃气体检测报警器检定规程》</w:t>
            </w:r>
          </w:p>
        </w:tc>
        <w:tc>
          <w:tcPr>
            <w:tcW w:w="1020" w:type="dxa"/>
          </w:tcPr>
          <w:p>
            <w:pPr>
              <w:spacing w:line="540" w:lineRule="exact"/>
              <w:rPr>
                <w:rFonts w:ascii="宋体" w:hAnsi="宋体"/>
                <w:bCs/>
                <w:kern w:val="0"/>
                <w:sz w:val="18"/>
                <w:szCs w:val="18"/>
              </w:rPr>
            </w:pPr>
          </w:p>
        </w:tc>
      </w:tr>
    </w:tbl>
    <w:p>
      <w:pPr>
        <w:spacing w:line="460" w:lineRule="exact"/>
        <w:jc w:val="left"/>
        <w:rPr>
          <w:rFonts w:ascii="宋体" w:hAnsi="宋体"/>
          <w:bCs/>
          <w:sz w:val="24"/>
        </w:rPr>
      </w:pPr>
      <w:r>
        <w:rPr>
          <w:rFonts w:hint="eastAsia" w:ascii="宋体" w:hAnsi="宋体"/>
          <w:bCs/>
          <w:sz w:val="24"/>
          <w:szCs w:val="22"/>
        </w:rPr>
        <w:t>二、</w:t>
      </w:r>
      <w:r>
        <w:rPr>
          <w:rFonts w:hint="eastAsia" w:ascii="宋体" w:hAnsi="宋体"/>
          <w:bCs/>
          <w:sz w:val="24"/>
        </w:rPr>
        <w:t>权利和义务</w:t>
      </w:r>
    </w:p>
    <w:p>
      <w:pPr>
        <w:spacing w:line="460" w:lineRule="exact"/>
        <w:ind w:left="-701" w:leftChars="-334" w:right="10" w:rightChars="5" w:firstLine="480" w:firstLineChars="200"/>
        <w:rPr>
          <w:rFonts w:ascii="宋体" w:hAnsi="宋体"/>
          <w:bCs/>
          <w:sz w:val="24"/>
        </w:rPr>
      </w:pPr>
      <w:r>
        <w:rPr>
          <w:rFonts w:hint="eastAsia" w:ascii="宋体" w:hAnsi="宋体"/>
          <w:bCs/>
          <w:sz w:val="24"/>
        </w:rPr>
        <w:t>1、甲方有权查验乙方的检定/校准资质，必要时可索取有关资质证明的复印件。乙方有义务提供检定/校准证明。</w:t>
      </w:r>
    </w:p>
    <w:p>
      <w:pPr>
        <w:spacing w:line="460" w:lineRule="exact"/>
        <w:ind w:left="-701" w:leftChars="-334" w:firstLine="480" w:firstLineChars="200"/>
        <w:rPr>
          <w:rFonts w:ascii="宋体" w:hAnsi="宋体"/>
          <w:bCs/>
          <w:sz w:val="24"/>
        </w:rPr>
      </w:pPr>
      <w:r>
        <w:rPr>
          <w:rFonts w:hint="eastAsia" w:ascii="宋体" w:hAnsi="宋体"/>
          <w:bCs/>
          <w:sz w:val="24"/>
        </w:rPr>
        <w:t>2、甲方应根据企业质量管理体系的要求，对所有强制检定计量器具登记造册，制定周期检定计划，并根据乙方要求提供强制检定计量器具清单和其他委托检定计量器具清单各一份，作为合同附件。</w:t>
      </w:r>
    </w:p>
    <w:p>
      <w:pPr>
        <w:spacing w:line="460" w:lineRule="exact"/>
        <w:ind w:left="-701" w:leftChars="-334" w:firstLine="480" w:firstLineChars="200"/>
        <w:rPr>
          <w:rFonts w:ascii="宋体" w:hAnsi="宋体"/>
          <w:bCs/>
          <w:sz w:val="24"/>
        </w:rPr>
      </w:pPr>
      <w:r>
        <w:rPr>
          <w:rFonts w:hint="eastAsia" w:ascii="宋体" w:hAnsi="宋体"/>
          <w:bCs/>
          <w:sz w:val="24"/>
        </w:rPr>
        <w:t>3、乙方应对甲方提供的检定/校准清单进行认真的评审，对超出乙方检定/校准能力范围的计量器具提出检定/校准建议或提供相关信息。</w:t>
      </w:r>
    </w:p>
    <w:p>
      <w:pPr>
        <w:spacing w:line="460" w:lineRule="exact"/>
        <w:ind w:left="-701" w:leftChars="-334" w:firstLine="480" w:firstLineChars="200"/>
        <w:rPr>
          <w:rFonts w:ascii="宋体" w:hAnsi="宋体"/>
          <w:bCs/>
          <w:sz w:val="24"/>
        </w:rPr>
      </w:pPr>
      <w:r>
        <w:rPr>
          <w:rFonts w:hint="eastAsia" w:ascii="宋体" w:hAnsi="宋体"/>
          <w:bCs/>
          <w:sz w:val="24"/>
        </w:rPr>
        <w:t>4、甲方需乙方提供现场检定/校准服务的，甲方应提供相应的辅助人员、设备及与检定/校准条件相符合的检定/校准场所。</w:t>
      </w:r>
    </w:p>
    <w:p>
      <w:pPr>
        <w:spacing w:line="460" w:lineRule="exact"/>
        <w:ind w:left="-701" w:leftChars="-334" w:firstLine="480" w:firstLineChars="200"/>
        <w:rPr>
          <w:rFonts w:ascii="宋体" w:hAnsi="宋体"/>
          <w:bCs/>
          <w:sz w:val="24"/>
        </w:rPr>
      </w:pPr>
      <w:r>
        <w:rPr>
          <w:rFonts w:hint="eastAsia" w:ascii="宋体" w:hAnsi="宋体"/>
          <w:bCs/>
          <w:sz w:val="24"/>
        </w:rPr>
        <w:t>5、乙方的检定/校准人员应持有相应检定项目的检定员证，检定/校准时应严格按照检定规程/校准规范的条款进行检定/校准。检定/校准应按附件约定时间进行。</w:t>
      </w:r>
    </w:p>
    <w:p>
      <w:pPr>
        <w:spacing w:line="460" w:lineRule="exact"/>
        <w:ind w:left="-701" w:leftChars="-334" w:firstLine="480" w:firstLineChars="200"/>
        <w:rPr>
          <w:rFonts w:ascii="宋体" w:hAnsi="宋体"/>
          <w:bCs/>
          <w:sz w:val="24"/>
        </w:rPr>
      </w:pPr>
      <w:r>
        <w:rPr>
          <w:rFonts w:hint="eastAsia" w:ascii="宋体" w:hAnsi="宋体"/>
          <w:bCs/>
          <w:sz w:val="24"/>
        </w:rPr>
        <w:t>6、乙方在检定/校准过程中如需要相关技术资料，甲方应予提供。乙方应为甲方保守技术和商业机密，同时不得使用甲方的技术机密进行技术开发。</w:t>
      </w:r>
    </w:p>
    <w:p>
      <w:pPr>
        <w:spacing w:line="460" w:lineRule="exact"/>
        <w:ind w:left="-701" w:leftChars="-334" w:firstLine="480" w:firstLineChars="200"/>
        <w:rPr>
          <w:rFonts w:ascii="宋体" w:hAnsi="宋体"/>
          <w:bCs/>
          <w:sz w:val="24"/>
        </w:rPr>
      </w:pPr>
      <w:r>
        <w:rPr>
          <w:rFonts w:hint="eastAsia" w:ascii="宋体" w:hAnsi="宋体"/>
          <w:bCs/>
          <w:sz w:val="24"/>
        </w:rPr>
        <w:t>7、乙方在检定/校准过程中，如发现有不合格的计量器具，应及时与甲方联系，待甲方确认需要修理后，方可修理、调试。</w:t>
      </w:r>
    </w:p>
    <w:p>
      <w:pPr>
        <w:spacing w:line="460" w:lineRule="exact"/>
        <w:ind w:left="-701" w:leftChars="-334" w:firstLine="480" w:firstLineChars="200"/>
        <w:rPr>
          <w:rFonts w:ascii="宋体" w:hAnsi="宋体"/>
          <w:bCs/>
          <w:sz w:val="24"/>
        </w:rPr>
      </w:pPr>
      <w:r>
        <w:rPr>
          <w:rFonts w:hint="eastAsia" w:ascii="宋体" w:hAnsi="宋体"/>
          <w:bCs/>
          <w:sz w:val="24"/>
        </w:rPr>
        <w:t>8、乙方在检定/校准结束后应出具具有法定效力的计量检定证书/校准证书（报告）或检定结果通知书。</w:t>
      </w:r>
    </w:p>
    <w:p>
      <w:pPr>
        <w:spacing w:line="460" w:lineRule="exact"/>
        <w:ind w:left="-674" w:leftChars="-321" w:firstLine="480" w:firstLineChars="200"/>
        <w:rPr>
          <w:rFonts w:ascii="宋体" w:hAnsi="宋体"/>
          <w:bCs/>
          <w:sz w:val="24"/>
        </w:rPr>
      </w:pPr>
      <w:r>
        <w:rPr>
          <w:rFonts w:hint="eastAsia" w:ascii="宋体" w:hAnsi="宋体"/>
          <w:bCs/>
          <w:sz w:val="24"/>
        </w:rPr>
        <w:t>9、乙方应按（照物价局核定的计量检定收费标准收取强制检定计量器具检定费。）委托检定/校准的计量器具协议收费。</w:t>
      </w:r>
    </w:p>
    <w:p>
      <w:pPr>
        <w:spacing w:line="460" w:lineRule="exact"/>
        <w:ind w:left="-701" w:leftChars="-334" w:firstLine="480" w:firstLineChars="200"/>
        <w:rPr>
          <w:rFonts w:ascii="宋体" w:hAnsi="宋体"/>
          <w:bCs/>
          <w:sz w:val="24"/>
        </w:rPr>
      </w:pPr>
      <w:r>
        <w:rPr>
          <w:rFonts w:hint="eastAsia" w:ascii="宋体" w:hAnsi="宋体"/>
          <w:bCs/>
          <w:sz w:val="24"/>
        </w:rPr>
        <w:t>10、甲方同意支付乙方强制检定/校准计量器具检定调试费</w:t>
      </w:r>
      <w:r>
        <w:rPr>
          <w:rFonts w:hint="eastAsia" w:ascii="宋体" w:hAnsi="宋体"/>
          <w:bCs/>
          <w:sz w:val="24"/>
          <w:u w:val="single"/>
        </w:rPr>
        <w:t xml:space="preserve">     </w:t>
      </w:r>
      <w:r>
        <w:rPr>
          <w:rFonts w:hint="eastAsia" w:ascii="宋体" w:hAnsi="宋体"/>
          <w:bCs/>
          <w:sz w:val="24"/>
        </w:rPr>
        <w:t>元/台，计量所出具报告费</w:t>
      </w:r>
      <w:r>
        <w:rPr>
          <w:rFonts w:hint="eastAsia" w:ascii="宋体" w:hAnsi="宋体"/>
          <w:bCs/>
          <w:sz w:val="24"/>
          <w:u w:val="single"/>
        </w:rPr>
        <w:t xml:space="preserve">    （</w:t>
      </w:r>
      <w:r>
        <w:rPr>
          <w:rFonts w:hint="eastAsia" w:ascii="宋体" w:hAnsi="宋体"/>
          <w:bCs/>
          <w:sz w:val="24"/>
        </w:rPr>
        <w:t>元/台），合计费用</w:t>
      </w:r>
      <w:r>
        <w:rPr>
          <w:rFonts w:hint="eastAsia" w:ascii="宋体" w:hAnsi="宋体"/>
          <w:bCs/>
          <w:sz w:val="24"/>
          <w:u w:val="single"/>
        </w:rPr>
        <w:t xml:space="preserve">     元</w:t>
      </w:r>
      <w:r>
        <w:rPr>
          <w:rFonts w:hint="eastAsia" w:ascii="宋体" w:hAnsi="宋体"/>
          <w:bCs/>
          <w:sz w:val="24"/>
        </w:rPr>
        <w:t>，乙方应及时将检定/校准证书交付甲方，甲方收到检定/校准证书后15天内应及时将该费用付到乙方帐户，具体详见清单计算。</w:t>
      </w:r>
    </w:p>
    <w:p>
      <w:pPr>
        <w:spacing w:line="460" w:lineRule="exact"/>
        <w:ind w:left="-701" w:leftChars="-334" w:firstLine="480" w:firstLineChars="200"/>
        <w:rPr>
          <w:rFonts w:ascii="宋体" w:hAnsi="宋体"/>
          <w:bCs/>
          <w:sz w:val="24"/>
        </w:rPr>
      </w:pPr>
      <w:r>
        <w:rPr>
          <w:rFonts w:hint="eastAsia" w:ascii="宋体" w:hAnsi="宋体"/>
          <w:bCs/>
          <w:sz w:val="24"/>
        </w:rPr>
        <w:t>11、甲方提交乙方检定/校准的计量器具和乙方检定/校准后的计量器具相互交接时接收方应检查验收并签字确认。修理费等其他费用按照实际情况另行协议。</w:t>
      </w:r>
    </w:p>
    <w:p>
      <w:pPr>
        <w:spacing w:line="460" w:lineRule="exact"/>
        <w:ind w:left="-342" w:leftChars="-163"/>
        <w:outlineLvl w:val="0"/>
        <w:rPr>
          <w:rFonts w:ascii="宋体" w:hAnsi="宋体"/>
          <w:bCs/>
          <w:sz w:val="24"/>
        </w:rPr>
      </w:pPr>
      <w:r>
        <w:rPr>
          <w:rFonts w:hint="eastAsia" w:ascii="宋体" w:hAnsi="宋体"/>
          <w:bCs/>
          <w:sz w:val="24"/>
        </w:rPr>
        <w:t>三、违约责任</w:t>
      </w:r>
    </w:p>
    <w:p>
      <w:pPr>
        <w:spacing w:line="460" w:lineRule="exact"/>
        <w:ind w:left="-701" w:leftChars="-334" w:right="-224" w:rightChars="-107" w:firstLine="480" w:firstLineChars="200"/>
        <w:rPr>
          <w:rFonts w:ascii="宋体" w:hAnsi="宋体"/>
          <w:bCs/>
          <w:sz w:val="24"/>
        </w:rPr>
      </w:pPr>
      <w:r>
        <w:rPr>
          <w:rFonts w:hint="eastAsia" w:ascii="宋体" w:hAnsi="宋体"/>
          <w:bCs/>
          <w:sz w:val="24"/>
        </w:rPr>
        <w:t>1、由于甲方的责任导致乙方不能在约定的时间内进行检定/校准造成的损失由甲方承担。</w:t>
      </w:r>
    </w:p>
    <w:p>
      <w:pPr>
        <w:spacing w:line="460" w:lineRule="exact"/>
        <w:ind w:left="-701" w:leftChars="-334" w:firstLine="480" w:firstLineChars="200"/>
        <w:rPr>
          <w:rFonts w:ascii="宋体" w:hAnsi="宋体"/>
          <w:bCs/>
          <w:sz w:val="24"/>
        </w:rPr>
      </w:pPr>
      <w:r>
        <w:rPr>
          <w:rFonts w:hint="eastAsia" w:ascii="宋体" w:hAnsi="宋体"/>
          <w:bCs/>
          <w:sz w:val="24"/>
        </w:rPr>
        <w:t>2、由于乙方的原因导致检定/校准时间超出约定期限的，按乙方的承诺制（或合同约定）执行。</w:t>
      </w:r>
    </w:p>
    <w:p>
      <w:pPr>
        <w:numPr>
          <w:ilvl w:val="0"/>
          <w:numId w:val="2"/>
        </w:numPr>
        <w:spacing w:line="460" w:lineRule="exact"/>
        <w:rPr>
          <w:rFonts w:ascii="宋体" w:hAnsi="宋体"/>
          <w:bCs/>
          <w:sz w:val="24"/>
        </w:rPr>
      </w:pPr>
      <w:r>
        <w:rPr>
          <w:rFonts w:hint="eastAsia" w:ascii="宋体" w:hAnsi="宋体"/>
          <w:bCs/>
          <w:sz w:val="24"/>
        </w:rPr>
        <w:t>由于乙方的原因造成计量器具损坏的，由乙方赔偿损失。</w:t>
      </w:r>
    </w:p>
    <w:p>
      <w:pPr>
        <w:spacing w:line="460" w:lineRule="exact"/>
        <w:ind w:left="-342"/>
        <w:outlineLvl w:val="0"/>
        <w:rPr>
          <w:rFonts w:ascii="宋体" w:hAnsi="宋体"/>
          <w:bCs/>
          <w:sz w:val="24"/>
        </w:rPr>
      </w:pPr>
      <w:r>
        <w:rPr>
          <w:rFonts w:hint="eastAsia" w:ascii="宋体" w:hAnsi="宋体"/>
          <w:bCs/>
          <w:sz w:val="24"/>
        </w:rPr>
        <w:t>四、合同纠纷解决方式</w:t>
      </w:r>
    </w:p>
    <w:p>
      <w:pPr>
        <w:spacing w:line="460" w:lineRule="exact"/>
        <w:ind w:left="-720" w:leftChars="-343" w:firstLine="480" w:firstLineChars="200"/>
        <w:rPr>
          <w:rFonts w:ascii="宋体" w:hAnsi="宋体"/>
          <w:bCs/>
          <w:sz w:val="24"/>
        </w:rPr>
      </w:pPr>
      <w:r>
        <w:rPr>
          <w:rFonts w:hint="eastAsia" w:ascii="宋体" w:hAnsi="宋体"/>
          <w:bCs/>
          <w:sz w:val="24"/>
        </w:rPr>
        <w:t>解决合同纠纷的方式：双方协商解决；协商不成处理方法：申请甲方所在地人民法院裁判或者所在地仲裁委员会仲裁。</w:t>
      </w:r>
    </w:p>
    <w:p>
      <w:pPr>
        <w:spacing w:line="460" w:lineRule="exact"/>
        <w:ind w:left="-720" w:leftChars="-343" w:firstLine="480" w:firstLineChars="200"/>
        <w:rPr>
          <w:rFonts w:ascii="宋体" w:hAnsi="宋体"/>
          <w:bCs/>
          <w:sz w:val="24"/>
        </w:rPr>
      </w:pPr>
      <w:r>
        <w:rPr>
          <w:rFonts w:hint="eastAsia" w:ascii="宋体" w:hAnsi="宋体"/>
          <w:bCs/>
          <w:sz w:val="24"/>
        </w:rPr>
        <w:t>五、说明事项</w:t>
      </w:r>
    </w:p>
    <w:p>
      <w:pPr>
        <w:spacing w:line="460" w:lineRule="exact"/>
        <w:ind w:left="-701" w:leftChars="-334" w:firstLine="480" w:firstLineChars="200"/>
        <w:rPr>
          <w:rFonts w:ascii="宋体" w:hAnsi="宋体"/>
          <w:bCs/>
          <w:sz w:val="24"/>
        </w:rPr>
      </w:pPr>
      <w:r>
        <w:rPr>
          <w:rFonts w:hint="eastAsia" w:ascii="宋体" w:hAnsi="宋体"/>
          <w:bCs/>
          <w:sz w:val="24"/>
        </w:rPr>
        <w:t>1、本合同的附件是合同的一部分，需经双方签字或盖章确认。</w:t>
      </w:r>
    </w:p>
    <w:p>
      <w:pPr>
        <w:spacing w:line="460" w:lineRule="exact"/>
        <w:ind w:left="-701" w:leftChars="-334" w:right="-512" w:rightChars="-244" w:firstLine="480" w:firstLineChars="200"/>
        <w:rPr>
          <w:rFonts w:ascii="宋体" w:hAnsi="宋体"/>
          <w:bCs/>
          <w:sz w:val="24"/>
        </w:rPr>
      </w:pPr>
      <w:r>
        <w:rPr>
          <w:rFonts w:hint="eastAsia" w:ascii="宋体" w:hAnsi="宋体"/>
          <w:bCs/>
          <w:sz w:val="24"/>
        </w:rPr>
        <w:t>2、本合同中未尽事项，可经双方另行协商，订立协议，与本合同具有同等法律效力。</w:t>
      </w:r>
    </w:p>
    <w:p>
      <w:pPr>
        <w:spacing w:line="460" w:lineRule="exact"/>
        <w:ind w:left="-701" w:leftChars="-334" w:firstLine="480" w:firstLineChars="200"/>
        <w:rPr>
          <w:rFonts w:ascii="宋体" w:hAnsi="宋体"/>
          <w:bCs/>
          <w:sz w:val="24"/>
        </w:rPr>
      </w:pPr>
      <w:r>
        <w:rPr>
          <w:rFonts w:hint="eastAsia" w:ascii="宋体" w:hAnsi="宋体"/>
          <w:bCs/>
          <w:sz w:val="24"/>
        </w:rPr>
        <w:t>3、本合同一式肆份，合同双方各执两份，具有同等效力。</w:t>
      </w:r>
    </w:p>
    <w:p>
      <w:pPr>
        <w:spacing w:line="460" w:lineRule="exact"/>
        <w:ind w:left="-701" w:leftChars="-334" w:firstLine="480" w:firstLineChars="200"/>
        <w:rPr>
          <w:rFonts w:ascii="宋体" w:hAnsi="宋体"/>
          <w:bCs/>
          <w:sz w:val="24"/>
        </w:rPr>
      </w:pPr>
      <w:r>
        <w:rPr>
          <w:rFonts w:hint="eastAsia" w:ascii="宋体" w:hAnsi="宋体"/>
          <w:bCs/>
          <w:sz w:val="24"/>
        </w:rPr>
        <w:t>4、本合同经双方签字盖章后生效，合同内容执行完毕后，自动失效。</w:t>
      </w:r>
    </w:p>
    <w:p>
      <w:pPr>
        <w:rPr>
          <w:rFonts w:ascii="宋体" w:hAnsi="宋体"/>
          <w:bCs/>
          <w:sz w:val="24"/>
        </w:rPr>
      </w:pPr>
    </w:p>
    <w:p>
      <w:pPr>
        <w:rPr>
          <w:rFonts w:ascii="宋体" w:hAnsi="宋体"/>
          <w:bCs/>
          <w:sz w:val="24"/>
        </w:rPr>
      </w:pPr>
    </w:p>
    <w:p>
      <w:pPr>
        <w:rPr>
          <w:sz w:val="24"/>
        </w:rPr>
      </w:pPr>
      <w:r>
        <w:rPr>
          <w:rFonts w:hint="eastAsia" w:ascii="宋体" w:hAnsi="宋体"/>
          <w:bCs/>
          <w:sz w:val="24"/>
        </w:rPr>
        <w:t>甲方：</w:t>
      </w:r>
      <w:r>
        <w:rPr>
          <w:rFonts w:hint="eastAsia" w:ascii="宋体" w:hAnsi="宋体"/>
          <w:bCs/>
          <w:sz w:val="24"/>
          <w:lang w:eastAsia="zh-CN"/>
        </w:rPr>
        <w:t>都江堰光明光电材料有限责任公司</w:t>
      </w:r>
      <w:r>
        <w:rPr>
          <w:rFonts w:hint="eastAsia" w:ascii="宋体" w:hAnsi="宋体"/>
          <w:bCs/>
          <w:color w:val="FF0000"/>
          <w:sz w:val="24"/>
        </w:rPr>
        <w:t xml:space="preserve">              </w:t>
      </w:r>
      <w:r>
        <w:rPr>
          <w:rFonts w:hint="eastAsia" w:ascii="宋体" w:hAnsi="宋体"/>
          <w:bCs/>
          <w:sz w:val="24"/>
        </w:rPr>
        <w:t>乙方：</w:t>
      </w:r>
      <w:r>
        <w:rPr>
          <w:rFonts w:hint="eastAsia"/>
          <w:sz w:val="24"/>
        </w:rPr>
        <w:t xml:space="preserve"> </w:t>
      </w:r>
    </w:p>
    <w:p>
      <w:pPr>
        <w:spacing w:line="460" w:lineRule="exact"/>
        <w:ind w:left="-342" w:leftChars="-163" w:firstLine="240" w:firstLineChars="100"/>
        <w:rPr>
          <w:rFonts w:ascii="宋体" w:hAnsi="宋体"/>
          <w:bCs/>
          <w:sz w:val="24"/>
        </w:rPr>
      </w:pPr>
      <w:r>
        <w:rPr>
          <w:rFonts w:hint="eastAsia" w:ascii="宋体" w:hAnsi="宋体"/>
          <w:bCs/>
          <w:sz w:val="24"/>
        </w:rPr>
        <w:t xml:space="preserve">（盖章）                                </w:t>
      </w:r>
      <w:r>
        <w:rPr>
          <w:rFonts w:hint="eastAsia" w:ascii="宋体" w:hAnsi="宋体"/>
          <w:bCs/>
          <w:sz w:val="24"/>
          <w:lang w:val="en-US" w:eastAsia="zh-CN"/>
        </w:rPr>
        <w:t xml:space="preserve">        </w:t>
      </w:r>
      <w:r>
        <w:rPr>
          <w:rFonts w:hint="eastAsia" w:ascii="宋体" w:hAnsi="宋体"/>
          <w:bCs/>
          <w:sz w:val="24"/>
        </w:rPr>
        <w:t>（盖章)</w:t>
      </w:r>
    </w:p>
    <w:p>
      <w:pPr>
        <w:spacing w:line="540" w:lineRule="exact"/>
        <w:jc w:val="left"/>
        <w:rPr>
          <w:rFonts w:ascii="宋体"/>
          <w:b/>
          <w:sz w:val="28"/>
          <w:szCs w:val="28"/>
        </w:rPr>
      </w:pPr>
      <w:r>
        <w:rPr>
          <w:rFonts w:hint="eastAsia" w:ascii="宋体" w:hAnsi="宋体"/>
          <w:bCs/>
          <w:sz w:val="24"/>
        </w:rPr>
        <w:t xml:space="preserve">法定代表人或委托代理人签字              法定代表人或委托代理人签字   </w:t>
      </w: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440" w:firstLineChars="4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宋体" w:hAnsi="宋体"/>
          <w:sz w:val="28"/>
          <w:szCs w:val="28"/>
          <w:u w:val="single"/>
        </w:rPr>
        <w:t>可燃气体报警器年度检定采购</w:t>
      </w:r>
      <w:r>
        <w:rPr>
          <w:rFonts w:hint="eastAsia" w:asciiTheme="majorEastAsia" w:hAnsiTheme="majorEastAsia" w:eastAsiaTheme="majorEastAsia"/>
          <w:bCs/>
          <w:sz w:val="28"/>
          <w:szCs w:val="28"/>
          <w:u w:val="single"/>
        </w:rPr>
        <w:t>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400" w:firstLineChars="5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都江堰光明光电材料有限责任公司</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400" w:firstLineChars="5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b/>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二二年十</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b/>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报价表（自拟）</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lang w:eastAsia="zh-CN"/>
        </w:rPr>
        <w:t>都江堰光明光电材料有限责任</w:t>
      </w:r>
      <w:r>
        <w:rPr>
          <w:rFonts w:hint="eastAsia" w:asciiTheme="minorEastAsia" w:hAnsiTheme="minorEastAsia" w:eastAsiaTheme="minorEastAsia"/>
          <w:sz w:val="28"/>
          <w:szCs w:val="28"/>
        </w:rPr>
        <w:t>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hint="eastAsia" w:ascii="宋体" w:hAnsi="宋体"/>
          <w:sz w:val="28"/>
          <w:szCs w:val="28"/>
          <w:u w:val="single"/>
        </w:rPr>
        <w:t>可燃气体探测器年度校检采购</w:t>
      </w:r>
      <w:r>
        <w:rPr>
          <w:rFonts w:hint="eastAsia" w:asciiTheme="majorEastAsia" w:hAnsiTheme="majorEastAsia" w:eastAsiaTheme="majorEastAsia"/>
          <w:bCs/>
          <w:sz w:val="28"/>
          <w:szCs w:val="28"/>
          <w:u w:val="single"/>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文件三：报价单（自拟）</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3"/>
      <w:numFmt w:val="decimal"/>
      <w:lvlText w:val="%1、"/>
      <w:lvlJc w:val="left"/>
      <w:pPr>
        <w:tabs>
          <w:tab w:val="left" w:pos="139"/>
        </w:tabs>
        <w:ind w:left="139" w:hanging="360"/>
      </w:pPr>
      <w:rPr>
        <w:rFonts w:hint="eastAsia"/>
      </w:rPr>
    </w:lvl>
    <w:lvl w:ilvl="1" w:tentative="0">
      <w:start w:val="1"/>
      <w:numFmt w:val="lowerLetter"/>
      <w:lvlText w:val="%2)"/>
      <w:lvlJc w:val="left"/>
      <w:pPr>
        <w:tabs>
          <w:tab w:val="left" w:pos="619"/>
        </w:tabs>
        <w:ind w:left="619" w:hanging="420"/>
      </w:pPr>
    </w:lvl>
    <w:lvl w:ilvl="2" w:tentative="0">
      <w:start w:val="1"/>
      <w:numFmt w:val="lowerRoman"/>
      <w:lvlText w:val="%3."/>
      <w:lvlJc w:val="right"/>
      <w:pPr>
        <w:tabs>
          <w:tab w:val="left" w:pos="1039"/>
        </w:tabs>
        <w:ind w:left="1039" w:hanging="420"/>
      </w:pPr>
    </w:lvl>
    <w:lvl w:ilvl="3" w:tentative="0">
      <w:start w:val="1"/>
      <w:numFmt w:val="decimal"/>
      <w:lvlText w:val="%4."/>
      <w:lvlJc w:val="left"/>
      <w:pPr>
        <w:tabs>
          <w:tab w:val="left" w:pos="1459"/>
        </w:tabs>
        <w:ind w:left="1459" w:hanging="420"/>
      </w:pPr>
    </w:lvl>
    <w:lvl w:ilvl="4" w:tentative="0">
      <w:start w:val="1"/>
      <w:numFmt w:val="lowerLetter"/>
      <w:lvlText w:val="%5)"/>
      <w:lvlJc w:val="left"/>
      <w:pPr>
        <w:tabs>
          <w:tab w:val="left" w:pos="1879"/>
        </w:tabs>
        <w:ind w:left="1879" w:hanging="420"/>
      </w:pPr>
    </w:lvl>
    <w:lvl w:ilvl="5" w:tentative="0">
      <w:start w:val="1"/>
      <w:numFmt w:val="lowerRoman"/>
      <w:lvlText w:val="%6."/>
      <w:lvlJc w:val="right"/>
      <w:pPr>
        <w:tabs>
          <w:tab w:val="left" w:pos="2299"/>
        </w:tabs>
        <w:ind w:left="2299" w:hanging="420"/>
      </w:pPr>
    </w:lvl>
    <w:lvl w:ilvl="6" w:tentative="0">
      <w:start w:val="1"/>
      <w:numFmt w:val="decimal"/>
      <w:lvlText w:val="%7."/>
      <w:lvlJc w:val="left"/>
      <w:pPr>
        <w:tabs>
          <w:tab w:val="left" w:pos="2719"/>
        </w:tabs>
        <w:ind w:left="2719" w:hanging="420"/>
      </w:pPr>
    </w:lvl>
    <w:lvl w:ilvl="7" w:tentative="0">
      <w:start w:val="1"/>
      <w:numFmt w:val="lowerLetter"/>
      <w:lvlText w:val="%8)"/>
      <w:lvlJc w:val="left"/>
      <w:pPr>
        <w:tabs>
          <w:tab w:val="left" w:pos="3139"/>
        </w:tabs>
        <w:ind w:left="3139" w:hanging="420"/>
      </w:pPr>
    </w:lvl>
    <w:lvl w:ilvl="8" w:tentative="0">
      <w:start w:val="1"/>
      <w:numFmt w:val="lowerRoman"/>
      <w:lvlText w:val="%9."/>
      <w:lvlJc w:val="right"/>
      <w:pPr>
        <w:tabs>
          <w:tab w:val="left" w:pos="3559"/>
        </w:tabs>
        <w:ind w:left="3559" w:hanging="420"/>
      </w:pPr>
    </w:lvl>
  </w:abstractNum>
  <w:abstractNum w:abstractNumId="1">
    <w:nsid w:val="2F481BB6"/>
    <w:multiLevelType w:val="multilevel"/>
    <w:tmpl w:val="2F481BB6"/>
    <w:lvl w:ilvl="0" w:tentative="0">
      <w:start w:val="1"/>
      <w:numFmt w:val="japaneseCounting"/>
      <w:lvlText w:val="%1、"/>
      <w:lvlJc w:val="left"/>
      <w:pPr>
        <w:ind w:left="225" w:hanging="480"/>
      </w:pPr>
      <w:rPr>
        <w:rFonts w:hint="default"/>
      </w:rPr>
    </w:lvl>
    <w:lvl w:ilvl="1" w:tentative="0">
      <w:start w:val="1"/>
      <w:numFmt w:val="lowerLetter"/>
      <w:lvlText w:val="%2)"/>
      <w:lvlJc w:val="left"/>
      <w:pPr>
        <w:ind w:left="585" w:hanging="420"/>
      </w:pPr>
    </w:lvl>
    <w:lvl w:ilvl="2" w:tentative="0">
      <w:start w:val="1"/>
      <w:numFmt w:val="lowerRoman"/>
      <w:lvlText w:val="%3."/>
      <w:lvlJc w:val="right"/>
      <w:pPr>
        <w:ind w:left="1005" w:hanging="420"/>
      </w:pPr>
    </w:lvl>
    <w:lvl w:ilvl="3" w:tentative="0">
      <w:start w:val="1"/>
      <w:numFmt w:val="decimal"/>
      <w:lvlText w:val="%4."/>
      <w:lvlJc w:val="left"/>
      <w:pPr>
        <w:ind w:left="1425" w:hanging="420"/>
      </w:pPr>
    </w:lvl>
    <w:lvl w:ilvl="4" w:tentative="0">
      <w:start w:val="1"/>
      <w:numFmt w:val="lowerLetter"/>
      <w:lvlText w:val="%5)"/>
      <w:lvlJc w:val="left"/>
      <w:pPr>
        <w:ind w:left="1845" w:hanging="420"/>
      </w:pPr>
    </w:lvl>
    <w:lvl w:ilvl="5" w:tentative="0">
      <w:start w:val="1"/>
      <w:numFmt w:val="lowerRoman"/>
      <w:lvlText w:val="%6."/>
      <w:lvlJc w:val="right"/>
      <w:pPr>
        <w:ind w:left="2265" w:hanging="420"/>
      </w:pPr>
    </w:lvl>
    <w:lvl w:ilvl="6" w:tentative="0">
      <w:start w:val="1"/>
      <w:numFmt w:val="decimal"/>
      <w:lvlText w:val="%7."/>
      <w:lvlJc w:val="left"/>
      <w:pPr>
        <w:ind w:left="2685" w:hanging="420"/>
      </w:pPr>
    </w:lvl>
    <w:lvl w:ilvl="7" w:tentative="0">
      <w:start w:val="1"/>
      <w:numFmt w:val="lowerLetter"/>
      <w:lvlText w:val="%8)"/>
      <w:lvlJc w:val="left"/>
      <w:pPr>
        <w:ind w:left="3105" w:hanging="420"/>
      </w:pPr>
    </w:lvl>
    <w:lvl w:ilvl="8" w:tentative="0">
      <w:start w:val="1"/>
      <w:numFmt w:val="lowerRoman"/>
      <w:lvlText w:val="%9."/>
      <w:lvlJc w:val="right"/>
      <w:pPr>
        <w:ind w:left="35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zMmUyMzA4N2VkMjUyMWY4ZGQ2YjFiNDNlMGI3OWYifQ=="/>
  </w:docVars>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4A0C"/>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1004"/>
    <w:rsid w:val="001843CB"/>
    <w:rsid w:val="00195AF2"/>
    <w:rsid w:val="00196E4E"/>
    <w:rsid w:val="001A48BF"/>
    <w:rsid w:val="001B0EB3"/>
    <w:rsid w:val="001B527D"/>
    <w:rsid w:val="001B5318"/>
    <w:rsid w:val="001B5F50"/>
    <w:rsid w:val="001B68D5"/>
    <w:rsid w:val="001B6B00"/>
    <w:rsid w:val="001C0592"/>
    <w:rsid w:val="001C155F"/>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1F5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B6AB1"/>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526F"/>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4312"/>
    <w:rsid w:val="003C6BE5"/>
    <w:rsid w:val="003C6E01"/>
    <w:rsid w:val="003D04C0"/>
    <w:rsid w:val="003E0C1E"/>
    <w:rsid w:val="003E0F28"/>
    <w:rsid w:val="003E34BE"/>
    <w:rsid w:val="003E731F"/>
    <w:rsid w:val="003E7EBF"/>
    <w:rsid w:val="003F3952"/>
    <w:rsid w:val="003F3EBF"/>
    <w:rsid w:val="00402467"/>
    <w:rsid w:val="00405CA8"/>
    <w:rsid w:val="004136D5"/>
    <w:rsid w:val="00414C49"/>
    <w:rsid w:val="00416499"/>
    <w:rsid w:val="00416B67"/>
    <w:rsid w:val="0042492B"/>
    <w:rsid w:val="00434F5F"/>
    <w:rsid w:val="00443462"/>
    <w:rsid w:val="00453172"/>
    <w:rsid w:val="004559AE"/>
    <w:rsid w:val="0045671C"/>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46E"/>
    <w:rsid w:val="0070183D"/>
    <w:rsid w:val="00703A3B"/>
    <w:rsid w:val="007068E8"/>
    <w:rsid w:val="00715514"/>
    <w:rsid w:val="007215D7"/>
    <w:rsid w:val="00721E68"/>
    <w:rsid w:val="00724C73"/>
    <w:rsid w:val="007313A4"/>
    <w:rsid w:val="00731965"/>
    <w:rsid w:val="00740A5D"/>
    <w:rsid w:val="00746DF2"/>
    <w:rsid w:val="00756B83"/>
    <w:rsid w:val="007571B4"/>
    <w:rsid w:val="007649B3"/>
    <w:rsid w:val="007662F5"/>
    <w:rsid w:val="007671BC"/>
    <w:rsid w:val="007813D2"/>
    <w:rsid w:val="0078212C"/>
    <w:rsid w:val="00784599"/>
    <w:rsid w:val="00784914"/>
    <w:rsid w:val="007958E0"/>
    <w:rsid w:val="00795F68"/>
    <w:rsid w:val="007A0FB2"/>
    <w:rsid w:val="007A1796"/>
    <w:rsid w:val="007A2C20"/>
    <w:rsid w:val="007A30EE"/>
    <w:rsid w:val="007A51B4"/>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44C81"/>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FAE"/>
    <w:rsid w:val="00984559"/>
    <w:rsid w:val="009855C8"/>
    <w:rsid w:val="009909FB"/>
    <w:rsid w:val="009A0C62"/>
    <w:rsid w:val="009A2494"/>
    <w:rsid w:val="009A43D2"/>
    <w:rsid w:val="009A6165"/>
    <w:rsid w:val="009A6410"/>
    <w:rsid w:val="009A7582"/>
    <w:rsid w:val="009C113F"/>
    <w:rsid w:val="009C3FBF"/>
    <w:rsid w:val="009C4878"/>
    <w:rsid w:val="009D24C4"/>
    <w:rsid w:val="009D536C"/>
    <w:rsid w:val="009E1FB5"/>
    <w:rsid w:val="009E2B0C"/>
    <w:rsid w:val="009E4D4D"/>
    <w:rsid w:val="009E4FA1"/>
    <w:rsid w:val="009E527A"/>
    <w:rsid w:val="009E62D0"/>
    <w:rsid w:val="009E6335"/>
    <w:rsid w:val="009F48C6"/>
    <w:rsid w:val="009F5B89"/>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A3803"/>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1815"/>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3F3B"/>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29A1B3E"/>
    <w:rsid w:val="04A22F2C"/>
    <w:rsid w:val="067A0BF9"/>
    <w:rsid w:val="06C40076"/>
    <w:rsid w:val="098A290C"/>
    <w:rsid w:val="0A326B00"/>
    <w:rsid w:val="0BC419DA"/>
    <w:rsid w:val="0D913B3D"/>
    <w:rsid w:val="0DAB10A3"/>
    <w:rsid w:val="0E506A10"/>
    <w:rsid w:val="0E7C47EE"/>
    <w:rsid w:val="0E9658AF"/>
    <w:rsid w:val="0EB83A78"/>
    <w:rsid w:val="0EF51DB0"/>
    <w:rsid w:val="0F7179FD"/>
    <w:rsid w:val="0FB232E1"/>
    <w:rsid w:val="105B0B5E"/>
    <w:rsid w:val="106534D1"/>
    <w:rsid w:val="115C1106"/>
    <w:rsid w:val="133D09EF"/>
    <w:rsid w:val="134C0C32"/>
    <w:rsid w:val="13561AB1"/>
    <w:rsid w:val="141A2ADF"/>
    <w:rsid w:val="152614F4"/>
    <w:rsid w:val="158242C4"/>
    <w:rsid w:val="15FC6940"/>
    <w:rsid w:val="1638724C"/>
    <w:rsid w:val="16500A3A"/>
    <w:rsid w:val="166B25AD"/>
    <w:rsid w:val="170209AC"/>
    <w:rsid w:val="18027B12"/>
    <w:rsid w:val="188624F1"/>
    <w:rsid w:val="19614D0C"/>
    <w:rsid w:val="1B650AE3"/>
    <w:rsid w:val="1BD6553D"/>
    <w:rsid w:val="1D1A76AB"/>
    <w:rsid w:val="1D232A04"/>
    <w:rsid w:val="1EE61F3B"/>
    <w:rsid w:val="1F95570F"/>
    <w:rsid w:val="212958D0"/>
    <w:rsid w:val="218E2416"/>
    <w:rsid w:val="229D0F77"/>
    <w:rsid w:val="231F6FCA"/>
    <w:rsid w:val="25592D3B"/>
    <w:rsid w:val="25B508B9"/>
    <w:rsid w:val="2610789E"/>
    <w:rsid w:val="26C54B2C"/>
    <w:rsid w:val="27B91ECD"/>
    <w:rsid w:val="28CD5F1A"/>
    <w:rsid w:val="28E82D54"/>
    <w:rsid w:val="295C2DFA"/>
    <w:rsid w:val="2A823FDD"/>
    <w:rsid w:val="2B0A0D5F"/>
    <w:rsid w:val="2B5E554F"/>
    <w:rsid w:val="2BA47406"/>
    <w:rsid w:val="2C6923FD"/>
    <w:rsid w:val="2CA843D7"/>
    <w:rsid w:val="2D960FD0"/>
    <w:rsid w:val="2E884DBD"/>
    <w:rsid w:val="2ECD0A22"/>
    <w:rsid w:val="30937A49"/>
    <w:rsid w:val="30B3181E"/>
    <w:rsid w:val="31762896"/>
    <w:rsid w:val="341D48A3"/>
    <w:rsid w:val="36963DEF"/>
    <w:rsid w:val="36BD75CE"/>
    <w:rsid w:val="36DB3EF8"/>
    <w:rsid w:val="36EE3C2B"/>
    <w:rsid w:val="37133692"/>
    <w:rsid w:val="38F35529"/>
    <w:rsid w:val="3E29379B"/>
    <w:rsid w:val="40DA6FCE"/>
    <w:rsid w:val="415A73C9"/>
    <w:rsid w:val="41AD228E"/>
    <w:rsid w:val="44F56185"/>
    <w:rsid w:val="46250CEB"/>
    <w:rsid w:val="49200CF1"/>
    <w:rsid w:val="494871CB"/>
    <w:rsid w:val="49FE1F7F"/>
    <w:rsid w:val="4A4E28F8"/>
    <w:rsid w:val="4ECC264C"/>
    <w:rsid w:val="4F974A08"/>
    <w:rsid w:val="50720FD1"/>
    <w:rsid w:val="51FF4AE6"/>
    <w:rsid w:val="53446C55"/>
    <w:rsid w:val="53BB5D38"/>
    <w:rsid w:val="57FD3876"/>
    <w:rsid w:val="582F4FA6"/>
    <w:rsid w:val="58C44394"/>
    <w:rsid w:val="591075D9"/>
    <w:rsid w:val="59592D2E"/>
    <w:rsid w:val="5AAB5378"/>
    <w:rsid w:val="5B184523"/>
    <w:rsid w:val="5BA84B60"/>
    <w:rsid w:val="5BF0604D"/>
    <w:rsid w:val="5DCF1811"/>
    <w:rsid w:val="5E1E2FBB"/>
    <w:rsid w:val="5F8D1984"/>
    <w:rsid w:val="5FFB256E"/>
    <w:rsid w:val="63332842"/>
    <w:rsid w:val="635314FE"/>
    <w:rsid w:val="63623A3E"/>
    <w:rsid w:val="65ED4F2A"/>
    <w:rsid w:val="66BB6DD6"/>
    <w:rsid w:val="6AF17C50"/>
    <w:rsid w:val="6BFD39ED"/>
    <w:rsid w:val="6C184383"/>
    <w:rsid w:val="6CC10EBE"/>
    <w:rsid w:val="6D6B0BCD"/>
    <w:rsid w:val="6E26547D"/>
    <w:rsid w:val="6E3000AA"/>
    <w:rsid w:val="6EE113A4"/>
    <w:rsid w:val="6F286FD3"/>
    <w:rsid w:val="6F326082"/>
    <w:rsid w:val="6F814935"/>
    <w:rsid w:val="70B60DD1"/>
    <w:rsid w:val="70B86135"/>
    <w:rsid w:val="73DE5EB2"/>
    <w:rsid w:val="744A3547"/>
    <w:rsid w:val="74F040EF"/>
    <w:rsid w:val="750139B7"/>
    <w:rsid w:val="75BE243F"/>
    <w:rsid w:val="77471FC0"/>
    <w:rsid w:val="77517F24"/>
    <w:rsid w:val="77A85155"/>
    <w:rsid w:val="793F5645"/>
    <w:rsid w:val="795D3D1D"/>
    <w:rsid w:val="7DC5544B"/>
    <w:rsid w:val="7E01111B"/>
    <w:rsid w:val="7E192908"/>
    <w:rsid w:val="7F6F47AA"/>
    <w:rsid w:val="7FF54C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4162F5-72EF-4142-80DD-0B537C2CF4C9}">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3682</Words>
  <Characters>3782</Characters>
  <Lines>32</Lines>
  <Paragraphs>9</Paragraphs>
  <TotalTime>30</TotalTime>
  <ScaleCrop>false</ScaleCrop>
  <LinksUpToDate>false</LinksUpToDate>
  <CharactersWithSpaces>4199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2022-12-08T08:26:43Z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4858542474C64C2FB6BE669909C8201C</vt:lpwstr>
  </property>
</Properties>
</file>