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color w:val="FF0000"/>
          <w:spacing w:val="38"/>
          <w:sz w:val="24"/>
        </w:rPr>
      </w:pPr>
      <w:r>
        <w:rPr>
          <w:rFonts w:hint="eastAsia" w:asciiTheme="majorEastAsia" w:hAnsiTheme="majorEastAsia" w:eastAsiaTheme="majorEastAsia"/>
          <w:b/>
          <w:bCs/>
          <w:spacing w:val="38"/>
          <w:sz w:val="24"/>
        </w:rPr>
        <w:t>询价采购编号：GMPT</w:t>
      </w:r>
      <w:r>
        <w:rPr>
          <w:rFonts w:asciiTheme="majorEastAsia" w:hAnsiTheme="majorEastAsia" w:eastAsiaTheme="majorEastAsia"/>
          <w:b/>
          <w:bCs/>
          <w:spacing w:val="38"/>
          <w:sz w:val="24"/>
        </w:rPr>
        <w:t>-TX20</w:t>
      </w:r>
      <w:r>
        <w:rPr>
          <w:rFonts w:hint="eastAsia" w:asciiTheme="majorEastAsia" w:hAnsiTheme="majorEastAsia" w:eastAsiaTheme="majorEastAsia"/>
          <w:b/>
          <w:bCs/>
          <w:spacing w:val="38"/>
          <w:sz w:val="24"/>
        </w:rPr>
        <w:t>22</w:t>
      </w:r>
      <w:r>
        <w:rPr>
          <w:rFonts w:asciiTheme="majorEastAsia" w:hAnsiTheme="majorEastAsia" w:eastAsiaTheme="majorEastAsia"/>
          <w:b/>
          <w:bCs/>
          <w:spacing w:val="38"/>
          <w:sz w:val="24"/>
        </w:rPr>
        <w:t>-</w:t>
      </w:r>
      <w:r>
        <w:rPr>
          <w:rFonts w:hint="eastAsia" w:asciiTheme="majorEastAsia" w:hAnsiTheme="majorEastAsia" w:eastAsiaTheme="majorEastAsia"/>
          <w:b/>
          <w:bCs/>
          <w:spacing w:val="38"/>
          <w:sz w:val="24"/>
        </w:rPr>
        <w:t>01</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rPr>
          <w:rFonts w:asciiTheme="majorEastAsia" w:hAnsiTheme="majorEastAsia" w:eastAsiaTheme="majorEastAsia"/>
          <w:sz w:val="36"/>
          <w:szCs w:val="36"/>
        </w:rPr>
      </w:pPr>
      <w:r>
        <w:rPr>
          <w:rFonts w:hint="eastAsia" w:asciiTheme="majorEastAsia" w:hAnsiTheme="majorEastAsia" w:eastAsiaTheme="majorEastAsia"/>
          <w:sz w:val="36"/>
          <w:szCs w:val="36"/>
        </w:rPr>
        <w:t>项目名称：环保常规业务服务</w:t>
      </w:r>
    </w:p>
    <w:p>
      <w:pPr>
        <w:spacing w:line="800" w:lineRule="exact"/>
        <w:rPr>
          <w:rFonts w:asciiTheme="majorEastAsia" w:hAnsiTheme="majorEastAsia" w:eastAsiaTheme="majorEastAsia"/>
          <w:sz w:val="36"/>
          <w:szCs w:val="36"/>
        </w:rPr>
      </w:pPr>
      <w:r>
        <w:rPr>
          <w:rFonts w:hint="eastAsia" w:asciiTheme="majorEastAsia" w:hAnsiTheme="majorEastAsia" w:eastAsiaTheme="majorEastAsia"/>
          <w:sz w:val="36"/>
          <w:szCs w:val="36"/>
        </w:rPr>
        <w:t>采购编号：GMPT</w:t>
      </w:r>
      <w:r>
        <w:rPr>
          <w:rFonts w:asciiTheme="majorEastAsia" w:hAnsiTheme="majorEastAsia" w:eastAsiaTheme="majorEastAsia"/>
          <w:sz w:val="36"/>
          <w:szCs w:val="36"/>
        </w:rPr>
        <w:t>-20</w:t>
      </w:r>
      <w:r>
        <w:rPr>
          <w:rFonts w:hint="eastAsia" w:asciiTheme="majorEastAsia" w:hAnsiTheme="majorEastAsia" w:eastAsiaTheme="majorEastAsia"/>
          <w:sz w:val="36"/>
          <w:szCs w:val="36"/>
        </w:rPr>
        <w:t>22</w:t>
      </w:r>
      <w:r>
        <w:rPr>
          <w:rFonts w:asciiTheme="majorEastAsia" w:hAnsiTheme="majorEastAsia" w:eastAsiaTheme="majorEastAsia"/>
          <w:sz w:val="36"/>
          <w:szCs w:val="36"/>
        </w:rPr>
        <w:t>TX-</w:t>
      </w:r>
      <w:r>
        <w:rPr>
          <w:rFonts w:hint="eastAsia" w:asciiTheme="majorEastAsia" w:hAnsiTheme="majorEastAsia" w:eastAsiaTheme="majorEastAsia"/>
          <w:sz w:val="36"/>
          <w:szCs w:val="36"/>
        </w:rPr>
        <w:t>01</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ind w:firstLine="3300" w:firstLineChars="750"/>
        <w:rPr>
          <w:rFonts w:asciiTheme="majorEastAsia" w:hAnsiTheme="majorEastAsia" w:eastAsiaTheme="majorEastAsia"/>
          <w:sz w:val="44"/>
          <w:szCs w:val="44"/>
        </w:rPr>
      </w:pPr>
      <w:r>
        <w:rPr>
          <w:rFonts w:hint="eastAsia" w:asciiTheme="majorEastAsia" w:hAnsiTheme="majorEastAsia" w:eastAsiaTheme="majorEastAsia"/>
          <w:sz w:val="44"/>
          <w:szCs w:val="44"/>
          <w:u w:val="single"/>
        </w:rPr>
        <w:t>二○二二</w:t>
      </w:r>
      <w:r>
        <w:rPr>
          <w:rFonts w:hint="eastAsia" w:asciiTheme="majorEastAsia" w:hAnsiTheme="majorEastAsia" w:eastAsiaTheme="majorEastAsia"/>
          <w:sz w:val="44"/>
          <w:szCs w:val="44"/>
        </w:rPr>
        <w:t>年十二月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目录</w:t>
      </w: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 询价采购邀请函…………………</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 供应商须知………………………</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 业务服务要求…………………………</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 评分标准………………………</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第五部分 合同条款……………………………</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第六部分 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ind w:firstLine="2880" w:firstLineChars="900"/>
        <w:rPr>
          <w:rFonts w:asciiTheme="majorEastAsia" w:hAnsiTheme="majorEastAsia" w:eastAsiaTheme="majorEastAsia"/>
          <w:bCs/>
          <w:sz w:val="32"/>
          <w:szCs w:val="32"/>
        </w:rPr>
      </w:pPr>
      <w:r>
        <w:rPr>
          <w:rFonts w:hint="eastAsia" w:asciiTheme="majorEastAsia" w:hAnsiTheme="majorEastAsia" w:eastAsiaTheme="majorEastAsia"/>
          <w:bCs/>
          <w:sz w:val="32"/>
          <w:szCs w:val="32"/>
        </w:rPr>
        <w:t>第一部分询价采购邀请函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成都光明派特贵金属有限公司就公司开展环保管家、水在线监测系统运维等环保常规相关业务服务组织询价采购，属意向招标，欢迎合格供应商前来报价。</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项目名称：</w:t>
      </w:r>
      <w:r>
        <w:rPr>
          <w:rFonts w:hint="eastAsia" w:ascii="宋体" w:hAnsi="宋体" w:eastAsiaTheme="majorEastAsia"/>
          <w:b/>
          <w:color w:val="000000" w:themeColor="text1"/>
          <w:u w:val="single"/>
          <w14:textFill>
            <w14:solidFill>
              <w14:schemeClr w14:val="tx1"/>
            </w14:solidFill>
          </w14:textFill>
        </w:rPr>
        <w:t>环保常规业务服务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采购编号：</w:t>
      </w:r>
      <w:r>
        <w:rPr>
          <w:rFonts w:hint="eastAsia" w:asciiTheme="majorEastAsia" w:hAnsiTheme="majorEastAsia" w:eastAsiaTheme="majorEastAsia"/>
          <w:bCs/>
          <w:spacing w:val="38"/>
          <w:sz w:val="24"/>
        </w:rPr>
        <w:t>GMPT</w:t>
      </w:r>
      <w:r>
        <w:rPr>
          <w:rFonts w:asciiTheme="majorEastAsia" w:hAnsiTheme="majorEastAsia" w:eastAsiaTheme="majorEastAsia"/>
          <w:bCs/>
          <w:spacing w:val="38"/>
          <w:sz w:val="24"/>
        </w:rPr>
        <w:t>-</w:t>
      </w:r>
      <w:r>
        <w:rPr>
          <w:rFonts w:hint="eastAsia" w:asciiTheme="majorEastAsia" w:hAnsiTheme="majorEastAsia" w:eastAsiaTheme="majorEastAsia"/>
          <w:bCs/>
          <w:spacing w:val="38"/>
          <w:sz w:val="24"/>
        </w:rPr>
        <w:t>2022</w:t>
      </w:r>
      <w:r>
        <w:rPr>
          <w:rFonts w:asciiTheme="majorEastAsia" w:hAnsiTheme="majorEastAsia" w:eastAsiaTheme="majorEastAsia"/>
          <w:bCs/>
          <w:spacing w:val="38"/>
          <w:sz w:val="24"/>
        </w:rPr>
        <w:t>TX</w:t>
      </w:r>
      <w:r>
        <w:rPr>
          <w:rFonts w:hint="eastAsia" w:asciiTheme="majorEastAsia" w:hAnsiTheme="majorEastAsia" w:eastAsiaTheme="majorEastAsia"/>
          <w:bCs/>
          <w:spacing w:val="38"/>
          <w:sz w:val="24"/>
        </w:rPr>
        <w:t>-01</w:t>
      </w:r>
    </w:p>
    <w:p>
      <w:pPr>
        <w:pStyle w:val="5"/>
        <w:spacing w:line="460" w:lineRule="exact"/>
        <w:rPr>
          <w:rFonts w:asciiTheme="majorEastAsia" w:hAnsiTheme="majorEastAsia" w:eastAsiaTheme="majorEastAsia"/>
          <w:b/>
        </w:rPr>
      </w:pPr>
      <w:r>
        <w:rPr>
          <w:rFonts w:hint="eastAsia" w:asciiTheme="majorEastAsia" w:hAnsiTheme="majorEastAsia" w:eastAsiaTheme="majorEastAsia"/>
          <w:b/>
        </w:rPr>
        <w:t>二、项目简要说明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成都光明派特贵金属有限公司拟采购环保管家、水在线监测系统运维等环保常规相关业务服务，详见询价采购文件第三部分技术响应。</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三、合格供应商资格要求</w:t>
      </w:r>
    </w:p>
    <w:p>
      <w:pPr>
        <w:spacing w:line="460" w:lineRule="exact"/>
        <w:ind w:firstLine="540" w:firstLineChars="200"/>
        <w:rPr>
          <w:rFonts w:asciiTheme="majorEastAsia" w:hAnsiTheme="majorEastAsia" w:eastAsiaTheme="majorEastAsia"/>
          <w:spacing w:val="15"/>
          <w:sz w:val="24"/>
        </w:rPr>
      </w:pPr>
      <w:r>
        <w:rPr>
          <w:rFonts w:hint="eastAsia" w:asciiTheme="majorEastAsia" w:hAnsiTheme="majorEastAsia" w:eastAsiaTheme="majorEastAsia"/>
          <w:spacing w:val="15"/>
          <w:sz w:val="24"/>
        </w:rPr>
        <w:t>供应商参加本次采购活动具备下列条件：</w:t>
      </w:r>
    </w:p>
    <w:p>
      <w:pPr>
        <w:pStyle w:val="7"/>
        <w:tabs>
          <w:tab w:val="left" w:pos="2340"/>
        </w:tabs>
        <w:spacing w:line="460" w:lineRule="exact"/>
        <w:ind w:left="99" w:leftChars="47" w:firstLine="470" w:firstLineChars="196"/>
        <w:jc w:val="left"/>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w:t>
      </w:r>
      <w:r>
        <w:rPr>
          <w:rFonts w:hint="eastAsia" w:asciiTheme="majorEastAsia" w:hAnsiTheme="majorEastAsia" w:eastAsiaTheme="majorEastAsia"/>
          <w:lang w:eastAsia="zh-CN"/>
        </w:rPr>
        <w:t>，</w:t>
      </w:r>
      <w:r>
        <w:rPr>
          <w:rFonts w:hint="eastAsia" w:asciiTheme="majorEastAsia" w:hAnsiTheme="majorEastAsia" w:eastAsiaTheme="majorEastAsia"/>
          <w:lang w:val="en-US" w:eastAsia="zh-CN"/>
        </w:rPr>
        <w:t>经营范围符合，在线监测系统运维人员取得运维证</w:t>
      </w:r>
      <w:r>
        <w:rPr>
          <w:rFonts w:hint="eastAsia" w:asciiTheme="majorEastAsia" w:hAnsiTheme="majorEastAsia" w:eastAsiaTheme="majorEastAsia"/>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20</w:t>
      </w:r>
      <w:r>
        <w:rPr>
          <w:rFonts w:hint="eastAsia" w:asciiTheme="majorEastAsia" w:hAnsiTheme="majorEastAsia" w:eastAsiaTheme="majorEastAsia"/>
          <w:sz w:val="24"/>
        </w:rPr>
        <w:t>22年12月</w:t>
      </w:r>
      <w:r>
        <w:rPr>
          <w:rFonts w:hint="eastAsia" w:asciiTheme="majorEastAsia" w:hAnsiTheme="majorEastAsia" w:eastAsiaTheme="majorEastAsia"/>
          <w:sz w:val="24"/>
          <w:lang w:val="en-US" w:eastAsia="zh-CN"/>
        </w:rPr>
        <w:t>8</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22年12月1</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日。</w:t>
      </w:r>
    </w:p>
    <w:p>
      <w:pPr>
        <w:spacing w:line="460" w:lineRule="exact"/>
        <w:ind w:firstLine="590" w:firstLineChars="245"/>
        <w:rPr>
          <w:rFonts w:asciiTheme="majorEastAsia" w:hAnsiTheme="majorEastAsia" w:eastAsiaTheme="majorEastAsia"/>
          <w:b/>
          <w:sz w:val="24"/>
        </w:rPr>
      </w:pPr>
      <w:r>
        <w:rPr>
          <w:rFonts w:hint="eastAsia" w:asciiTheme="majorEastAsia" w:hAnsiTheme="majorEastAsia" w:eastAsiaTheme="majorEastAsia"/>
          <w:b/>
          <w:sz w:val="24"/>
        </w:rPr>
        <w:t>五、报价文件接收信息</w:t>
      </w:r>
    </w:p>
    <w:p>
      <w:pPr>
        <w:spacing w:line="460" w:lineRule="exact"/>
        <w:ind w:left="180" w:firstLine="384" w:firstLineChars="160"/>
        <w:rPr>
          <w:rFonts w:asciiTheme="majorEastAsia" w:hAnsiTheme="majorEastAsia" w:eastAsiaTheme="majorEastAsia"/>
          <w:sz w:val="24"/>
        </w:rPr>
      </w:pPr>
      <w:r>
        <w:rPr>
          <w:rFonts w:hint="eastAsia" w:asciiTheme="majorEastAsia" w:hAnsiTheme="majorEastAsia" w:eastAsiaTheme="majorEastAsia"/>
          <w:sz w:val="24"/>
        </w:rPr>
        <w:t>（一）报价文件接收截止时间： 2022年12月1</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日17:00。</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成都市龙泉驿区北京路636号成都光明派特贵金属有限公司体系资产部。</w:t>
      </w:r>
    </w:p>
    <w:p>
      <w:pPr>
        <w:spacing w:line="460" w:lineRule="exact"/>
        <w:ind w:left="180"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林鑫     联系电话：15828551911</w:t>
      </w:r>
    </w:p>
    <w:p>
      <w:pPr>
        <w:tabs>
          <w:tab w:val="left" w:pos="540"/>
          <w:tab w:val="left" w:pos="1320"/>
        </w:tabs>
        <w:spacing w:line="460" w:lineRule="exact"/>
        <w:ind w:left="195" w:leftChars="93" w:firstLine="359" w:firstLineChars="149"/>
        <w:rPr>
          <w:rFonts w:asciiTheme="majorEastAsia" w:hAnsiTheme="majorEastAsia" w:eastAsiaTheme="majorEastAsia"/>
          <w:b/>
          <w:sz w:val="24"/>
        </w:rPr>
      </w:pPr>
      <w:r>
        <w:rPr>
          <w:rFonts w:hint="eastAsia" w:asciiTheme="majorEastAsia" w:hAnsiTheme="majorEastAsia" w:eastAsiaTheme="majorEastAsia"/>
          <w:b/>
          <w:sz w:val="24"/>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w:t>
      </w:r>
      <w:r>
        <w:rPr>
          <w:rFonts w:hint="eastAsia" w:cs="宋体" w:asciiTheme="majorEastAsia" w:hAnsiTheme="majorEastAsia" w:eastAsiaTheme="majorEastAsia"/>
          <w:iCs/>
          <w:kern w:val="0"/>
          <w:sz w:val="24"/>
        </w:rPr>
        <w:t>林鑫             联系电话：</w:t>
      </w:r>
      <w:r>
        <w:rPr>
          <w:rFonts w:hint="eastAsia" w:cs="宋体" w:asciiTheme="majorEastAsia" w:hAnsiTheme="majorEastAsia" w:eastAsiaTheme="majorEastAsia"/>
          <w:kern w:val="0"/>
          <w:sz w:val="24"/>
        </w:rPr>
        <w:t>15828551911</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成都市龙泉驿区北京路636号成都光明派特贵金属有限公司体系资产部。</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right="-58" w:firstLine="600" w:firstLineChars="2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人：郭小乐</w:t>
      </w:r>
      <w:r>
        <w:rPr>
          <w:rFonts w:hint="eastAsia" w:cs="宋体" w:asciiTheme="majorEastAsia" w:hAnsiTheme="majorEastAsia" w:eastAsiaTheme="majorEastAsia"/>
          <w:iCs/>
          <w:kern w:val="0"/>
          <w:sz w:val="24"/>
        </w:rPr>
        <w:t xml:space="preserve">             联系电话：88456079</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3040" w:firstLineChars="950"/>
        <w:jc w:val="left"/>
        <w:rPr>
          <w:rFonts w:asciiTheme="majorEastAsia" w:hAnsiTheme="majorEastAsia" w:eastAsiaTheme="majorEastAsia"/>
          <w:sz w:val="32"/>
          <w:szCs w:val="32"/>
        </w:rPr>
      </w:pPr>
      <w:r>
        <w:rPr>
          <w:rFonts w:hint="eastAsia" w:asciiTheme="majorEastAsia" w:hAnsiTheme="majorEastAsia" w:eastAsiaTheme="majorEastAsia"/>
          <w:sz w:val="32"/>
          <w:szCs w:val="32"/>
        </w:rPr>
        <w:t>第二部分供应商须知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27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428"/>
        <w:gridCol w:w="601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42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内容</w:t>
            </w:r>
          </w:p>
        </w:tc>
        <w:tc>
          <w:tcPr>
            <w:tcW w:w="6017"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 w:val="24"/>
              </w:rPr>
            </w:pPr>
            <w:r>
              <w:rPr>
                <w:rFonts w:hint="eastAsia" w:asciiTheme="majorEastAsia" w:hAnsiTheme="majorEastAsia" w:eastAsiaTheme="majorEastAsia"/>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1</w:t>
            </w:r>
          </w:p>
        </w:tc>
        <w:tc>
          <w:tcPr>
            <w:tcW w:w="242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采购人</w:t>
            </w:r>
          </w:p>
        </w:tc>
        <w:tc>
          <w:tcPr>
            <w:tcW w:w="6017" w:type="dxa"/>
            <w:tcBorders>
              <w:top w:val="single" w:color="auto" w:sz="4" w:space="0"/>
              <w:left w:val="single" w:color="auto" w:sz="4" w:space="0"/>
              <w:bottom w:val="single" w:color="auto" w:sz="4" w:space="0"/>
            </w:tcBorders>
            <w:vAlign w:val="center"/>
          </w:tcPr>
          <w:p>
            <w:pPr>
              <w:pStyle w:val="24"/>
              <w:ind w:left="2304" w:hanging="2304" w:hangingChars="960"/>
              <w:rPr>
                <w:rFonts w:asciiTheme="majorEastAsia" w:hAnsiTheme="majorEastAsia" w:eastAsiaTheme="majorEastAsia"/>
                <w:color w:val="auto"/>
              </w:rPr>
            </w:pPr>
            <w:r>
              <w:rPr>
                <w:rFonts w:hint="eastAsia" w:asciiTheme="majorEastAsia" w:hAnsiTheme="majorEastAsia" w:eastAsiaTheme="majorEastAsia"/>
                <w:color w:val="auto"/>
              </w:rPr>
              <w:t>名称：成都光明派特贵金属有限公司</w:t>
            </w:r>
          </w:p>
          <w:p>
            <w:pPr>
              <w:pStyle w:val="24"/>
              <w:tabs>
                <w:tab w:val="left" w:pos="7356"/>
              </w:tabs>
              <w:ind w:left="720" w:hanging="720" w:hangingChars="300"/>
              <w:rPr>
                <w:rFonts w:asciiTheme="majorEastAsia" w:hAnsiTheme="majorEastAsia" w:eastAsiaTheme="majorEastAsia"/>
                <w:color w:val="auto"/>
              </w:rPr>
            </w:pPr>
            <w:r>
              <w:rPr>
                <w:rFonts w:hint="eastAsia" w:asciiTheme="majorEastAsia" w:hAnsiTheme="majorEastAsia" w:eastAsiaTheme="majorEastAsia"/>
                <w:color w:val="auto"/>
              </w:rPr>
              <w:t>地址：成都市龙泉驿区北京路636号</w:t>
            </w:r>
          </w:p>
          <w:p>
            <w:pPr>
              <w:pStyle w:val="24"/>
              <w:rPr>
                <w:rFonts w:asciiTheme="majorEastAsia" w:hAnsiTheme="majorEastAsia" w:eastAsiaTheme="majorEastAsia"/>
                <w:color w:val="auto"/>
              </w:rPr>
            </w:pPr>
            <w:r>
              <w:rPr>
                <w:rFonts w:hint="eastAsia" w:asciiTheme="majorEastAsia" w:hAnsiTheme="majorEastAsia" w:eastAsiaTheme="majorEastAsia"/>
                <w:color w:val="auto"/>
              </w:rPr>
              <w:t>联系人：林鑫</w:t>
            </w:r>
          </w:p>
          <w:p>
            <w:pPr>
              <w:snapToGrid w:val="0"/>
              <w:rPr>
                <w:rFonts w:asciiTheme="majorEastAsia" w:hAnsiTheme="majorEastAsia" w:eastAsiaTheme="majorEastAsia"/>
                <w:sz w:val="24"/>
              </w:rPr>
            </w:pPr>
            <w:r>
              <w:rPr>
                <w:rFonts w:hint="eastAsia" w:asciiTheme="majorEastAsia" w:hAnsiTheme="majorEastAsia" w:eastAsiaTheme="majorEastAsia"/>
                <w:sz w:val="24"/>
              </w:rPr>
              <w:t>电话：15828551911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2</w:t>
            </w:r>
          </w:p>
        </w:tc>
        <w:tc>
          <w:tcPr>
            <w:tcW w:w="2428" w:type="dxa"/>
            <w:tcBorders>
              <w:top w:val="single" w:color="auto" w:sz="4" w:space="0"/>
              <w:left w:val="single" w:color="auto" w:sz="4" w:space="0"/>
              <w:bottom w:val="single" w:color="auto" w:sz="4" w:space="0"/>
              <w:right w:val="single" w:color="auto" w:sz="4" w:space="0"/>
            </w:tcBorders>
          </w:tcPr>
          <w:p>
            <w:pPr>
              <w:snapToGrid w:val="0"/>
              <w:jc w:val="center"/>
              <w:rPr>
                <w:rFonts w:asciiTheme="majorEastAsia" w:hAnsiTheme="majorEastAsia" w:eastAsiaTheme="majorEastAsia"/>
                <w:sz w:val="24"/>
              </w:rPr>
            </w:pPr>
            <w:r>
              <w:rPr>
                <w:rFonts w:hint="eastAsia" w:asciiTheme="majorEastAsia" w:hAnsiTheme="majorEastAsia" w:eastAsiaTheme="majorEastAsia"/>
                <w:sz w:val="24"/>
              </w:rPr>
              <w:t>项目名称</w:t>
            </w:r>
          </w:p>
        </w:tc>
        <w:tc>
          <w:tcPr>
            <w:tcW w:w="6017"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bCs/>
                <w:sz w:val="24"/>
              </w:rPr>
            </w:pPr>
            <w:r>
              <w:rPr>
                <w:rFonts w:hint="eastAsia" w:cs="宋体" w:asciiTheme="majorEastAsia" w:hAnsiTheme="majorEastAsia" w:eastAsiaTheme="majorEastAsia"/>
                <w:kern w:val="0"/>
                <w:sz w:val="24"/>
              </w:rPr>
              <w:t>环保常规业务服务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3</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建设地点</w:t>
            </w:r>
          </w:p>
        </w:tc>
        <w:tc>
          <w:tcPr>
            <w:tcW w:w="6017" w:type="dxa"/>
            <w:tcBorders>
              <w:top w:val="single" w:color="auto" w:sz="4" w:space="0"/>
              <w:left w:val="single" w:color="auto" w:sz="4" w:space="0"/>
              <w:bottom w:val="single" w:color="auto" w:sz="4" w:space="0"/>
            </w:tcBorders>
            <w:vAlign w:val="center"/>
          </w:tcPr>
          <w:p>
            <w:pPr>
              <w:pStyle w:val="24"/>
              <w:ind w:left="720" w:hanging="720" w:hangingChars="300"/>
              <w:rPr>
                <w:rFonts w:asciiTheme="majorEastAsia" w:hAnsiTheme="majorEastAsia" w:eastAsiaTheme="majorEastAsia"/>
                <w:color w:val="auto"/>
              </w:rPr>
            </w:pPr>
            <w:r>
              <w:rPr>
                <w:rFonts w:hint="eastAsia" w:asciiTheme="majorEastAsia" w:hAnsiTheme="majorEastAsia" w:eastAsiaTheme="majorEastAsia"/>
                <w:color w:val="auto"/>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4</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最高限额</w:t>
            </w:r>
          </w:p>
        </w:tc>
        <w:tc>
          <w:tcPr>
            <w:tcW w:w="6017" w:type="dxa"/>
            <w:tcBorders>
              <w:top w:val="single" w:color="auto" w:sz="4" w:space="0"/>
              <w:left w:val="single" w:color="auto" w:sz="4" w:space="0"/>
              <w:bottom w:val="single" w:color="auto" w:sz="4" w:space="0"/>
            </w:tcBorders>
            <w:vAlign w:val="center"/>
          </w:tcPr>
          <w:p>
            <w:pPr>
              <w:pStyle w:val="24"/>
              <w:ind w:left="720" w:hanging="720" w:hangingChars="300"/>
              <w:rPr>
                <w:rFonts w:cs="Times New Roman" w:asciiTheme="majorEastAsia" w:hAnsiTheme="majorEastAsia" w:eastAsiaTheme="majorEastAsia"/>
                <w:color w:val="auto"/>
                <w:kern w:val="2"/>
              </w:rPr>
            </w:pPr>
            <w:r>
              <w:rPr>
                <w:rFonts w:hint="eastAsia" w:cs="Times New Roman" w:asciiTheme="majorEastAsia" w:hAnsiTheme="majorEastAsia" w:eastAsiaTheme="majorEastAsia"/>
                <w:color w:val="auto"/>
                <w:kern w:val="2"/>
              </w:rPr>
              <w:t>环保管家限价15万元；水在线监测系统运维限价10万</w:t>
            </w:r>
          </w:p>
          <w:p>
            <w:pPr>
              <w:pStyle w:val="24"/>
              <w:ind w:left="720" w:hanging="720" w:hangingChars="300"/>
              <w:rPr>
                <w:rFonts w:asciiTheme="majorEastAsia" w:hAnsiTheme="majorEastAsia" w:eastAsiaTheme="majorEastAsia"/>
                <w:color w:val="FF0000"/>
              </w:rPr>
            </w:pPr>
            <w:r>
              <w:rPr>
                <w:rFonts w:hint="eastAsia" w:cs="Times New Roman" w:asciiTheme="majorEastAsia" w:hAnsiTheme="majorEastAsia" w:eastAsiaTheme="majorEastAsia"/>
                <w:color w:val="auto"/>
                <w:kern w:val="2"/>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5</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供应商资质条件、能力和信誉</w:t>
            </w:r>
          </w:p>
        </w:tc>
        <w:tc>
          <w:tcPr>
            <w:tcW w:w="6017" w:type="dxa"/>
            <w:tcBorders>
              <w:top w:val="single" w:color="auto" w:sz="4" w:space="0"/>
              <w:left w:val="single" w:color="auto" w:sz="4" w:space="0"/>
              <w:bottom w:val="single" w:color="auto" w:sz="4" w:space="0"/>
            </w:tcBorders>
          </w:tcPr>
          <w:p>
            <w:pPr>
              <w:pStyle w:val="24"/>
              <w:rPr>
                <w:rFonts w:asciiTheme="majorEastAsia" w:hAnsiTheme="majorEastAsia" w:eastAsiaTheme="majorEastAsia"/>
                <w:color w:val="auto"/>
              </w:rPr>
            </w:pPr>
            <w:r>
              <w:rPr>
                <w:rFonts w:hint="eastAsia" w:asciiTheme="majorEastAsia" w:hAnsiTheme="majorEastAsia" w:eastAsiaTheme="majorEastAsia"/>
                <w:color w:val="auto"/>
              </w:rPr>
              <w:t>资质条件：具有相关资质</w:t>
            </w:r>
          </w:p>
          <w:p>
            <w:pPr>
              <w:pStyle w:val="24"/>
              <w:rPr>
                <w:rFonts w:asciiTheme="majorEastAsia" w:hAnsiTheme="majorEastAsia" w:eastAsiaTheme="majorEastAsia"/>
                <w:color w:val="auto"/>
              </w:rPr>
            </w:pPr>
            <w:r>
              <w:rPr>
                <w:rFonts w:hint="eastAsia" w:asciiTheme="majorEastAsia" w:hAnsiTheme="majorEastAsia" w:eastAsiaTheme="majorEastAsia"/>
                <w:color w:val="auto"/>
              </w:rPr>
              <w:t>财务要求：</w:t>
            </w:r>
            <w:r>
              <w:rPr>
                <w:rFonts w:asciiTheme="majorEastAsia" w:hAnsiTheme="majorEastAsia" w:eastAsiaTheme="majorEastAsia"/>
                <w:color w:val="auto"/>
              </w:rPr>
              <w:t>3</w:t>
            </w:r>
            <w:r>
              <w:rPr>
                <w:rFonts w:hint="eastAsia" w:asciiTheme="majorEastAsia" w:hAnsiTheme="majorEastAsia" w:eastAsiaTheme="majorEastAsia"/>
                <w:color w:val="auto"/>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6</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是否接受联合体询价</w:t>
            </w:r>
          </w:p>
        </w:tc>
        <w:tc>
          <w:tcPr>
            <w:tcW w:w="6017"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asciiTheme="majorEastAsia" w:hAnsiTheme="majorEastAsia" w:eastAsiaTheme="majorEastAsia"/>
                <w:sz w:val="24"/>
                <w:u w:val="single"/>
              </w:rPr>
              <w:t>不</w:t>
            </w:r>
            <w:r>
              <w:rPr>
                <w:rFonts w:hint="eastAsia" w:asciiTheme="majorEastAsia" w:hAnsiTheme="majorEastAsia" w:eastAsiaTheme="majorEastAsia"/>
                <w:sz w:val="24"/>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7</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供应商提出问题的截止时间</w:t>
            </w:r>
          </w:p>
        </w:tc>
        <w:tc>
          <w:tcPr>
            <w:tcW w:w="6017"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8</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采购人书面澄清的时间</w:t>
            </w:r>
          </w:p>
        </w:tc>
        <w:tc>
          <w:tcPr>
            <w:tcW w:w="6017"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供应商在收到书面答复</w:t>
            </w:r>
            <w:r>
              <w:rPr>
                <w:rFonts w:cs="仿宋_GB2312" w:asciiTheme="majorEastAsia" w:hAnsiTheme="majorEastAsia" w:eastAsiaTheme="majorEastAsia"/>
                <w:kern w:val="0"/>
                <w:sz w:val="24"/>
              </w:rPr>
              <w:t>48</w:t>
            </w:r>
            <w:r>
              <w:rPr>
                <w:rFonts w:hint="eastAsia" w:cs="仿宋_GB2312" w:asciiTheme="majorEastAsia" w:hAnsiTheme="majorEastAsia" w:eastAsiaTheme="majorEastAsia"/>
                <w:kern w:val="0"/>
                <w:sz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9</w:t>
            </w:r>
          </w:p>
        </w:tc>
        <w:tc>
          <w:tcPr>
            <w:tcW w:w="2428"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响应文件签字或盖章要求</w:t>
            </w:r>
          </w:p>
        </w:tc>
        <w:tc>
          <w:tcPr>
            <w:tcW w:w="6017"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28" w:type="dxa"/>
            <w:vMerge w:val="restart"/>
            <w:tcBorders>
              <w:top w:val="single" w:color="auto" w:sz="4" w:space="0"/>
              <w:right w:val="single" w:color="auto" w:sz="4" w:space="0"/>
            </w:tcBorders>
            <w:vAlign w:val="center"/>
          </w:tcPr>
          <w:p>
            <w:pPr>
              <w:snapToGrid w:val="0"/>
              <w:jc w:val="center"/>
              <w:rPr>
                <w:rFonts w:asciiTheme="majorEastAsia" w:hAnsiTheme="majorEastAsia" w:eastAsiaTheme="majorEastAsia"/>
                <w:sz w:val="24"/>
              </w:rPr>
            </w:pPr>
            <w:r>
              <w:rPr>
                <w:rFonts w:asciiTheme="majorEastAsia" w:hAnsiTheme="majorEastAsia" w:eastAsiaTheme="majorEastAsia"/>
                <w:sz w:val="24"/>
              </w:rPr>
              <w:t>10</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响应文件组成</w:t>
            </w:r>
          </w:p>
        </w:tc>
        <w:tc>
          <w:tcPr>
            <w:tcW w:w="601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响应文件由正本</w:t>
            </w:r>
            <w:r>
              <w:rPr>
                <w:rFonts w:cs="仿宋_GB2312" w:asciiTheme="majorEastAsia" w:hAnsiTheme="majorEastAsia" w:eastAsiaTheme="majorEastAsia"/>
                <w:kern w:val="0"/>
                <w:sz w:val="24"/>
              </w:rPr>
              <w:t>1</w:t>
            </w:r>
            <w:r>
              <w:rPr>
                <w:rFonts w:hint="eastAsia" w:cs="仿宋_GB2312" w:asciiTheme="majorEastAsia" w:hAnsiTheme="majorEastAsia" w:eastAsiaTheme="majorEastAsia"/>
                <w:kern w:val="0"/>
                <w:sz w:val="24"/>
              </w:rPr>
              <w:t>份；副本</w:t>
            </w:r>
            <w:r>
              <w:rPr>
                <w:rFonts w:cs="仿宋_GB2312" w:asciiTheme="majorEastAsia" w:hAnsiTheme="majorEastAsia" w:eastAsiaTheme="majorEastAsia"/>
                <w:kern w:val="0"/>
                <w:sz w:val="24"/>
              </w:rPr>
              <w:t>1</w:t>
            </w:r>
            <w:r>
              <w:rPr>
                <w:rFonts w:hint="eastAsia" w:cs="仿宋_GB2312" w:asciiTheme="majorEastAsia" w:hAnsiTheme="majorEastAsia" w:eastAsiaTheme="majorEastAsia"/>
                <w:kern w:val="0"/>
                <w:sz w:val="24"/>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28" w:type="dxa"/>
            <w:vMerge w:val="continue"/>
            <w:tcBorders>
              <w:bottom w:val="single" w:color="auto" w:sz="4" w:space="0"/>
              <w:right w:val="single" w:color="auto" w:sz="4" w:space="0"/>
            </w:tcBorders>
            <w:vAlign w:val="center"/>
          </w:tcPr>
          <w:p>
            <w:pPr>
              <w:snapToGrid w:val="0"/>
              <w:jc w:val="center"/>
              <w:rPr>
                <w:rFonts w:asciiTheme="majorEastAsia" w:hAnsiTheme="majorEastAsia" w:eastAsiaTheme="majorEastAsia"/>
                <w:sz w:val="24"/>
              </w:rPr>
            </w:pP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Theme="majorEastAsia" w:hAnsiTheme="majorEastAsia" w:eastAsiaTheme="majorEastAsia"/>
                <w:sz w:val="24"/>
              </w:rPr>
            </w:pPr>
            <w:r>
              <w:rPr>
                <w:rFonts w:hint="eastAsia" w:cs="仿宋_GB2312" w:asciiTheme="majorEastAsia" w:hAnsiTheme="majorEastAsia" w:eastAsiaTheme="majorEastAsia"/>
                <w:kern w:val="0"/>
                <w:sz w:val="24"/>
              </w:rPr>
              <w:t>响应文件装订要求</w:t>
            </w:r>
          </w:p>
        </w:tc>
        <w:tc>
          <w:tcPr>
            <w:tcW w:w="6017" w:type="dxa"/>
            <w:tcBorders>
              <w:top w:val="single" w:color="auto" w:sz="4" w:space="0"/>
              <w:left w:val="single" w:color="auto" w:sz="4" w:space="0"/>
              <w:bottom w:val="single" w:color="auto" w:sz="4" w:space="0"/>
            </w:tcBorders>
            <w:vAlign w:val="center"/>
          </w:tcPr>
          <w:p>
            <w:pPr>
              <w:pStyle w:val="24"/>
              <w:rPr>
                <w:rFonts w:cs="仿宋_GB2312" w:asciiTheme="majorEastAsia" w:hAnsiTheme="majorEastAsia" w:eastAsiaTheme="majorEastAsia"/>
                <w:color w:val="auto"/>
              </w:rPr>
            </w:pPr>
            <w:r>
              <w:rPr>
                <w:rFonts w:cs="仿宋_GB2312" w:asciiTheme="majorEastAsia" w:hAnsiTheme="majorEastAsia" w:eastAsiaTheme="majorEastAsia"/>
                <w:color w:val="auto"/>
              </w:rPr>
              <w:t>1.</w:t>
            </w:r>
            <w:r>
              <w:rPr>
                <w:rFonts w:hint="eastAsia" w:cs="仿宋_GB2312" w:asciiTheme="majorEastAsia" w:hAnsiTheme="majorEastAsia" w:eastAsiaTheme="majorEastAsia"/>
                <w:color w:val="auto"/>
              </w:rPr>
              <w:t>装订牢固，并应编制目录和连续页码（封面和扉页除外）；</w:t>
            </w:r>
          </w:p>
          <w:p>
            <w:pPr>
              <w:autoSpaceDE w:val="0"/>
              <w:autoSpaceDN w:val="0"/>
              <w:adjustRightInd w:val="0"/>
              <w:rPr>
                <w:rFonts w:cs="仿宋_GB2312" w:asciiTheme="majorEastAsia" w:hAnsiTheme="majorEastAsia" w:eastAsiaTheme="majorEastAsia"/>
                <w:kern w:val="0"/>
                <w:sz w:val="24"/>
              </w:rPr>
            </w:pPr>
            <w:r>
              <w:rPr>
                <w:rFonts w:asciiTheme="majorEastAsia" w:hAnsiTheme="majorEastAsia" w:eastAsiaTheme="majorEastAsia"/>
                <w:sz w:val="24"/>
              </w:rPr>
              <w:t>2.</w:t>
            </w:r>
            <w:r>
              <w:rPr>
                <w:rFonts w:hint="eastAsia" w:asciiTheme="majorEastAsia" w:hAnsiTheme="majorEastAsia" w:eastAsiaTheme="majorEastAsia"/>
                <w:sz w:val="24"/>
              </w:rPr>
              <w:t>报价函、商务部分和技术部分集中装订成</w:t>
            </w:r>
            <w:r>
              <w:rPr>
                <w:rFonts w:asciiTheme="majorEastAsia" w:hAnsiTheme="majorEastAsia" w:eastAsiaTheme="majorEastAsia"/>
                <w:sz w:val="24"/>
              </w:rPr>
              <w:t>1</w:t>
            </w:r>
            <w:r>
              <w:rPr>
                <w:rFonts w:hint="eastAsia" w:asciiTheme="majorEastAsia" w:hAnsiTheme="majorEastAsia" w:eastAsiaTheme="majorEastAsia"/>
                <w:sz w:val="24"/>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11</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封套上写明</w:t>
            </w:r>
          </w:p>
        </w:tc>
        <w:tc>
          <w:tcPr>
            <w:tcW w:w="6017" w:type="dxa"/>
            <w:tcBorders>
              <w:top w:val="single" w:color="auto" w:sz="4" w:space="0"/>
              <w:left w:val="single" w:color="auto" w:sz="4" w:space="0"/>
              <w:bottom w:val="single" w:color="auto" w:sz="4" w:space="0"/>
            </w:tcBorders>
            <w:vAlign w:val="center"/>
          </w:tcPr>
          <w:p>
            <w:pPr>
              <w:pStyle w:val="24"/>
              <w:ind w:left="720" w:hanging="720" w:hangingChars="300"/>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采购人的地址：成都市龙泉驿区</w:t>
            </w:r>
            <w:r>
              <w:rPr>
                <w:rFonts w:hint="eastAsia" w:asciiTheme="majorEastAsia" w:hAnsiTheme="majorEastAsia" w:eastAsiaTheme="majorEastAsia"/>
                <w:color w:val="auto"/>
              </w:rPr>
              <w:t>北京路636号</w:t>
            </w:r>
          </w:p>
          <w:p>
            <w:pPr>
              <w:pStyle w:val="24"/>
              <w:ind w:left="720" w:hanging="720" w:hangingChars="300"/>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采购人名称：成都光明派特贵金属有限公司</w:t>
            </w:r>
          </w:p>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成都光明派特贵金属有限公司环保常规相关业务服务</w:t>
            </w:r>
            <w:r>
              <w:rPr>
                <w:rFonts w:hint="eastAsia" w:cs="仿宋_GB2312" w:asciiTheme="majorEastAsia" w:hAnsiTheme="majorEastAsia" w:eastAsiaTheme="majorEastAsia"/>
                <w:bCs/>
                <w:kern w:val="0"/>
                <w:sz w:val="24"/>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12</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询价采购有效期</w:t>
            </w:r>
          </w:p>
        </w:tc>
        <w:tc>
          <w:tcPr>
            <w:tcW w:w="601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有效期</w:t>
            </w:r>
            <w:r>
              <w:rPr>
                <w:rFonts w:hint="eastAsia" w:cs="仿宋_GB2312" w:asciiTheme="majorEastAsia" w:hAnsiTheme="majorEastAsia" w:eastAsiaTheme="majorEastAsia"/>
                <w:kern w:val="0"/>
                <w:sz w:val="24"/>
                <w:u w:val="single"/>
              </w:rPr>
              <w:t>6</w:t>
            </w:r>
            <w:r>
              <w:rPr>
                <w:rFonts w:cs="仿宋_GB2312" w:asciiTheme="majorEastAsia" w:hAnsiTheme="majorEastAsia" w:eastAsiaTheme="majorEastAsia"/>
                <w:kern w:val="0"/>
                <w:sz w:val="24"/>
                <w:u w:val="single"/>
              </w:rPr>
              <w:t>0</w:t>
            </w:r>
            <w:r>
              <w:rPr>
                <w:rFonts w:hint="eastAsia" w:cs="仿宋_GB2312" w:asciiTheme="majorEastAsia" w:hAnsiTheme="majorEastAsia" w:eastAsiaTheme="majorEastAsia"/>
                <w:kern w:val="0"/>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13</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递交报价文件地点</w:t>
            </w:r>
          </w:p>
        </w:tc>
        <w:tc>
          <w:tcPr>
            <w:tcW w:w="6017" w:type="dxa"/>
            <w:tcBorders>
              <w:top w:val="single" w:color="auto" w:sz="4" w:space="0"/>
              <w:left w:val="single" w:color="auto" w:sz="4" w:space="0"/>
              <w:bottom w:val="single" w:color="auto" w:sz="4" w:space="0"/>
            </w:tcBorders>
            <w:vAlign w:val="center"/>
          </w:tcPr>
          <w:p>
            <w:pPr>
              <w:spacing w:line="460" w:lineRule="exact"/>
              <w:rPr>
                <w:rFonts w:asciiTheme="majorEastAsia" w:hAnsiTheme="majorEastAsia" w:eastAsiaTheme="majorEastAsia"/>
                <w:sz w:val="24"/>
              </w:rPr>
            </w:pPr>
            <w:r>
              <w:rPr>
                <w:rFonts w:hint="eastAsia" w:cs="仿宋_GB2312" w:asciiTheme="majorEastAsia" w:hAnsiTheme="majorEastAsia" w:eastAsiaTheme="majorEastAsia"/>
                <w:kern w:val="0"/>
                <w:sz w:val="24"/>
              </w:rPr>
              <w:t>成都市龙泉驿区</w:t>
            </w:r>
            <w:r>
              <w:rPr>
                <w:rFonts w:hint="eastAsia" w:cs="宋体" w:asciiTheme="majorEastAsia" w:hAnsiTheme="majorEastAsia" w:eastAsiaTheme="majorEastAsia"/>
                <w:kern w:val="0"/>
                <w:sz w:val="24"/>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14</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是否退还报价文件</w:t>
            </w:r>
          </w:p>
        </w:tc>
        <w:tc>
          <w:tcPr>
            <w:tcW w:w="6017" w:type="dxa"/>
            <w:tcBorders>
              <w:top w:val="single" w:color="auto" w:sz="4" w:space="0"/>
              <w:left w:val="single" w:color="auto" w:sz="4" w:space="0"/>
              <w:bottom w:val="single" w:color="auto" w:sz="4" w:space="0"/>
            </w:tcBorders>
            <w:vAlign w:val="center"/>
          </w:tcPr>
          <w:p>
            <w:pPr>
              <w:pStyle w:val="24"/>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15</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公开报价时间和地点</w:t>
            </w:r>
          </w:p>
        </w:tc>
        <w:tc>
          <w:tcPr>
            <w:tcW w:w="6017" w:type="dxa"/>
            <w:tcBorders>
              <w:top w:val="single" w:color="auto" w:sz="4" w:space="0"/>
              <w:left w:val="single" w:color="auto" w:sz="4" w:space="0"/>
              <w:bottom w:val="single" w:color="auto" w:sz="4" w:space="0"/>
            </w:tcBorders>
          </w:tcPr>
          <w:p>
            <w:pPr>
              <w:pStyle w:val="24"/>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公开报价时间：同报价截止时间</w:t>
            </w:r>
          </w:p>
          <w:p>
            <w:pPr>
              <w:pStyle w:val="24"/>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公开报价地点：成都市龙泉驿区</w:t>
            </w:r>
            <w:r>
              <w:rPr>
                <w:rFonts w:hint="eastAsia" w:asciiTheme="majorEastAsia" w:hAnsiTheme="majorEastAsia" w:eastAsiaTheme="majorEastAsia"/>
                <w:color w:val="auto"/>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828"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rPr>
            </w:pPr>
            <w:r>
              <w:rPr>
                <w:rFonts w:cs="仿宋_GB2312" w:asciiTheme="majorEastAsia" w:hAnsiTheme="majorEastAsia" w:eastAsiaTheme="majorEastAsia"/>
                <w:kern w:val="0"/>
                <w:sz w:val="24"/>
              </w:rPr>
              <w:t>16</w:t>
            </w:r>
          </w:p>
        </w:tc>
        <w:tc>
          <w:tcPr>
            <w:tcW w:w="24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cs="仿宋_GB2312" w:asciiTheme="majorEastAsia" w:hAnsiTheme="majorEastAsia" w:eastAsiaTheme="majorEastAsia"/>
                <w:kern w:val="0"/>
                <w:sz w:val="24"/>
              </w:rPr>
              <w:t>评审办法</w:t>
            </w:r>
          </w:p>
        </w:tc>
        <w:tc>
          <w:tcPr>
            <w:tcW w:w="6017"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rPr>
            </w:pPr>
            <w:r>
              <w:rPr>
                <w:rFonts w:hint="eastAsia" w:asciiTheme="majorEastAsia" w:hAnsiTheme="majorEastAsia" w:eastAsiaTheme="majorEastAsia"/>
                <w:sz w:val="24"/>
              </w:rPr>
              <w:t>综合评分法</w:t>
            </w:r>
          </w:p>
        </w:tc>
      </w:tr>
    </w:tbl>
    <w:p>
      <w:pPr>
        <w:spacing w:line="500" w:lineRule="exact"/>
        <w:rPr>
          <w:rFonts w:ascii="宋体" w:hAnsi="宋体" w:eastAsia="宋体"/>
          <w:sz w:val="24"/>
        </w:rPr>
      </w:pPr>
    </w:p>
    <w:p>
      <w:pPr>
        <w:spacing w:line="500" w:lineRule="exact"/>
        <w:ind w:firstLine="480" w:firstLineChars="200"/>
        <w:rPr>
          <w:rFonts w:ascii="宋体" w:hAnsi="宋体" w:eastAsia="宋体"/>
          <w:sz w:val="24"/>
        </w:rPr>
      </w:pPr>
      <w:r>
        <w:rPr>
          <w:rFonts w:hint="eastAsia" w:ascii="宋体" w:hAnsi="宋体" w:eastAsia="宋体"/>
          <w:sz w:val="24"/>
        </w:rPr>
        <w:t>一、供应商参加采购活动应当符合国家相关法律法规。</w:t>
      </w:r>
    </w:p>
    <w:p>
      <w:pPr>
        <w:spacing w:line="50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sz w:val="24"/>
        </w:rPr>
        <w:t>二、供应商在报价前必须对环保常规相关业务服务进行相关调查，保证在签订合同后按期完成环保管家、水在线监测系统运维等常规环保相关业务服务。</w:t>
      </w:r>
    </w:p>
    <w:p>
      <w:pPr>
        <w:spacing w:line="50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三、中标人必须对报价文件负全责；在中标后</w:t>
      </w:r>
      <w:r>
        <w:rPr>
          <w:rFonts w:asciiTheme="majorEastAsia" w:hAnsiTheme="majorEastAsia" w:eastAsiaTheme="majorEastAsia"/>
          <w:bCs/>
          <w:sz w:val="24"/>
        </w:rPr>
        <w:t>10</w:t>
      </w:r>
      <w:r>
        <w:rPr>
          <w:rFonts w:hint="eastAsia" w:asciiTheme="majorEastAsia" w:hAnsiTheme="majorEastAsia" w:eastAsiaTheme="majorEastAsia"/>
          <w:bCs/>
          <w:sz w:val="24"/>
        </w:rPr>
        <w:t>个工作日内与采购人签订合同。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bCs/>
          <w:sz w:val="24"/>
        </w:rPr>
        <w:t>四、各供应商填列的单价和总价以人民币元为单位，报价应包括</w:t>
      </w:r>
      <w:r>
        <w:rPr>
          <w:rFonts w:hint="eastAsia" w:asciiTheme="majorEastAsia" w:hAnsiTheme="majorEastAsia" w:eastAsiaTheme="majorEastAsia"/>
          <w:sz w:val="24"/>
        </w:rPr>
        <w:t>环保管家、水在线监测系统运维等常规环保相关业务开展服务并符合</w:t>
      </w:r>
      <w:r>
        <w:rPr>
          <w:rFonts w:hint="eastAsia" w:asciiTheme="majorEastAsia" w:hAnsiTheme="majorEastAsia" w:eastAsiaTheme="majorEastAsia"/>
          <w:bCs/>
          <w:sz w:val="24"/>
        </w:rPr>
        <w:t>相应生态环境保护部门的条件</w:t>
      </w:r>
      <w:r>
        <w:rPr>
          <w:rFonts w:hint="eastAsia" w:asciiTheme="majorEastAsia" w:hAnsiTheme="majorEastAsia" w:eastAsiaTheme="majorEastAsia"/>
          <w:sz w:val="24"/>
        </w:rPr>
        <w:t>的各业务单项服务费，否则报价无效。</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iCs/>
          <w:sz w:val="24"/>
          <w:u w:val="single"/>
        </w:rPr>
        <w:t>以上材料须加盖单位公章</w:t>
      </w:r>
      <w:r>
        <w:rPr>
          <w:rFonts w:hint="eastAsia" w:asciiTheme="majorEastAsia" w:hAnsiTheme="majorEastAsia" w:eastAsiaTheme="majorEastAsia"/>
          <w:sz w:val="24"/>
          <w:u w:val="single"/>
        </w:rPr>
        <w:t>（原件备查）</w:t>
      </w:r>
      <w:r>
        <w:rPr>
          <w:rFonts w:hint="eastAsia" w:asciiTheme="majorEastAsia" w:hAnsiTheme="majorEastAsia" w:eastAsiaTheme="majorEastAsia"/>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sz w:val="24"/>
          <w:u w:val="single"/>
        </w:rPr>
      </w:pPr>
      <w:r>
        <w:rPr>
          <w:rFonts w:hint="eastAsia" w:asciiTheme="majorEastAsia" w:hAnsiTheme="majorEastAsia" w:eastAsiaTheme="majorEastAsia"/>
          <w:sz w:val="24"/>
          <w:u w:val="single"/>
        </w:rPr>
        <w:t>供应商在递交询价报价文件时，必须是密封完好的，密封件正面应标明单位名称，并在封口处加盖单位公章。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22</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12</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1</w:t>
      </w:r>
      <w:r>
        <w:rPr>
          <w:rFonts w:hint="eastAsia" w:asciiTheme="majorEastAsia" w:hAnsiTheme="majorEastAsia" w:eastAsiaTheme="majorEastAsia"/>
          <w:sz w:val="24"/>
          <w:u w:val="single"/>
          <w:lang w:val="en-US" w:eastAsia="zh-CN"/>
        </w:rPr>
        <w:t>5</w:t>
      </w:r>
      <w:r>
        <w:rPr>
          <w:rFonts w:hint="eastAsia" w:asciiTheme="majorEastAsia" w:hAnsiTheme="majorEastAsia" w:eastAsiaTheme="majorEastAsia"/>
          <w:sz w:val="24"/>
        </w:rPr>
        <w:t>日17:00时，截止时间后，将拒绝接收新的报价文件。</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（二）投送地点：成都光明派特贵金属有限公司体系资产部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（六）法律、法规规定的其他情况；</w:t>
      </w:r>
    </w:p>
    <w:p>
      <w:pPr>
        <w:spacing w:line="480" w:lineRule="exact"/>
        <w:ind w:firstLine="480" w:firstLineChars="200"/>
        <w:rPr>
          <w:rFonts w:asciiTheme="majorEastAsia" w:hAnsiTheme="majorEastAsia" w:eastAsiaTheme="majorEastAsia"/>
          <w:color w:val="FF0000"/>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管理、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（5）不符合询价文件规定的其他实质性要求；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（6）不能按采购人所制定的时间（进度）完成和不能满足付款方式要求的。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做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做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r>
        <w:rPr>
          <w:rFonts w:asciiTheme="majorEastAsia" w:hAnsiTheme="majorEastAsia" w:eastAsiaTheme="majorEastAsia"/>
          <w:sz w:val="24"/>
        </w:rPr>
        <w:t>.</w:t>
      </w:r>
      <w:bookmarkStart w:id="0" w:name="_Toc217446103"/>
      <w:r>
        <w:rPr>
          <w:rFonts w:hint="eastAsia" w:asciiTheme="majorEastAsia" w:hAnsiTheme="majorEastAsia" w:eastAsiaTheme="majorEastAsia"/>
          <w:sz w:val="24"/>
        </w:rPr>
        <w:t>评审细则及标准</w:t>
      </w:r>
      <w:bookmarkEnd w:id="0"/>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tabs>
          <w:tab w:val="left" w:pos="720"/>
        </w:tabs>
        <w:spacing w:line="40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．本次综合评分的因素是：见综合评分明细表。</w:t>
      </w:r>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spacing w:line="400" w:lineRule="exact"/>
        <w:ind w:left="839" w:leftChars="228" w:hanging="360" w:hangingChars="15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．在评审过程中，响应文件有下列情况之一，评审小组成员应当按照询价通知书规定的非实质性偏离进行扣分：</w:t>
      </w:r>
    </w:p>
    <w:p>
      <w:pPr>
        <w:spacing w:line="400" w:lineRule="exact"/>
        <w:ind w:left="1318" w:leftChars="342" w:hanging="600" w:hangingChars="25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00" w:lineRule="exact"/>
        <w:ind w:firstLine="600" w:firstLineChars="250"/>
        <w:rPr>
          <w:rFonts w:ascii="宋体" w:hAnsi="宋体"/>
          <w:b/>
          <w:sz w:val="32"/>
          <w:szCs w:val="32"/>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spacing w:line="480" w:lineRule="auto"/>
        <w:ind w:firstLine="2891" w:firstLineChars="900"/>
        <w:rPr>
          <w:rFonts w:ascii="宋体" w:hAnsi="宋体"/>
          <w:b/>
          <w:sz w:val="32"/>
          <w:szCs w:val="32"/>
        </w:rPr>
      </w:pPr>
      <w:r>
        <w:rPr>
          <w:rFonts w:hint="eastAsia" w:ascii="宋体" w:hAnsi="宋体"/>
          <w:b/>
          <w:sz w:val="32"/>
          <w:szCs w:val="32"/>
        </w:rPr>
        <w:t>第三部分：业务服务要求</w:t>
      </w:r>
    </w:p>
    <w:p>
      <w:pPr>
        <w:numPr>
          <w:ilvl w:val="0"/>
          <w:numId w:val="1"/>
        </w:numPr>
        <w:spacing w:line="400" w:lineRule="exact"/>
        <w:ind w:left="1318" w:leftChars="342" w:hanging="600" w:hangingChars="250"/>
        <w:rPr>
          <w:rFonts w:asciiTheme="majorEastAsia" w:hAnsiTheme="majorEastAsia" w:eastAsiaTheme="majorEastAsia"/>
          <w:sz w:val="24"/>
        </w:rPr>
      </w:pPr>
      <w:r>
        <w:rPr>
          <w:rFonts w:hint="eastAsia" w:asciiTheme="majorEastAsia" w:hAnsiTheme="majorEastAsia" w:eastAsiaTheme="majorEastAsia"/>
          <w:sz w:val="24"/>
        </w:rPr>
        <w:t>环保管家：协助企业填报政府各类报表，与政府协调沟通、政策咨询，隐患排查等</w:t>
      </w:r>
    </w:p>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相关业务，保证我公司相关业务开展过程中符合安全环保等相关法律法规、技术规范，</w:t>
      </w:r>
      <w:r>
        <w:rPr>
          <w:rFonts w:hint="eastAsia" w:asciiTheme="majorEastAsia" w:hAnsiTheme="majorEastAsia" w:eastAsiaTheme="majorEastAsia"/>
          <w:bCs/>
          <w:sz w:val="24"/>
        </w:rPr>
        <w:t>生态环境部门要求；</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2、水在线监测运维：日常运维、药剂更换、台账编制等相关业务，保证我公司相关业务开展过程中符合安全环保等相关法律法规、技术规范、</w:t>
      </w:r>
      <w:r>
        <w:rPr>
          <w:rFonts w:hint="eastAsia" w:asciiTheme="majorEastAsia" w:hAnsiTheme="majorEastAsia" w:eastAsiaTheme="majorEastAsia"/>
          <w:bCs/>
          <w:sz w:val="24"/>
        </w:rPr>
        <w:t>生态环境部门要求；</w:t>
      </w:r>
    </w:p>
    <w:p>
      <w:pPr>
        <w:spacing w:line="400" w:lineRule="exact"/>
        <w:ind w:firstLine="720" w:firstLineChars="300"/>
        <w:rPr>
          <w:rFonts w:asciiTheme="majorEastAsia" w:hAnsiTheme="majorEastAsia" w:eastAsiaTheme="majorEastAsia"/>
          <w:sz w:val="24"/>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p>
    <w:p>
      <w:pPr>
        <w:tabs>
          <w:tab w:val="left" w:pos="1365"/>
        </w:tabs>
        <w:spacing w:line="400" w:lineRule="exact"/>
        <w:rPr>
          <w:rFonts w:hint="eastAsia" w:cs="黑体" w:asciiTheme="majorEastAsia" w:hAnsiTheme="majorEastAsia" w:eastAsiaTheme="majorEastAsia"/>
          <w:b/>
          <w:bCs/>
          <w:sz w:val="32"/>
          <w:szCs w:val="32"/>
          <w:u w:val="single"/>
        </w:rPr>
      </w:pPr>
    </w:p>
    <w:p>
      <w:pPr>
        <w:tabs>
          <w:tab w:val="left" w:pos="1365"/>
        </w:tabs>
        <w:spacing w:line="400" w:lineRule="exact"/>
        <w:rPr>
          <w:rFonts w:hint="eastAsia" w:cs="黑体" w:asciiTheme="majorEastAsia" w:hAnsiTheme="majorEastAsia" w:eastAsiaTheme="majorEastAsia"/>
          <w:b/>
          <w:bCs/>
          <w:sz w:val="32"/>
          <w:szCs w:val="32"/>
          <w:u w:val="single"/>
        </w:rPr>
      </w:pPr>
    </w:p>
    <w:p>
      <w:pPr>
        <w:tabs>
          <w:tab w:val="left" w:pos="1365"/>
        </w:tabs>
        <w:spacing w:line="400" w:lineRule="exact"/>
        <w:rPr>
          <w:rFonts w:hint="eastAsia" w:cs="黑体" w:asciiTheme="majorEastAsia" w:hAnsiTheme="majorEastAsia" w:eastAsiaTheme="majorEastAsia"/>
          <w:b/>
          <w:bCs/>
          <w:sz w:val="32"/>
          <w:szCs w:val="32"/>
          <w:u w:val="single"/>
        </w:rPr>
      </w:pPr>
    </w:p>
    <w:p>
      <w:pPr>
        <w:tabs>
          <w:tab w:val="left" w:pos="1365"/>
        </w:tabs>
        <w:spacing w:line="400" w:lineRule="exact"/>
        <w:ind w:firstLine="2875" w:firstLineChars="895"/>
        <w:rPr>
          <w:rFonts w:cs="黑体" w:asciiTheme="majorEastAsia" w:hAnsiTheme="majorEastAsia" w:eastAsiaTheme="majorEastAsia"/>
          <w:b/>
          <w:bCs/>
          <w:sz w:val="32"/>
          <w:szCs w:val="32"/>
          <w:u w:val="single"/>
        </w:rPr>
      </w:pPr>
      <w:r>
        <w:rPr>
          <w:rFonts w:hint="eastAsia" w:cs="黑体" w:asciiTheme="majorEastAsia" w:hAnsiTheme="majorEastAsia" w:eastAsiaTheme="majorEastAsia"/>
          <w:b/>
          <w:bCs/>
          <w:sz w:val="32"/>
          <w:szCs w:val="32"/>
          <w:u w:val="single"/>
        </w:rPr>
        <w:t>第四部分    评分标准</w:t>
      </w:r>
    </w:p>
    <w:tbl>
      <w:tblPr>
        <w:tblStyle w:val="14"/>
        <w:tblpPr w:leftFromText="180" w:rightFromText="180" w:vertAnchor="text" w:horzAnchor="page" w:tblpXSpec="center" w:tblpY="207"/>
        <w:tblOverlap w:val="never"/>
        <w:tblW w:w="100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2116"/>
        <w:gridCol w:w="5807"/>
        <w:gridCol w:w="1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03" w:type="dxa"/>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条款号</w:t>
            </w:r>
          </w:p>
        </w:tc>
        <w:tc>
          <w:tcPr>
            <w:tcW w:w="2116" w:type="dxa"/>
          </w:tcPr>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评分因素</w:t>
            </w:r>
          </w:p>
        </w:tc>
        <w:tc>
          <w:tcPr>
            <w:tcW w:w="5807" w:type="dxa"/>
            <w:tcBorders>
              <w:right w:val="outset" w:color="auto" w:sz="6" w:space="0"/>
            </w:tcBorders>
          </w:tcPr>
          <w:p>
            <w:pPr>
              <w:spacing w:line="400" w:lineRule="exact"/>
              <w:ind w:firstLine="1920" w:firstLineChars="800"/>
              <w:rPr>
                <w:rFonts w:asciiTheme="majorEastAsia" w:hAnsiTheme="majorEastAsia" w:eastAsiaTheme="majorEastAsia"/>
                <w:sz w:val="24"/>
              </w:rPr>
            </w:pPr>
            <w:r>
              <w:rPr>
                <w:rFonts w:hint="eastAsia" w:asciiTheme="majorEastAsia" w:hAnsiTheme="majorEastAsia" w:eastAsiaTheme="majorEastAsia"/>
                <w:sz w:val="24"/>
              </w:rPr>
              <w:t>评分标准</w:t>
            </w:r>
          </w:p>
        </w:tc>
        <w:tc>
          <w:tcPr>
            <w:tcW w:w="1139" w:type="dxa"/>
            <w:tcBorders>
              <w:left w:val="outset" w:color="auto" w:sz="6" w:space="0"/>
            </w:tcBorders>
          </w:tcPr>
          <w:p>
            <w:pPr>
              <w:pStyle w:val="32"/>
              <w:tabs>
                <w:tab w:val="center" w:pos="3113"/>
              </w:tabs>
              <w:spacing w:line="360" w:lineRule="auto"/>
              <w:ind w:firstLine="120" w:firstLineChars="50"/>
              <w:jc w:val="both"/>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trPr>
        <w:tc>
          <w:tcPr>
            <w:tcW w:w="1003" w:type="dxa"/>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企业业绩</w:t>
            </w:r>
          </w:p>
        </w:tc>
        <w:tc>
          <w:tcPr>
            <w:tcW w:w="2116" w:type="dxa"/>
            <w:vAlign w:val="center"/>
          </w:tcPr>
          <w:p>
            <w:pPr>
              <w:pStyle w:val="32"/>
              <w:spacing w:line="400" w:lineRule="exact"/>
              <w:jc w:val="both"/>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投标项目的业绩10%</w:t>
            </w:r>
          </w:p>
        </w:tc>
        <w:tc>
          <w:tcPr>
            <w:tcW w:w="5807" w:type="dxa"/>
            <w:tcBorders>
              <w:right w:val="outset" w:color="auto" w:sz="6" w:space="0"/>
            </w:tcBorders>
          </w:tcPr>
          <w:p>
            <w:pPr>
              <w:pStyle w:val="32"/>
              <w:spacing w:line="400" w:lineRule="exact"/>
              <w:ind w:firstLine="480" w:firstLineChars="200"/>
              <w:jc w:val="both"/>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2019 年至今承担过类似业绩，一个业绩得2分，最高10分。</w:t>
            </w:r>
          </w:p>
        </w:tc>
        <w:tc>
          <w:tcPr>
            <w:tcW w:w="1139" w:type="dxa"/>
            <w:tcBorders>
              <w:left w:val="outset" w:color="auto" w:sz="6" w:space="0"/>
            </w:tcBorders>
          </w:tcPr>
          <w:p>
            <w:pPr>
              <w:pStyle w:val="32"/>
              <w:rPr>
                <w:rFonts w:asciiTheme="majorEastAsia" w:hAnsiTheme="majorEastAsia" w:eastAsiaTheme="majorEastAsia"/>
                <w:kern w:val="2"/>
                <w:sz w:val="24"/>
                <w:szCs w:val="24"/>
                <w:lang w:eastAsia="zh-CN"/>
              </w:rPr>
            </w:pPr>
            <w:r>
              <w:rPr>
                <w:rFonts w:hint="eastAsia" w:asciiTheme="majorEastAsia" w:hAnsiTheme="majorEastAsia" w:eastAsiaTheme="majorEastAsia"/>
                <w:kern w:val="2"/>
                <w:sz w:val="24"/>
                <w:szCs w:val="24"/>
                <w:lang w:eastAsia="zh-CN"/>
              </w:rPr>
              <w:t>提供合同复印件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9" w:hRule="atLeast"/>
        </w:trPr>
        <w:tc>
          <w:tcPr>
            <w:tcW w:w="1003" w:type="dxa"/>
            <w:tcBorders>
              <w:bottom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投标报价评分标准</w:t>
            </w:r>
          </w:p>
          <w:p>
            <w:pPr>
              <w:spacing w:line="400" w:lineRule="exact"/>
              <w:ind w:firstLine="720" w:firstLineChars="300"/>
              <w:rPr>
                <w:rFonts w:asciiTheme="majorEastAsia" w:hAnsiTheme="majorEastAsia" w:eastAsiaTheme="majorEastAsia"/>
                <w:sz w:val="24"/>
              </w:rPr>
            </w:pPr>
          </w:p>
        </w:tc>
        <w:tc>
          <w:tcPr>
            <w:tcW w:w="2116" w:type="dxa"/>
            <w:tcBorders>
              <w:bottom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投标报价60%</w:t>
            </w:r>
          </w:p>
          <w:p>
            <w:pPr>
              <w:spacing w:line="400" w:lineRule="exact"/>
              <w:ind w:firstLine="720" w:firstLineChars="300"/>
              <w:rPr>
                <w:rFonts w:asciiTheme="majorEastAsia" w:hAnsiTheme="majorEastAsia" w:eastAsiaTheme="majorEastAsia"/>
                <w:sz w:val="24"/>
              </w:rPr>
            </w:pPr>
          </w:p>
        </w:tc>
        <w:tc>
          <w:tcPr>
            <w:tcW w:w="5807" w:type="dxa"/>
            <w:tcBorders>
              <w:bottom w:val="outset" w:color="auto" w:sz="6" w:space="0"/>
              <w:right w:val="outset" w:color="auto" w:sz="6" w:space="0"/>
            </w:tcBorders>
            <w:vAlign w:val="center"/>
          </w:tcPr>
          <w:p>
            <w:pPr>
              <w:spacing w:line="400" w:lineRule="exact"/>
              <w:rPr>
                <w:rFonts w:asciiTheme="majorEastAsia" w:hAnsiTheme="majorEastAsia" w:eastAsiaTheme="majorEastAsia"/>
              </w:rPr>
            </w:pPr>
            <w:r>
              <w:rPr>
                <w:rFonts w:hint="eastAsia" w:asciiTheme="majorEastAsia" w:hAnsiTheme="majorEastAsia" w:eastAsiaTheme="majorEastAsia"/>
              </w:rPr>
              <w:t>1单个项目当有效投标家数为5家以上（含5家）时，去掉一个最高和最低投标报价，计算其余投标报价的算数平均值A；</w:t>
            </w:r>
          </w:p>
          <w:p>
            <w:pPr>
              <w:spacing w:line="400" w:lineRule="exact"/>
              <w:rPr>
                <w:rFonts w:asciiTheme="majorEastAsia" w:hAnsiTheme="majorEastAsia" w:eastAsiaTheme="majorEastAsia"/>
              </w:rPr>
            </w:pPr>
            <w:r>
              <w:rPr>
                <w:rFonts w:hint="eastAsia" w:asciiTheme="majorEastAsia" w:hAnsiTheme="majorEastAsia" w:eastAsiaTheme="majorEastAsia"/>
              </w:rPr>
              <w:t>2单个项目当有效投标家数少于5家时，计算所有投标报价的算术平均值B；</w:t>
            </w:r>
          </w:p>
          <w:p>
            <w:pPr>
              <w:spacing w:line="400" w:lineRule="exact"/>
              <w:rPr>
                <w:rFonts w:asciiTheme="majorEastAsia" w:hAnsiTheme="majorEastAsia" w:eastAsiaTheme="majorEastAsia"/>
              </w:rPr>
            </w:pPr>
            <w:r>
              <w:rPr>
                <w:rFonts w:hint="eastAsia" w:asciiTheme="majorEastAsia" w:hAnsiTheme="majorEastAsia" w:eastAsiaTheme="majorEastAsia"/>
              </w:rPr>
              <w:t>3评标基准价=A（B）×0.95；</w:t>
            </w:r>
          </w:p>
          <w:p>
            <w:pPr>
              <w:spacing w:line="400" w:lineRule="exact"/>
              <w:rPr>
                <w:rFonts w:asciiTheme="majorEastAsia" w:hAnsiTheme="majorEastAsia" w:eastAsiaTheme="majorEastAsia"/>
              </w:rPr>
            </w:pPr>
            <w:r>
              <w:rPr>
                <w:rFonts w:hint="eastAsia" w:asciiTheme="majorEastAsia" w:hAnsiTheme="majorEastAsia" w:eastAsiaTheme="majorEastAsia"/>
              </w:rPr>
              <w:t>4 环保管家、水在线监测系统运维</w:t>
            </w:r>
            <w:r>
              <w:rPr>
                <w:rFonts w:hint="eastAsia" w:asciiTheme="majorEastAsia" w:hAnsiTheme="majorEastAsia" w:eastAsiaTheme="majorEastAsia"/>
                <w:lang w:val="en-US" w:eastAsia="zh-CN"/>
              </w:rPr>
              <w:t>两</w:t>
            </w:r>
            <w:r>
              <w:rPr>
                <w:rFonts w:hint="eastAsia" w:asciiTheme="majorEastAsia" w:hAnsiTheme="majorEastAsia" w:eastAsiaTheme="majorEastAsia"/>
              </w:rPr>
              <w:t>个项目单独评比，每个项目总分</w:t>
            </w:r>
            <w:r>
              <w:rPr>
                <w:rFonts w:hint="eastAsia" w:asciiTheme="majorEastAsia" w:hAnsiTheme="majorEastAsia" w:eastAsiaTheme="majorEastAsia"/>
                <w:lang w:val="en-US" w:eastAsia="zh-CN"/>
              </w:rPr>
              <w:t>30</w:t>
            </w:r>
            <w:r>
              <w:rPr>
                <w:rFonts w:hint="eastAsia" w:asciiTheme="majorEastAsia" w:hAnsiTheme="majorEastAsia" w:eastAsiaTheme="majorEastAsia"/>
              </w:rPr>
              <w:t>分，分数相加计算投标报价最终得分</w:t>
            </w:r>
          </w:p>
          <w:p>
            <w:pPr>
              <w:spacing w:line="400" w:lineRule="exact"/>
              <w:rPr>
                <w:rFonts w:asciiTheme="majorEastAsia" w:hAnsiTheme="majorEastAsia" w:eastAsiaTheme="majorEastAsia"/>
                <w:sz w:val="24"/>
              </w:rPr>
            </w:pPr>
            <w:r>
              <w:rPr>
                <w:rFonts w:hint="eastAsia" w:asciiTheme="majorEastAsia" w:hAnsiTheme="majorEastAsia" w:eastAsiaTheme="majorEastAsia"/>
              </w:rPr>
              <w:t>投标报价等于评标基准价的投标人价格分为满分，投标报价与评标基准价相比，每高1%扣1分，每低1%扣0.5分，单个项目最多扣10分。</w:t>
            </w:r>
          </w:p>
        </w:tc>
        <w:tc>
          <w:tcPr>
            <w:tcW w:w="1139" w:type="dxa"/>
            <w:tcBorders>
              <w:left w:val="outset" w:color="auto" w:sz="6" w:space="0"/>
              <w:bottom w:val="outset" w:color="auto" w:sz="6" w:space="0"/>
            </w:tcBorders>
            <w:vAlign w:val="center"/>
          </w:tcPr>
          <w:p>
            <w:pPr>
              <w:rPr>
                <w:rFonts w:asciiTheme="majorEastAsia" w:hAnsiTheme="majorEastAsia" w:eastAsiaTheme="maj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0" w:hRule="atLeast"/>
        </w:trPr>
        <w:tc>
          <w:tcPr>
            <w:tcW w:w="1003"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企业实力</w:t>
            </w:r>
          </w:p>
        </w:tc>
        <w:tc>
          <w:tcPr>
            <w:tcW w:w="2116"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企业实力1</w:t>
            </w:r>
            <w:r>
              <w:rPr>
                <w:rFonts w:asciiTheme="majorEastAsia" w:hAnsiTheme="majorEastAsia" w:eastAsiaTheme="majorEastAsia"/>
                <w:sz w:val="24"/>
              </w:rPr>
              <w:t>0</w:t>
            </w:r>
            <w:r>
              <w:rPr>
                <w:rFonts w:hint="eastAsia" w:asciiTheme="majorEastAsia" w:hAnsiTheme="majorEastAsia" w:eastAsiaTheme="majorEastAsia"/>
                <w:sz w:val="24"/>
              </w:rPr>
              <w:t>%</w:t>
            </w:r>
          </w:p>
        </w:tc>
        <w:tc>
          <w:tcPr>
            <w:tcW w:w="5807" w:type="dxa"/>
            <w:tcBorders>
              <w:top w:val="outset" w:color="auto" w:sz="6" w:space="0"/>
              <w:right w:val="outset" w:color="auto" w:sz="6" w:space="0"/>
            </w:tcBorders>
            <w:vAlign w:val="center"/>
          </w:tcPr>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1、项目负责人：</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拟任项目负责人具有注册环评工程师或注册环保工程师，同时具有高级或以上技术职称的得</w:t>
            </w:r>
            <w:r>
              <w:rPr>
                <w:rFonts w:asciiTheme="majorEastAsia" w:hAnsiTheme="majorEastAsia" w:eastAsiaTheme="majorEastAsia"/>
                <w:sz w:val="24"/>
              </w:rPr>
              <w:t>3</w:t>
            </w:r>
            <w:r>
              <w:rPr>
                <w:rFonts w:hint="eastAsia" w:asciiTheme="majorEastAsia" w:hAnsiTheme="majorEastAsia" w:eastAsiaTheme="majorEastAsia"/>
                <w:sz w:val="24"/>
              </w:rPr>
              <w:t>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2、技术负责人：</w:t>
            </w:r>
          </w:p>
          <w:p>
            <w:pPr>
              <w:spacing w:line="4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拟任技术负责人具有注册环评工程师或注册环保工程师，同时具有高级或以上技术职称的得2分。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3、供应商每具有一个注册环评工程师或注册环保工程师得1分，同时具有一个高级及以上技术职称的加0.5分，最高得</w:t>
            </w:r>
            <w:r>
              <w:rPr>
                <w:rFonts w:asciiTheme="majorEastAsia" w:hAnsiTheme="majorEastAsia" w:eastAsiaTheme="majorEastAsia"/>
                <w:sz w:val="24"/>
              </w:rPr>
              <w:t>2</w:t>
            </w:r>
            <w:r>
              <w:rPr>
                <w:rFonts w:hint="eastAsia" w:asciiTheme="majorEastAsia" w:hAnsiTheme="majorEastAsia" w:eastAsiaTheme="majorEastAsia"/>
                <w:sz w:val="24"/>
              </w:rPr>
              <w:t>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4、公司获得过各级政府或行业协会或相关部门表彰，每获得一项得1分，最高得</w:t>
            </w:r>
            <w:r>
              <w:rPr>
                <w:rFonts w:asciiTheme="majorEastAsia" w:hAnsiTheme="majorEastAsia" w:eastAsiaTheme="majorEastAsia"/>
                <w:sz w:val="24"/>
              </w:rPr>
              <w:t>3</w:t>
            </w:r>
            <w:r>
              <w:rPr>
                <w:rFonts w:hint="eastAsia" w:asciiTheme="majorEastAsia" w:hAnsiTheme="majorEastAsia" w:eastAsiaTheme="majorEastAsia"/>
                <w:sz w:val="24"/>
              </w:rPr>
              <w:t>分</w:t>
            </w:r>
          </w:p>
        </w:tc>
        <w:tc>
          <w:tcPr>
            <w:tcW w:w="1139" w:type="dxa"/>
            <w:tcBorders>
              <w:top w:val="outset" w:color="auto" w:sz="6" w:space="0"/>
              <w:left w:val="outset" w:color="auto" w:sz="6" w:space="0"/>
            </w:tcBorders>
            <w:vAlign w:val="center"/>
          </w:tcPr>
          <w:p>
            <w:pPr>
              <w:rPr>
                <w:rFonts w:asciiTheme="majorEastAsia" w:hAnsiTheme="majorEastAsia" w:eastAsiaTheme="majorEastAsia"/>
                <w:sz w:val="24"/>
              </w:rPr>
            </w:pPr>
            <w:r>
              <w:rPr>
                <w:rFonts w:hint="eastAsia" w:asciiTheme="majorEastAsia" w:hAnsiTheme="majorEastAsia" w:eastAsiaTheme="majorEastAsia"/>
                <w:sz w:val="24"/>
              </w:rPr>
              <w:t>提供相关证明材料复印件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03"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方案</w:t>
            </w:r>
          </w:p>
        </w:tc>
        <w:tc>
          <w:tcPr>
            <w:tcW w:w="2116" w:type="dxa"/>
            <w:tcBorders>
              <w:top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方案</w:t>
            </w:r>
            <w:r>
              <w:rPr>
                <w:rFonts w:asciiTheme="majorEastAsia" w:hAnsiTheme="majorEastAsia" w:eastAsiaTheme="majorEastAsia"/>
                <w:sz w:val="24"/>
              </w:rPr>
              <w:t>20</w:t>
            </w:r>
            <w:r>
              <w:rPr>
                <w:rFonts w:hint="eastAsia" w:asciiTheme="majorEastAsia" w:hAnsiTheme="majorEastAsia" w:eastAsiaTheme="majorEastAsia"/>
                <w:sz w:val="24"/>
              </w:rPr>
              <w:t>%</w:t>
            </w:r>
          </w:p>
        </w:tc>
        <w:tc>
          <w:tcPr>
            <w:tcW w:w="5807" w:type="dxa"/>
            <w:tcBorders>
              <w:top w:val="outset" w:color="auto" w:sz="6" w:space="0"/>
              <w:right w:val="outset" w:color="auto" w:sz="6" w:space="0"/>
            </w:tcBorders>
            <w:vAlign w:val="center"/>
          </w:tcPr>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项目设计工作方案全面完整、针对性强、切实可行、确保质量，</w:t>
            </w:r>
          </w:p>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【优】：13-20分；【良】：7-12分；【差】：0-6分。</w:t>
            </w:r>
          </w:p>
          <w:p>
            <w:pPr>
              <w:spacing w:line="400" w:lineRule="exact"/>
              <w:rPr>
                <w:rFonts w:asciiTheme="majorEastAsia" w:hAnsiTheme="majorEastAsia" w:eastAsiaTheme="majorEastAsia"/>
                <w:sz w:val="24"/>
              </w:rPr>
            </w:pPr>
          </w:p>
        </w:tc>
        <w:tc>
          <w:tcPr>
            <w:tcW w:w="1139" w:type="dxa"/>
            <w:tcBorders>
              <w:top w:val="outset" w:color="auto" w:sz="6" w:space="0"/>
              <w:left w:val="outset" w:color="auto" w:sz="6" w:space="0"/>
            </w:tcBorders>
            <w:vAlign w:val="center"/>
          </w:tcPr>
          <w:p>
            <w:pPr>
              <w:rPr>
                <w:rFonts w:asciiTheme="majorEastAsia" w:hAnsiTheme="majorEastAsia" w:eastAsiaTheme="majorEastAsia"/>
                <w:sz w:val="24"/>
              </w:rPr>
            </w:pPr>
          </w:p>
        </w:tc>
      </w:tr>
    </w:tbl>
    <w:p>
      <w:pPr>
        <w:spacing w:line="480" w:lineRule="exact"/>
        <w:ind w:left="719" w:leftChars="228" w:hanging="240" w:hangingChars="100"/>
        <w:rPr>
          <w:rFonts w:asciiTheme="majorEastAsia" w:hAnsiTheme="majorEastAsia" w:eastAsiaTheme="majorEastAsia"/>
          <w:sz w:val="24"/>
        </w:rPr>
      </w:pP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1、评审小组按照综合评分法，得分最高的供应商为成交供应商。</w:t>
      </w: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2、采购结果确定</w:t>
      </w:r>
    </w:p>
    <w:p>
      <w:pPr>
        <w:spacing w:line="480" w:lineRule="exact"/>
        <w:ind w:left="689" w:leftChars="328" w:firstLine="240" w:firstLineChars="100"/>
        <w:rPr>
          <w:rFonts w:asciiTheme="majorEastAsia" w:hAnsiTheme="majorEastAsia" w:eastAsiaTheme="majorEastAsia"/>
          <w:sz w:val="24"/>
        </w:rPr>
      </w:pPr>
      <w:r>
        <w:rPr>
          <w:rFonts w:hint="eastAsia" w:asciiTheme="majorEastAsia" w:hAnsiTheme="majorEastAsia" w:eastAsiaTheme="majorEastAsia"/>
          <w:sz w:val="24"/>
        </w:rPr>
        <w:t>采购人根据评审小组提出的书面评审报告确定成交供应商，综合得分相同的，按响应报价由低到高顺序排列。得分且响应报价相同的，按技术指标优劣顺序排列。</w:t>
      </w: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3、在确定成交结果后，采购人将以《供应商确认通知单》通知参与此次采购的供应商（含未成交供应商）。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4、签订合同</w:t>
      </w: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（1）采购人将在报价有效期期满之前向成交供应商发出《供应商确认通知单》。确认通知单是合同的一个组成部分，对采购人和供应商均具有法律约束力。</w:t>
      </w:r>
    </w:p>
    <w:p>
      <w:pPr>
        <w:spacing w:line="480" w:lineRule="exact"/>
        <w:ind w:left="839" w:leftChars="228" w:hanging="360" w:hangingChars="150"/>
        <w:rPr>
          <w:rFonts w:asciiTheme="majorEastAsia" w:hAnsiTheme="majorEastAsia" w:eastAsiaTheme="majorEastAsia"/>
          <w:sz w:val="24"/>
        </w:rPr>
      </w:pPr>
      <w:r>
        <w:rPr>
          <w:rFonts w:hint="eastAsia" w:asciiTheme="majorEastAsia" w:hAnsiTheme="majorEastAsia" w:eastAsiaTheme="majorEastAsia"/>
          <w:sz w:val="24"/>
        </w:rPr>
        <w:t>（2）确认通知单发出后，采购人改变成交结果的，或者供应商放弃成交项目的，应当依法承担法律责任。</w:t>
      </w: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jc w:val="center"/>
        <w:rPr>
          <w:rFonts w:asciiTheme="majorEastAsia" w:hAnsiTheme="majorEastAsia" w:eastAsiaTheme="majorEastAsia"/>
          <w:sz w:val="32"/>
        </w:rPr>
      </w:pPr>
    </w:p>
    <w:p>
      <w:pPr>
        <w:rPr>
          <w:rFonts w:asciiTheme="majorEastAsia" w:hAnsiTheme="majorEastAsia" w:eastAsiaTheme="majorEastAsia"/>
          <w:sz w:val="32"/>
        </w:rPr>
      </w:pPr>
    </w:p>
    <w:p>
      <w:pPr>
        <w:jc w:val="center"/>
        <w:rPr>
          <w:rFonts w:hint="eastAsia" w:asciiTheme="majorEastAsia" w:hAnsiTheme="majorEastAsia" w:eastAsiaTheme="majorEastAsia"/>
          <w:sz w:val="32"/>
        </w:rPr>
      </w:pPr>
    </w:p>
    <w:p>
      <w:pPr>
        <w:jc w:val="center"/>
        <w:rPr>
          <w:rFonts w:asciiTheme="majorEastAsia" w:hAnsiTheme="majorEastAsia" w:eastAsiaTheme="majorEastAsia"/>
          <w:sz w:val="32"/>
        </w:rPr>
      </w:pPr>
      <w:r>
        <w:rPr>
          <w:rFonts w:hint="eastAsia" w:asciiTheme="majorEastAsia" w:hAnsiTheme="majorEastAsia" w:eastAsiaTheme="majorEastAsia"/>
          <w:sz w:val="32"/>
        </w:rPr>
        <w:t>第五部分商务部分（合同条款）</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采购单位（全称）：</w:t>
      </w:r>
      <w:r>
        <w:rPr>
          <w:rFonts w:hint="eastAsia" w:asciiTheme="majorEastAsia" w:hAnsiTheme="majorEastAsia" w:eastAsiaTheme="majorEastAsia"/>
          <w:sz w:val="24"/>
          <w:u w:val="single"/>
        </w:rPr>
        <w:t>成都光明派特贵金属有限公司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成交供应商（全称）：（简称乙方）</w:t>
      </w:r>
    </w:p>
    <w:p>
      <w:pPr>
        <w:snapToGrid w:val="0"/>
        <w:spacing w:before="160" w:line="460" w:lineRule="exact"/>
        <w:ind w:firstLine="480" w:firstLineChars="200"/>
        <w:rPr>
          <w:sz w:val="24"/>
          <w:u w:val="single"/>
        </w:rPr>
      </w:pPr>
      <w:r>
        <w:rPr>
          <w:rFonts w:hint="eastAsia" w:asciiTheme="majorEastAsia" w:hAnsiTheme="majorEastAsia" w:eastAsiaTheme="majorEastAsia"/>
          <w:sz w:val="24"/>
        </w:rPr>
        <w:t>依照《中华人民共和国政府采购法》、《中华人民共和国合同法》及其他有关法律、行政法规，遵循平等、自愿、公平和诚实信用的原则，双方</w:t>
      </w:r>
      <w:r>
        <w:rPr>
          <w:rFonts w:hint="eastAsia" w:ascii="宋体" w:hAnsi="宋体"/>
          <w:color w:val="000000" w:themeColor="text1"/>
          <w:sz w:val="24"/>
          <w14:textFill>
            <w14:solidFill>
              <w14:schemeClr w14:val="tx1"/>
            </w14:solidFill>
          </w14:textFill>
        </w:rPr>
        <w:t>手持式合金分析仪</w:t>
      </w:r>
      <w:r>
        <w:rPr>
          <w:rFonts w:hint="eastAsia" w:asciiTheme="majorEastAsia" w:hAnsiTheme="majorEastAsia" w:eastAsiaTheme="majorEastAsia"/>
          <w:bCs/>
          <w:color w:val="000000" w:themeColor="text1"/>
          <w:sz w:val="24"/>
          <w14:textFill>
            <w14:solidFill>
              <w14:schemeClr w14:val="tx1"/>
            </w14:solidFill>
          </w14:textFill>
        </w:rPr>
        <w:t>采购</w:t>
      </w:r>
      <w:r>
        <w:rPr>
          <w:rFonts w:hint="eastAsia" w:asciiTheme="majorEastAsia" w:hAnsiTheme="majorEastAsia" w:eastAsiaTheme="majorEastAsia"/>
          <w:bCs/>
          <w:sz w:val="24"/>
        </w:rPr>
        <w:t>相关</w:t>
      </w:r>
      <w:r>
        <w:rPr>
          <w:rFonts w:hint="eastAsia" w:asciiTheme="majorEastAsia" w:hAnsiTheme="majorEastAsia" w:eastAsiaTheme="majorEastAsia"/>
          <w:sz w:val="24"/>
        </w:rPr>
        <w:t>事项协商一致，达成如下合同条款：</w:t>
      </w:r>
    </w:p>
    <w:p>
      <w:pPr>
        <w:snapToGrid w:val="0"/>
        <w:spacing w:before="160"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一、乙方向甲方提供总价值为元的标的（货物</w:t>
      </w:r>
      <w:r>
        <w:rPr>
          <w:rFonts w:asciiTheme="majorEastAsia" w:hAnsiTheme="majorEastAsia" w:eastAsiaTheme="majorEastAsia"/>
          <w:bCs/>
          <w:sz w:val="24"/>
        </w:rPr>
        <w:t>/</w:t>
      </w:r>
      <w:r>
        <w:rPr>
          <w:rFonts w:hint="eastAsia" w:asciiTheme="majorEastAsia" w:hAnsiTheme="majorEastAsia" w:eastAsiaTheme="majorEastAsia"/>
          <w:bCs/>
          <w:sz w:val="24"/>
        </w:rPr>
        <w:t>服务，含</w:t>
      </w:r>
      <w:r>
        <w:rPr>
          <w:rFonts w:asciiTheme="majorEastAsia" w:hAnsiTheme="majorEastAsia" w:eastAsiaTheme="majorEastAsia"/>
          <w:bCs/>
          <w:sz w:val="24"/>
          <w:u w:val="single"/>
        </w:rPr>
        <w:t xml:space="preserve">  </w:t>
      </w:r>
      <w:r>
        <w:rPr>
          <w:rFonts w:asciiTheme="majorEastAsia" w:hAnsiTheme="majorEastAsia" w:eastAsiaTheme="majorEastAsia"/>
          <w:bCs/>
          <w:sz w:val="24"/>
        </w:rPr>
        <w:t>%</w:t>
      </w:r>
      <w:r>
        <w:rPr>
          <w:rFonts w:hint="eastAsia" w:asciiTheme="majorEastAsia" w:hAnsiTheme="majorEastAsia" w:eastAsiaTheme="majorEastAsia"/>
          <w:bCs/>
          <w:sz w:val="24"/>
        </w:rPr>
        <w:t>增值税）。</w:t>
      </w:r>
    </w:p>
    <w:p>
      <w:pPr>
        <w:snapToGrid w:val="0"/>
        <w:spacing w:before="160" w:line="460" w:lineRule="exact"/>
        <w:ind w:firstLine="4016" w:firstLineChars="1250"/>
        <w:rPr>
          <w:rFonts w:asciiTheme="majorEastAsia" w:hAnsiTheme="majorEastAsia" w:eastAsiaTheme="majorEastAsia"/>
          <w:b/>
          <w:sz w:val="32"/>
          <w:szCs w:val="32"/>
        </w:rPr>
      </w:pPr>
    </w:p>
    <w:tbl>
      <w:tblPr>
        <w:tblStyle w:val="14"/>
        <w:tblW w:w="810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项目的名称</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单位</w:t>
            </w:r>
          </w:p>
        </w:tc>
        <w:tc>
          <w:tcPr>
            <w:tcW w:w="1249" w:type="dxa"/>
          </w:tcPr>
          <w:p>
            <w:pPr>
              <w:snapToGrid w:val="0"/>
              <w:spacing w:before="160" w:line="46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数量</w:t>
            </w:r>
          </w:p>
        </w:tc>
        <w:tc>
          <w:tcPr>
            <w:tcW w:w="12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单价（元）</w:t>
            </w:r>
          </w:p>
        </w:tc>
        <w:tc>
          <w:tcPr>
            <w:tcW w:w="14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rPr>
              <w:t>环保管家</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项</w:t>
            </w:r>
          </w:p>
        </w:tc>
        <w:tc>
          <w:tcPr>
            <w:tcW w:w="1249"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1</w:t>
            </w: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rPr>
              <w:t>水在线监测系统运维</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项</w:t>
            </w:r>
          </w:p>
        </w:tc>
        <w:tc>
          <w:tcPr>
            <w:tcW w:w="1249"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1</w:t>
            </w: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其他</w:t>
            </w: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0" w:type="dxa"/>
            <w:gridSpan w:val="5"/>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合计人民币金额（大写）：（￥：元）</w:t>
            </w:r>
          </w:p>
        </w:tc>
      </w:tr>
    </w:tbl>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注：根据项目进展，可分段单项签订合同。</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二、交货时间、地点</w:t>
      </w:r>
    </w:p>
    <w:p>
      <w:pPr>
        <w:spacing w:line="400" w:lineRule="exact"/>
        <w:ind w:left="193" w:leftChars="92" w:firstLine="240" w:firstLineChars="100"/>
        <w:rPr>
          <w:rFonts w:asciiTheme="majorEastAsia" w:hAnsiTheme="majorEastAsia" w:eastAsiaTheme="majorEastAsia"/>
          <w:bCs/>
          <w:sz w:val="24"/>
        </w:rPr>
      </w:pPr>
      <w:r>
        <w:rPr>
          <w:rFonts w:hint="eastAsia" w:asciiTheme="majorEastAsia" w:hAnsiTheme="majorEastAsia" w:eastAsiaTheme="majorEastAsia"/>
          <w:bCs/>
          <w:sz w:val="24"/>
        </w:rPr>
        <w:t>（一）合同签订后，</w:t>
      </w:r>
      <w:r>
        <w:rPr>
          <w:rFonts w:hint="eastAsia" w:asciiTheme="majorEastAsia" w:hAnsiTheme="majorEastAsia" w:eastAsiaTheme="majorEastAsia"/>
          <w:sz w:val="24"/>
        </w:rPr>
        <w:t>环保管家</w:t>
      </w:r>
      <w:r>
        <w:rPr>
          <w:rFonts w:hint="eastAsia" w:asciiTheme="majorEastAsia" w:hAnsiTheme="majorEastAsia" w:eastAsiaTheme="majorEastAsia"/>
          <w:sz w:val="24"/>
          <w:lang w:eastAsia="zh-CN"/>
        </w:rPr>
        <w:t>、</w:t>
      </w:r>
      <w:r>
        <w:rPr>
          <w:rFonts w:hint="eastAsia" w:asciiTheme="majorEastAsia" w:hAnsiTheme="majorEastAsia" w:eastAsiaTheme="majorEastAsia"/>
          <w:sz w:val="24"/>
        </w:rPr>
        <w:t>水在线监测系统运维</w:t>
      </w:r>
      <w:bookmarkStart w:id="1" w:name="_GoBack"/>
      <w:bookmarkEnd w:id="1"/>
      <w:r>
        <w:rPr>
          <w:rFonts w:hint="eastAsia" w:asciiTheme="majorEastAsia" w:hAnsiTheme="majorEastAsia" w:eastAsiaTheme="majorEastAsia"/>
          <w:sz w:val="24"/>
        </w:rPr>
        <w:t>等常规环保相关业服务并</w:t>
      </w:r>
      <w:r>
        <w:rPr>
          <w:rFonts w:hint="eastAsia" w:asciiTheme="majorEastAsia" w:hAnsiTheme="majorEastAsia" w:eastAsiaTheme="majorEastAsia"/>
          <w:bCs/>
          <w:sz w:val="24"/>
        </w:rPr>
        <w:t>必须在相关生态环境保护部门规定期限内完成并</w:t>
      </w:r>
      <w:r>
        <w:rPr>
          <w:rFonts w:hint="eastAsia" w:asciiTheme="majorEastAsia" w:hAnsiTheme="majorEastAsia" w:eastAsiaTheme="majorEastAsia"/>
          <w:sz w:val="24"/>
        </w:rPr>
        <w:t>保证我公司相关业务开展过程中符合安全环保等相关法律法规、</w:t>
      </w:r>
      <w:r>
        <w:rPr>
          <w:rFonts w:hint="eastAsia" w:asciiTheme="majorEastAsia" w:hAnsiTheme="majorEastAsia" w:eastAsiaTheme="majorEastAsia"/>
          <w:bCs/>
          <w:sz w:val="24"/>
        </w:rPr>
        <w:t>相应生态环境部门要求。</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（二）交货地点：成都市龙泉驿区北京路636号。</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三、质量技术标准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bCs/>
          <w:sz w:val="24"/>
        </w:rPr>
        <w:t>乙方根据采购人要求</w:t>
      </w:r>
      <w:r>
        <w:rPr>
          <w:rFonts w:hint="eastAsia" w:asciiTheme="majorEastAsia" w:hAnsiTheme="majorEastAsia" w:eastAsiaTheme="majorEastAsia"/>
          <w:sz w:val="24"/>
        </w:rPr>
        <w:t>及提供的相关资料，按照法律法规、技术规范和政府部门相关规定开展环保管家、水在线监测系统运维等常规环保相关业服务。</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四、各单项环保服务业务开展交付方式及费用</w:t>
      </w:r>
    </w:p>
    <w:p>
      <w:pPr>
        <w:spacing w:line="460" w:lineRule="exact"/>
        <w:ind w:firstLine="960" w:firstLineChars="400"/>
        <w:rPr>
          <w:rFonts w:asciiTheme="majorEastAsia" w:hAnsiTheme="majorEastAsia" w:eastAsiaTheme="majorEastAsia"/>
          <w:bCs/>
          <w:sz w:val="24"/>
        </w:rPr>
      </w:pPr>
      <w:r>
        <w:rPr>
          <w:rFonts w:hint="eastAsia" w:asciiTheme="majorEastAsia" w:hAnsiTheme="majorEastAsia" w:eastAsiaTheme="majorEastAsia"/>
          <w:bCs/>
          <w:sz w:val="24"/>
        </w:rPr>
        <w:t>由乙方自定交付方式，费用自付。</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五、验收</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各单项环保服务业务在生态环境保护部门规定期限内完成，</w:t>
      </w:r>
      <w:r>
        <w:rPr>
          <w:rFonts w:hint="eastAsia" w:asciiTheme="majorEastAsia" w:hAnsiTheme="majorEastAsia" w:eastAsiaTheme="majorEastAsia"/>
          <w:sz w:val="24"/>
        </w:rPr>
        <w:t>保证我公司相关业务开展过程中符合安全环保等相关法律法规、</w:t>
      </w:r>
      <w:r>
        <w:rPr>
          <w:rFonts w:hint="eastAsia" w:asciiTheme="majorEastAsia" w:hAnsiTheme="majorEastAsia" w:eastAsiaTheme="majorEastAsia"/>
          <w:bCs/>
          <w:sz w:val="24"/>
        </w:rPr>
        <w:t>相应生态环境部门要求。</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交付资料：各单项环保服务业务开展过程中的影像资料、台账资料，通过各级生态环境保护部门审核的相关资料。</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六、付款方式</w:t>
      </w:r>
    </w:p>
    <w:p>
      <w:pPr>
        <w:spacing w:line="460" w:lineRule="exact"/>
        <w:ind w:right="-73" w:firstLine="470" w:firstLineChars="196"/>
        <w:rPr>
          <w:rFonts w:asciiTheme="majorEastAsia" w:hAnsiTheme="majorEastAsia" w:eastAsiaTheme="majorEastAsia"/>
          <w:bCs/>
          <w:sz w:val="24"/>
        </w:rPr>
      </w:pPr>
      <w:r>
        <w:rPr>
          <w:rFonts w:hint="eastAsia" w:asciiTheme="majorEastAsia" w:hAnsiTheme="majorEastAsia" w:eastAsiaTheme="majorEastAsia"/>
          <w:bCs/>
          <w:sz w:val="24"/>
        </w:rPr>
        <w:t>根据各单项环保业务服务具体金额、内容确定具体付款方式。</w:t>
      </w:r>
    </w:p>
    <w:p>
      <w:pPr>
        <w:spacing w:line="460" w:lineRule="exact"/>
        <w:ind w:right="-73" w:firstLine="470" w:firstLineChars="196"/>
        <w:rPr>
          <w:rFonts w:asciiTheme="majorEastAsia" w:hAnsiTheme="majorEastAsia" w:eastAsiaTheme="majorEastAsia"/>
          <w:bCs/>
          <w:sz w:val="24"/>
        </w:rPr>
      </w:pPr>
      <w:r>
        <w:rPr>
          <w:rFonts w:hint="eastAsia" w:asciiTheme="majorEastAsia" w:hAnsiTheme="majorEastAsia" w:eastAsiaTheme="majorEastAsia"/>
          <w:bCs/>
          <w:sz w:val="24"/>
        </w:rPr>
        <w:t>七、售后服务</w:t>
      </w:r>
    </w:p>
    <w:p>
      <w:pPr>
        <w:spacing w:line="460" w:lineRule="exact"/>
        <w:ind w:right="-73" w:firstLine="470" w:firstLineChars="196"/>
        <w:rPr>
          <w:rFonts w:asciiTheme="majorEastAsia" w:hAnsiTheme="majorEastAsia" w:eastAsiaTheme="majorEastAsia"/>
          <w:bCs/>
          <w:sz w:val="24"/>
        </w:rPr>
      </w:pPr>
      <w:r>
        <w:rPr>
          <w:rFonts w:hint="eastAsia" w:asciiTheme="majorEastAsia" w:hAnsiTheme="majorEastAsia" w:eastAsiaTheme="majorEastAsia"/>
          <w:bCs/>
          <w:sz w:val="24"/>
        </w:rPr>
        <w:t>配合我公司完成各单项环保服务业务开展过程中遇到的相关问题，政府提出的相关整改要求，保证我公司各项环保业务</w:t>
      </w:r>
      <w:r>
        <w:rPr>
          <w:rFonts w:hint="eastAsia" w:asciiTheme="majorEastAsia" w:hAnsiTheme="majorEastAsia" w:eastAsiaTheme="majorEastAsia"/>
          <w:sz w:val="24"/>
        </w:rPr>
        <w:t>符合安全环保等相关法律法规、技术规范、</w:t>
      </w:r>
      <w:r>
        <w:rPr>
          <w:rFonts w:hint="eastAsia" w:asciiTheme="majorEastAsia" w:hAnsiTheme="majorEastAsia" w:eastAsiaTheme="majorEastAsia"/>
          <w:bCs/>
          <w:sz w:val="24"/>
        </w:rPr>
        <w:t>相应生态环境部门的要求。</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八、违约条款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（一）乙方不按期完成合同约定的内容，应向甲方支付违约金，除甲方或不可抗力造成原因外，每延迟交付一天，按合同总价款的</w:t>
      </w:r>
      <w:r>
        <w:rPr>
          <w:rFonts w:asciiTheme="majorEastAsia" w:hAnsiTheme="majorEastAsia" w:eastAsiaTheme="majorEastAsia"/>
          <w:sz w:val="24"/>
        </w:rPr>
        <w:t>0.5%</w:t>
      </w:r>
      <w:r>
        <w:rPr>
          <w:rFonts w:hint="eastAsia" w:asciiTheme="majorEastAsia" w:hAnsiTheme="majorEastAsia" w:eastAsiaTheme="majorEastAsia"/>
          <w:sz w:val="24"/>
        </w:rPr>
        <w:t>支付违约金，违约金可直接从货款中扣除</w:t>
      </w:r>
      <w:r>
        <w:rPr>
          <w:rFonts w:asciiTheme="majorEastAsia" w:hAnsiTheme="majorEastAsia" w:eastAsiaTheme="majorEastAsia"/>
          <w:sz w:val="24"/>
        </w:rPr>
        <w:t xml:space="preserve">; </w:t>
      </w:r>
      <w:r>
        <w:rPr>
          <w:rFonts w:hint="eastAsia" w:asciiTheme="majorEastAsia" w:hAnsiTheme="majorEastAsia" w:eastAsiaTheme="majorEastAsia"/>
          <w:sz w:val="24"/>
        </w:rPr>
        <w:t>延期超过</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15</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日，甲方有权强制解除合同，追回预付款并赔偿带来的一切损失。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（二）若乙方所开展的各项环保相关业务服务项目应未能符合相关法律法规、技术规范、</w:t>
      </w:r>
      <w:r>
        <w:rPr>
          <w:rFonts w:hint="eastAsia" w:asciiTheme="majorEastAsia" w:hAnsiTheme="majorEastAsia" w:eastAsiaTheme="majorEastAsia"/>
          <w:bCs/>
          <w:sz w:val="24"/>
        </w:rPr>
        <w:t>相应生态环境部门的要求</w:t>
      </w:r>
      <w:r>
        <w:rPr>
          <w:rFonts w:hint="eastAsia" w:asciiTheme="majorEastAsia" w:hAnsiTheme="majorEastAsia" w:eastAsiaTheme="majorEastAsia"/>
          <w:sz w:val="24"/>
        </w:rPr>
        <w:t>，造成我公司受到相关部门处罚，应退还甲方的所支付费用并赔偿相应的损失。</w:t>
      </w:r>
      <w:r>
        <w:rPr>
          <w:rFonts w:asciiTheme="majorEastAsia" w:hAnsiTheme="majorEastAsia" w:eastAsiaTheme="majorEastAsia"/>
          <w:sz w:val="24"/>
        </w:rPr>
        <w:t>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（四）本项目不得转让分包，如有发生，所造成的一切损失由乙方负责。</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九、知识产权</w:t>
      </w:r>
    </w:p>
    <w:p>
      <w:pPr>
        <w:pStyle w:val="8"/>
        <w:spacing w:line="460" w:lineRule="exact"/>
        <w:ind w:left="0" w:leftChars="0" w:firstLine="480" w:firstLineChars="200"/>
        <w:rPr>
          <w:rFonts w:asciiTheme="majorEastAsia" w:hAnsiTheme="majorEastAsia" w:eastAsiaTheme="majorEastAsia"/>
          <w:bCs/>
        </w:rPr>
      </w:pPr>
      <w:r>
        <w:rPr>
          <w:rFonts w:hint="eastAsia" w:asciiTheme="majorEastAsia" w:hAnsiTheme="majorEastAsia" w:eastAsiaTheme="majorEastAsia"/>
          <w:bCs/>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十、合同生效及审核</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本合同经甲方、乙方签字盖章后生效，合同签订的内容不能超出询价采购文件和报价文件的实质性内容。</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十一、合同的组成部分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本合同条款、供应商确认通知书、询价文件、报价文件构成合同的组成部分。</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十二、本合同一式五份，以中文书写，甲方执四份，乙方执一份。</w:t>
      </w:r>
    </w:p>
    <w:p>
      <w:pPr>
        <w:spacing w:line="460" w:lineRule="exact"/>
        <w:ind w:firstLine="480" w:firstLineChars="200"/>
        <w:rPr>
          <w:rFonts w:asciiTheme="majorEastAsia" w:hAnsiTheme="majorEastAsia" w:eastAsiaTheme="majorEastAsia"/>
          <w:bCs/>
          <w:sz w:val="24"/>
        </w:rPr>
      </w:pPr>
      <w:r>
        <w:rPr>
          <w:rFonts w:hint="eastAsia" w:asciiTheme="majorEastAsia" w:hAnsiTheme="majorEastAsia" w:eastAsiaTheme="majorEastAsia"/>
          <w:bCs/>
          <w:sz w:val="24"/>
        </w:rPr>
        <w:t>十三、本合同一切未尽事宜，按合同法有关规定执行，无相关规定的，由甲乙双方协商解决。</w:t>
      </w:r>
    </w:p>
    <w:p>
      <w:pPr>
        <w:spacing w:line="460" w:lineRule="exact"/>
        <w:rPr>
          <w:rFonts w:asciiTheme="majorEastAsia" w:hAnsiTheme="majorEastAsia" w:eastAsiaTheme="majorEastAsia"/>
          <w:sz w:val="24"/>
        </w:rPr>
      </w:pPr>
      <w:r>
        <w:rPr>
          <w:rFonts w:hint="eastAsia" w:asciiTheme="majorEastAsia" w:hAnsiTheme="majorEastAsia" w:eastAsiaTheme="majorEastAsia"/>
          <w:bCs/>
          <w:sz w:val="24"/>
        </w:rPr>
        <w:t xml:space="preserve">甲方：（盖章） </w:t>
      </w:r>
      <w:r>
        <w:rPr>
          <w:rFonts w:asciiTheme="majorEastAsia" w:hAnsiTheme="majorEastAsia" w:eastAsiaTheme="majorEastAsia"/>
          <w:bCs/>
          <w:sz w:val="24"/>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乙方：（盖章）</w:t>
      </w: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hint="eastAsia"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（单位名称）法定代表人授权我单位</w:t>
      </w:r>
    </w:p>
    <w:p>
      <w:pPr>
        <w:pStyle w:val="5"/>
        <w:spacing w:after="0" w:line="560" w:lineRule="exact"/>
        <w:ind w:left="0" w:leftChars="0" w:firstLine="200"/>
        <w:rPr>
          <w:rFonts w:asciiTheme="majorEastAsia" w:hAnsiTheme="majorEastAsia" w:eastAsiaTheme="majorEastAsia"/>
        </w:rPr>
      </w:pPr>
      <w:r>
        <w:rPr>
          <w:rFonts w:hint="eastAsia" w:asciiTheme="majorEastAsia" w:hAnsiTheme="majorEastAsia" w:eastAsiaTheme="majorEastAsia"/>
        </w:rPr>
        <w:t>（职务或职称）（姓名）为我单位本次授权代理人，全权处理此次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报价一览表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项目名称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u w:val="single"/>
              </w:rPr>
            </w:pPr>
            <w:r>
              <w:rPr>
                <w:rFonts w:hint="eastAsia" w:asciiTheme="majorEastAsia" w:hAnsiTheme="majorEastAsia" w:eastAsiaTheme="majorEastAsia"/>
                <w:bCs/>
                <w:sz w:val="24"/>
              </w:rPr>
              <w:t>佰拾万仟佰拾圆角分（含</w:t>
            </w:r>
            <w:r>
              <w:rPr>
                <w:rFonts w:asciiTheme="majorEastAsia" w:hAnsiTheme="majorEastAsia" w:eastAsiaTheme="majorEastAsia"/>
                <w:bCs/>
                <w:sz w:val="24"/>
              </w:rPr>
              <w:t>6%</w:t>
            </w:r>
            <w:r>
              <w:rPr>
                <w:rFonts w:hint="eastAsia" w:asciiTheme="majorEastAsia" w:hAnsiTheme="majorEastAsia" w:eastAsiaTheme="majorEastAsia"/>
                <w:bCs/>
                <w:sz w:val="24"/>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工期时间及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供应商公章：供应商代表签字：</w:t>
      </w:r>
    </w:p>
    <w:p>
      <w:pPr>
        <w:spacing w:line="500" w:lineRule="exact"/>
        <w:ind w:firstLine="280" w:firstLineChars="100"/>
        <w:rPr>
          <w:rFonts w:asciiTheme="majorEastAsia" w:hAnsiTheme="majorEastAsia" w:eastAsiaTheme="majorEastAsia"/>
          <w:sz w:val="28"/>
          <w:szCs w:val="28"/>
          <w:u w:val="single"/>
        </w:rPr>
      </w:pPr>
    </w:p>
    <w:sectPr>
      <w:headerReference r:id="rId3" w:type="default"/>
      <w:footerReference r:id="rId4" w:type="default"/>
      <w:pgSz w:w="11906" w:h="16838"/>
      <w:pgMar w:top="1440" w:right="1080" w:bottom="709"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5</w:t>
    </w:r>
    <w:r>
      <w:rPr>
        <w:lang w:val="zh-CN"/>
      </w:rPr>
      <w:fldChar w:fldCharType="end"/>
    </w:r>
  </w:p>
  <w:p>
    <w:pPr>
      <w:pStyle w:val="10"/>
      <w:tabs>
        <w:tab w:val="left" w:pos="3045"/>
        <w:tab w:val="clear" w:pos="4153"/>
        <w:tab w:val="clear" w:pos="8306"/>
      </w:tabs>
    </w:pPr>
    <w:r>
      <w:tab/>
    </w:r>
  </w:p>
  <w:p>
    <w:pPr>
      <w:pStyle w:val="10"/>
      <w:tabs>
        <w:tab w:val="left" w:pos="3045"/>
        <w:tab w:val="clear" w:pos="4153"/>
        <w:tab w:val="clear" w:pos="8306"/>
      </w:tabs>
    </w:pPr>
  </w:p>
  <w:p>
    <w:pPr>
      <w:pStyle w:val="10"/>
      <w:tabs>
        <w:tab w:val="left" w:pos="3045"/>
        <w:tab w:val="clear" w:pos="4153"/>
        <w:tab w:val="clear" w:pos="8306"/>
      </w:tabs>
    </w:pPr>
  </w:p>
  <w:p>
    <w:pPr>
      <w:pStyle w:val="10"/>
      <w:tabs>
        <w:tab w:val="left" w:pos="3045"/>
        <w:tab w:val="clear" w:pos="4153"/>
        <w:tab w:val="clear" w:pos="8306"/>
      </w:tabs>
    </w:pPr>
  </w:p>
  <w:p>
    <w:pPr>
      <w:pStyle w:val="10"/>
      <w:tabs>
        <w:tab w:val="left" w:pos="3045"/>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1C5BB9"/>
    <w:multiLevelType w:val="singleLevel"/>
    <w:tmpl w:val="CF1C5BB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noLineBreaksAfter w:lang="zh-CN" w:val="$([{£¥·‘“〈《「『【〔〖〝﹙﹛﹝＄（．［｛￡￥"/>
  <w:noLineBreaksBefore w:lang="zh-CN" w:val="!%),.:;&gt;?]}¢¨°·ˇˉ―‖’”…‰′″›℃∶、。〃〉》」』】〕〗〞︶︺︾﹀﹄﹚﹜﹞！＂％＇），．：；？］｀｜｝～￠"/>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ZTJmZmYxODJkYzc0YTMxYjU3M2Y4YmM1ZmE2ZmIifQ=="/>
  </w:docVars>
  <w:rsids>
    <w:rsidRoot w:val="001D5C5B"/>
    <w:rsid w:val="00002D5C"/>
    <w:rsid w:val="00004F24"/>
    <w:rsid w:val="000059E1"/>
    <w:rsid w:val="000134F5"/>
    <w:rsid w:val="0001707C"/>
    <w:rsid w:val="0003284F"/>
    <w:rsid w:val="000359B3"/>
    <w:rsid w:val="00043AB9"/>
    <w:rsid w:val="00052939"/>
    <w:rsid w:val="00054943"/>
    <w:rsid w:val="00055598"/>
    <w:rsid w:val="00062AD1"/>
    <w:rsid w:val="000642AE"/>
    <w:rsid w:val="00065622"/>
    <w:rsid w:val="00066C4B"/>
    <w:rsid w:val="00074BB0"/>
    <w:rsid w:val="00076DDE"/>
    <w:rsid w:val="00080617"/>
    <w:rsid w:val="00080728"/>
    <w:rsid w:val="00081171"/>
    <w:rsid w:val="00082FDC"/>
    <w:rsid w:val="00083906"/>
    <w:rsid w:val="00085B69"/>
    <w:rsid w:val="00090064"/>
    <w:rsid w:val="00093204"/>
    <w:rsid w:val="000938C7"/>
    <w:rsid w:val="0009541D"/>
    <w:rsid w:val="00096FC7"/>
    <w:rsid w:val="000A02CA"/>
    <w:rsid w:val="000A26CE"/>
    <w:rsid w:val="000A5947"/>
    <w:rsid w:val="000A5A07"/>
    <w:rsid w:val="000A6302"/>
    <w:rsid w:val="000B69C1"/>
    <w:rsid w:val="000B6C20"/>
    <w:rsid w:val="000B7EEB"/>
    <w:rsid w:val="000D04B9"/>
    <w:rsid w:val="000D0B49"/>
    <w:rsid w:val="000D54A8"/>
    <w:rsid w:val="000D5876"/>
    <w:rsid w:val="000D5F10"/>
    <w:rsid w:val="000D6E16"/>
    <w:rsid w:val="000E0AC0"/>
    <w:rsid w:val="000E31BB"/>
    <w:rsid w:val="000E4068"/>
    <w:rsid w:val="000F187B"/>
    <w:rsid w:val="000F5456"/>
    <w:rsid w:val="000F5A2E"/>
    <w:rsid w:val="000F6FD1"/>
    <w:rsid w:val="001057D4"/>
    <w:rsid w:val="00105E33"/>
    <w:rsid w:val="00107961"/>
    <w:rsid w:val="001122E1"/>
    <w:rsid w:val="00113340"/>
    <w:rsid w:val="001273AC"/>
    <w:rsid w:val="00133A60"/>
    <w:rsid w:val="00136914"/>
    <w:rsid w:val="00136FFD"/>
    <w:rsid w:val="001371CF"/>
    <w:rsid w:val="00137FE0"/>
    <w:rsid w:val="00160BF2"/>
    <w:rsid w:val="0016739D"/>
    <w:rsid w:val="00173640"/>
    <w:rsid w:val="001739D8"/>
    <w:rsid w:val="0017461B"/>
    <w:rsid w:val="00175ADD"/>
    <w:rsid w:val="00177DFE"/>
    <w:rsid w:val="001866EC"/>
    <w:rsid w:val="00195AF2"/>
    <w:rsid w:val="001A48BF"/>
    <w:rsid w:val="001B0EB3"/>
    <w:rsid w:val="001B527D"/>
    <w:rsid w:val="001B5F50"/>
    <w:rsid w:val="001B68D5"/>
    <w:rsid w:val="001B6B00"/>
    <w:rsid w:val="001D5C5B"/>
    <w:rsid w:val="001D7F20"/>
    <w:rsid w:val="001E43E1"/>
    <w:rsid w:val="001E7195"/>
    <w:rsid w:val="001F032A"/>
    <w:rsid w:val="001F06CE"/>
    <w:rsid w:val="001F168B"/>
    <w:rsid w:val="001F558B"/>
    <w:rsid w:val="00202ECF"/>
    <w:rsid w:val="002068FC"/>
    <w:rsid w:val="002232E6"/>
    <w:rsid w:val="00224555"/>
    <w:rsid w:val="00227568"/>
    <w:rsid w:val="0023226C"/>
    <w:rsid w:val="002360D7"/>
    <w:rsid w:val="00241005"/>
    <w:rsid w:val="002440BF"/>
    <w:rsid w:val="002500AC"/>
    <w:rsid w:val="00250CBC"/>
    <w:rsid w:val="00250F43"/>
    <w:rsid w:val="002549BB"/>
    <w:rsid w:val="0025761E"/>
    <w:rsid w:val="00260F22"/>
    <w:rsid w:val="00266ABF"/>
    <w:rsid w:val="00281ED1"/>
    <w:rsid w:val="002831F9"/>
    <w:rsid w:val="00283A4B"/>
    <w:rsid w:val="002905DC"/>
    <w:rsid w:val="00291B20"/>
    <w:rsid w:val="002933BE"/>
    <w:rsid w:val="00295A5F"/>
    <w:rsid w:val="002A5C23"/>
    <w:rsid w:val="002B5E1D"/>
    <w:rsid w:val="002C52F2"/>
    <w:rsid w:val="002D3103"/>
    <w:rsid w:val="002D4950"/>
    <w:rsid w:val="002D557A"/>
    <w:rsid w:val="002E2C0E"/>
    <w:rsid w:val="002E5C45"/>
    <w:rsid w:val="002E6679"/>
    <w:rsid w:val="002F4E29"/>
    <w:rsid w:val="002F61B2"/>
    <w:rsid w:val="00300DEC"/>
    <w:rsid w:val="003066B6"/>
    <w:rsid w:val="00306EF5"/>
    <w:rsid w:val="00307B93"/>
    <w:rsid w:val="00311A45"/>
    <w:rsid w:val="00312716"/>
    <w:rsid w:val="00315D16"/>
    <w:rsid w:val="00316E94"/>
    <w:rsid w:val="00322275"/>
    <w:rsid w:val="00323947"/>
    <w:rsid w:val="003241B6"/>
    <w:rsid w:val="003263F6"/>
    <w:rsid w:val="00326CB9"/>
    <w:rsid w:val="003307C8"/>
    <w:rsid w:val="003350B5"/>
    <w:rsid w:val="00337214"/>
    <w:rsid w:val="00337915"/>
    <w:rsid w:val="003430A8"/>
    <w:rsid w:val="003457BD"/>
    <w:rsid w:val="00350995"/>
    <w:rsid w:val="00351401"/>
    <w:rsid w:val="003564BD"/>
    <w:rsid w:val="00357DE6"/>
    <w:rsid w:val="00364E96"/>
    <w:rsid w:val="00366E00"/>
    <w:rsid w:val="00367250"/>
    <w:rsid w:val="00372054"/>
    <w:rsid w:val="003733FB"/>
    <w:rsid w:val="003746A9"/>
    <w:rsid w:val="003813BF"/>
    <w:rsid w:val="0038267D"/>
    <w:rsid w:val="003835A1"/>
    <w:rsid w:val="0038556C"/>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057C7"/>
    <w:rsid w:val="004070BB"/>
    <w:rsid w:val="00407486"/>
    <w:rsid w:val="004136D5"/>
    <w:rsid w:val="00416499"/>
    <w:rsid w:val="00416B67"/>
    <w:rsid w:val="00417976"/>
    <w:rsid w:val="0042233F"/>
    <w:rsid w:val="00426D8D"/>
    <w:rsid w:val="00434F5F"/>
    <w:rsid w:val="00444E43"/>
    <w:rsid w:val="004559AE"/>
    <w:rsid w:val="00457AC8"/>
    <w:rsid w:val="00467BF2"/>
    <w:rsid w:val="004738C5"/>
    <w:rsid w:val="00473CE9"/>
    <w:rsid w:val="00475E78"/>
    <w:rsid w:val="004767DE"/>
    <w:rsid w:val="00477E9D"/>
    <w:rsid w:val="00482A91"/>
    <w:rsid w:val="00484459"/>
    <w:rsid w:val="00493964"/>
    <w:rsid w:val="00494714"/>
    <w:rsid w:val="004A1B16"/>
    <w:rsid w:val="004A2169"/>
    <w:rsid w:val="004A35EE"/>
    <w:rsid w:val="004A5180"/>
    <w:rsid w:val="004A5D6D"/>
    <w:rsid w:val="004A715A"/>
    <w:rsid w:val="004A7AFA"/>
    <w:rsid w:val="004B36C6"/>
    <w:rsid w:val="004B4E00"/>
    <w:rsid w:val="004B5B28"/>
    <w:rsid w:val="004B7B52"/>
    <w:rsid w:val="004C697D"/>
    <w:rsid w:val="004D2E4D"/>
    <w:rsid w:val="004D3766"/>
    <w:rsid w:val="004E2D26"/>
    <w:rsid w:val="004F3CD4"/>
    <w:rsid w:val="00502C52"/>
    <w:rsid w:val="00503998"/>
    <w:rsid w:val="00503ABE"/>
    <w:rsid w:val="005051CE"/>
    <w:rsid w:val="00512F3D"/>
    <w:rsid w:val="00522216"/>
    <w:rsid w:val="0052248C"/>
    <w:rsid w:val="00525AF8"/>
    <w:rsid w:val="005276CB"/>
    <w:rsid w:val="00534BBF"/>
    <w:rsid w:val="00537195"/>
    <w:rsid w:val="005614A4"/>
    <w:rsid w:val="00571165"/>
    <w:rsid w:val="00572F09"/>
    <w:rsid w:val="00585959"/>
    <w:rsid w:val="005860C0"/>
    <w:rsid w:val="005973C6"/>
    <w:rsid w:val="0059790D"/>
    <w:rsid w:val="005A4838"/>
    <w:rsid w:val="005A5B27"/>
    <w:rsid w:val="005B390E"/>
    <w:rsid w:val="005B3D73"/>
    <w:rsid w:val="005D145E"/>
    <w:rsid w:val="005D2C75"/>
    <w:rsid w:val="005D49C4"/>
    <w:rsid w:val="005D61F0"/>
    <w:rsid w:val="005D6830"/>
    <w:rsid w:val="005E2A05"/>
    <w:rsid w:val="005F3DBF"/>
    <w:rsid w:val="005F4CBF"/>
    <w:rsid w:val="005F6E38"/>
    <w:rsid w:val="006002A8"/>
    <w:rsid w:val="006015BD"/>
    <w:rsid w:val="0060160D"/>
    <w:rsid w:val="00601AB7"/>
    <w:rsid w:val="006023B2"/>
    <w:rsid w:val="0060606F"/>
    <w:rsid w:val="00611225"/>
    <w:rsid w:val="006118BC"/>
    <w:rsid w:val="00613697"/>
    <w:rsid w:val="00623D78"/>
    <w:rsid w:val="006255A5"/>
    <w:rsid w:val="00626C79"/>
    <w:rsid w:val="00631D05"/>
    <w:rsid w:val="006334FC"/>
    <w:rsid w:val="0063784B"/>
    <w:rsid w:val="00643BB8"/>
    <w:rsid w:val="006446FE"/>
    <w:rsid w:val="006559C3"/>
    <w:rsid w:val="006657F5"/>
    <w:rsid w:val="00667CCD"/>
    <w:rsid w:val="00676F06"/>
    <w:rsid w:val="006813FF"/>
    <w:rsid w:val="00683831"/>
    <w:rsid w:val="00690DB2"/>
    <w:rsid w:val="00692479"/>
    <w:rsid w:val="00692B56"/>
    <w:rsid w:val="00695058"/>
    <w:rsid w:val="00697A76"/>
    <w:rsid w:val="006A19BA"/>
    <w:rsid w:val="006B6879"/>
    <w:rsid w:val="006C1673"/>
    <w:rsid w:val="006C2780"/>
    <w:rsid w:val="006C7FE2"/>
    <w:rsid w:val="006D2393"/>
    <w:rsid w:val="006D5AA1"/>
    <w:rsid w:val="006D7240"/>
    <w:rsid w:val="006E735F"/>
    <w:rsid w:val="006F0B97"/>
    <w:rsid w:val="006F543B"/>
    <w:rsid w:val="00700598"/>
    <w:rsid w:val="0070183D"/>
    <w:rsid w:val="00702349"/>
    <w:rsid w:val="00703A3B"/>
    <w:rsid w:val="007068E8"/>
    <w:rsid w:val="00712E24"/>
    <w:rsid w:val="00715514"/>
    <w:rsid w:val="007215D7"/>
    <w:rsid w:val="00721E68"/>
    <w:rsid w:val="00724366"/>
    <w:rsid w:val="00724C73"/>
    <w:rsid w:val="00750F73"/>
    <w:rsid w:val="00761E15"/>
    <w:rsid w:val="007649B3"/>
    <w:rsid w:val="007662F5"/>
    <w:rsid w:val="007671BC"/>
    <w:rsid w:val="00770D3B"/>
    <w:rsid w:val="00771CF8"/>
    <w:rsid w:val="00784599"/>
    <w:rsid w:val="007A2C20"/>
    <w:rsid w:val="007A30EE"/>
    <w:rsid w:val="007A5F95"/>
    <w:rsid w:val="007B4FE1"/>
    <w:rsid w:val="007C0A0B"/>
    <w:rsid w:val="007C4B71"/>
    <w:rsid w:val="007D02CF"/>
    <w:rsid w:val="007D5894"/>
    <w:rsid w:val="007D745C"/>
    <w:rsid w:val="007F7483"/>
    <w:rsid w:val="00803305"/>
    <w:rsid w:val="008103F7"/>
    <w:rsid w:val="0081100C"/>
    <w:rsid w:val="0081179D"/>
    <w:rsid w:val="00817AAA"/>
    <w:rsid w:val="008215FB"/>
    <w:rsid w:val="0083029A"/>
    <w:rsid w:val="008333FB"/>
    <w:rsid w:val="008340A2"/>
    <w:rsid w:val="0084141C"/>
    <w:rsid w:val="00843973"/>
    <w:rsid w:val="00860ACA"/>
    <w:rsid w:val="00863011"/>
    <w:rsid w:val="00865C90"/>
    <w:rsid w:val="00870EF3"/>
    <w:rsid w:val="00871EBA"/>
    <w:rsid w:val="00876E5A"/>
    <w:rsid w:val="00890E83"/>
    <w:rsid w:val="008943BD"/>
    <w:rsid w:val="00897E3F"/>
    <w:rsid w:val="008A06E1"/>
    <w:rsid w:val="008A2FCB"/>
    <w:rsid w:val="008A53B2"/>
    <w:rsid w:val="008A5493"/>
    <w:rsid w:val="008A7845"/>
    <w:rsid w:val="008B625F"/>
    <w:rsid w:val="008D1969"/>
    <w:rsid w:val="008D28F5"/>
    <w:rsid w:val="008D3752"/>
    <w:rsid w:val="008D6232"/>
    <w:rsid w:val="008D71AD"/>
    <w:rsid w:val="008D7E1C"/>
    <w:rsid w:val="008E016E"/>
    <w:rsid w:val="008E52D6"/>
    <w:rsid w:val="008E58D6"/>
    <w:rsid w:val="008F720C"/>
    <w:rsid w:val="00917906"/>
    <w:rsid w:val="00921CC7"/>
    <w:rsid w:val="0092360C"/>
    <w:rsid w:val="0093515E"/>
    <w:rsid w:val="009368FD"/>
    <w:rsid w:val="009402E4"/>
    <w:rsid w:val="009410F1"/>
    <w:rsid w:val="00941B4B"/>
    <w:rsid w:val="009431E6"/>
    <w:rsid w:val="009472B8"/>
    <w:rsid w:val="00951F87"/>
    <w:rsid w:val="00951FF9"/>
    <w:rsid w:val="00955B9C"/>
    <w:rsid w:val="009567DA"/>
    <w:rsid w:val="009621CC"/>
    <w:rsid w:val="009639EC"/>
    <w:rsid w:val="00971AB8"/>
    <w:rsid w:val="00973733"/>
    <w:rsid w:val="009737FA"/>
    <w:rsid w:val="00984559"/>
    <w:rsid w:val="009855C8"/>
    <w:rsid w:val="009945E0"/>
    <w:rsid w:val="00995615"/>
    <w:rsid w:val="009A0C62"/>
    <w:rsid w:val="009A1D5E"/>
    <w:rsid w:val="009A2494"/>
    <w:rsid w:val="009A4D82"/>
    <w:rsid w:val="009A4E6A"/>
    <w:rsid w:val="009A7C53"/>
    <w:rsid w:val="009B13D3"/>
    <w:rsid w:val="009C1AE2"/>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6C38"/>
    <w:rsid w:val="00A179F4"/>
    <w:rsid w:val="00A25955"/>
    <w:rsid w:val="00A27DF4"/>
    <w:rsid w:val="00A30ED5"/>
    <w:rsid w:val="00A35D17"/>
    <w:rsid w:val="00A362A7"/>
    <w:rsid w:val="00A40D6D"/>
    <w:rsid w:val="00A45710"/>
    <w:rsid w:val="00A47B6E"/>
    <w:rsid w:val="00A5002B"/>
    <w:rsid w:val="00A52DDA"/>
    <w:rsid w:val="00A5386F"/>
    <w:rsid w:val="00A53DA3"/>
    <w:rsid w:val="00A54D70"/>
    <w:rsid w:val="00A568D6"/>
    <w:rsid w:val="00A60C47"/>
    <w:rsid w:val="00A6168F"/>
    <w:rsid w:val="00A61DCC"/>
    <w:rsid w:val="00A67821"/>
    <w:rsid w:val="00A71748"/>
    <w:rsid w:val="00A71CBF"/>
    <w:rsid w:val="00A75068"/>
    <w:rsid w:val="00A7526D"/>
    <w:rsid w:val="00A828D1"/>
    <w:rsid w:val="00A84368"/>
    <w:rsid w:val="00A86337"/>
    <w:rsid w:val="00A91CD9"/>
    <w:rsid w:val="00A92A0A"/>
    <w:rsid w:val="00A938C7"/>
    <w:rsid w:val="00A9418F"/>
    <w:rsid w:val="00A95B1B"/>
    <w:rsid w:val="00AA2952"/>
    <w:rsid w:val="00AA2A29"/>
    <w:rsid w:val="00AA5F77"/>
    <w:rsid w:val="00AA7E83"/>
    <w:rsid w:val="00AA7F28"/>
    <w:rsid w:val="00AB350A"/>
    <w:rsid w:val="00AB44C4"/>
    <w:rsid w:val="00AB4B0F"/>
    <w:rsid w:val="00AB66CA"/>
    <w:rsid w:val="00AD13C4"/>
    <w:rsid w:val="00AE25A4"/>
    <w:rsid w:val="00AE3697"/>
    <w:rsid w:val="00AF00A5"/>
    <w:rsid w:val="00AF0CAF"/>
    <w:rsid w:val="00AF3DBB"/>
    <w:rsid w:val="00B022A9"/>
    <w:rsid w:val="00B10E35"/>
    <w:rsid w:val="00B228F4"/>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4A4C"/>
    <w:rsid w:val="00B65233"/>
    <w:rsid w:val="00B65856"/>
    <w:rsid w:val="00B7003F"/>
    <w:rsid w:val="00B72C5E"/>
    <w:rsid w:val="00B775A8"/>
    <w:rsid w:val="00B80904"/>
    <w:rsid w:val="00B82FD7"/>
    <w:rsid w:val="00B8436B"/>
    <w:rsid w:val="00B84663"/>
    <w:rsid w:val="00B86E0C"/>
    <w:rsid w:val="00B93E89"/>
    <w:rsid w:val="00B94588"/>
    <w:rsid w:val="00B948C3"/>
    <w:rsid w:val="00B979B0"/>
    <w:rsid w:val="00BA139D"/>
    <w:rsid w:val="00BA6D07"/>
    <w:rsid w:val="00BB3E81"/>
    <w:rsid w:val="00BB4469"/>
    <w:rsid w:val="00BB6E08"/>
    <w:rsid w:val="00BB7388"/>
    <w:rsid w:val="00BC44E7"/>
    <w:rsid w:val="00BC57D8"/>
    <w:rsid w:val="00BC65EE"/>
    <w:rsid w:val="00BC6DB6"/>
    <w:rsid w:val="00BD103A"/>
    <w:rsid w:val="00BD4241"/>
    <w:rsid w:val="00BD5564"/>
    <w:rsid w:val="00BD5D08"/>
    <w:rsid w:val="00BE003A"/>
    <w:rsid w:val="00BE252C"/>
    <w:rsid w:val="00BE2CB7"/>
    <w:rsid w:val="00BE3E8B"/>
    <w:rsid w:val="00BE4314"/>
    <w:rsid w:val="00BF2030"/>
    <w:rsid w:val="00BF3CE1"/>
    <w:rsid w:val="00BF4510"/>
    <w:rsid w:val="00BF7486"/>
    <w:rsid w:val="00C00131"/>
    <w:rsid w:val="00C1660B"/>
    <w:rsid w:val="00C36DBA"/>
    <w:rsid w:val="00C50A9E"/>
    <w:rsid w:val="00C5468D"/>
    <w:rsid w:val="00C546B1"/>
    <w:rsid w:val="00C57911"/>
    <w:rsid w:val="00C634CE"/>
    <w:rsid w:val="00C63FCE"/>
    <w:rsid w:val="00C72709"/>
    <w:rsid w:val="00C8210E"/>
    <w:rsid w:val="00C82C5C"/>
    <w:rsid w:val="00C83359"/>
    <w:rsid w:val="00C911DE"/>
    <w:rsid w:val="00C928D9"/>
    <w:rsid w:val="00C9795A"/>
    <w:rsid w:val="00CA0662"/>
    <w:rsid w:val="00CA67EB"/>
    <w:rsid w:val="00CA6D13"/>
    <w:rsid w:val="00CB2AA3"/>
    <w:rsid w:val="00CB467D"/>
    <w:rsid w:val="00CD23BD"/>
    <w:rsid w:val="00CE0DB1"/>
    <w:rsid w:val="00CE3E61"/>
    <w:rsid w:val="00CF19CE"/>
    <w:rsid w:val="00D00796"/>
    <w:rsid w:val="00D0519C"/>
    <w:rsid w:val="00D11AB7"/>
    <w:rsid w:val="00D16EAC"/>
    <w:rsid w:val="00D2269C"/>
    <w:rsid w:val="00D27AD0"/>
    <w:rsid w:val="00D27E3F"/>
    <w:rsid w:val="00D31155"/>
    <w:rsid w:val="00D35281"/>
    <w:rsid w:val="00D46F30"/>
    <w:rsid w:val="00D47C7B"/>
    <w:rsid w:val="00D50535"/>
    <w:rsid w:val="00D51BE7"/>
    <w:rsid w:val="00D52A6A"/>
    <w:rsid w:val="00D61ACB"/>
    <w:rsid w:val="00D61AD2"/>
    <w:rsid w:val="00D65DD8"/>
    <w:rsid w:val="00D67A5F"/>
    <w:rsid w:val="00D769AD"/>
    <w:rsid w:val="00D76F1E"/>
    <w:rsid w:val="00D81C3F"/>
    <w:rsid w:val="00D82291"/>
    <w:rsid w:val="00D83B31"/>
    <w:rsid w:val="00D85282"/>
    <w:rsid w:val="00D85348"/>
    <w:rsid w:val="00D9088E"/>
    <w:rsid w:val="00D939E1"/>
    <w:rsid w:val="00DA0C40"/>
    <w:rsid w:val="00DB3AE4"/>
    <w:rsid w:val="00DC675C"/>
    <w:rsid w:val="00DC7085"/>
    <w:rsid w:val="00DD1E2E"/>
    <w:rsid w:val="00DD323E"/>
    <w:rsid w:val="00DD58B9"/>
    <w:rsid w:val="00DE1B7F"/>
    <w:rsid w:val="00DE5D4C"/>
    <w:rsid w:val="00DE78C6"/>
    <w:rsid w:val="00DE7DA6"/>
    <w:rsid w:val="00DF2660"/>
    <w:rsid w:val="00E00735"/>
    <w:rsid w:val="00E011DC"/>
    <w:rsid w:val="00E01533"/>
    <w:rsid w:val="00E0283D"/>
    <w:rsid w:val="00E0301E"/>
    <w:rsid w:val="00E122D2"/>
    <w:rsid w:val="00E12310"/>
    <w:rsid w:val="00E167A6"/>
    <w:rsid w:val="00E23490"/>
    <w:rsid w:val="00E24E3D"/>
    <w:rsid w:val="00E32EF6"/>
    <w:rsid w:val="00E34E6C"/>
    <w:rsid w:val="00E352CD"/>
    <w:rsid w:val="00E419B2"/>
    <w:rsid w:val="00E43322"/>
    <w:rsid w:val="00E43563"/>
    <w:rsid w:val="00E43FC9"/>
    <w:rsid w:val="00E47446"/>
    <w:rsid w:val="00E511F4"/>
    <w:rsid w:val="00E56448"/>
    <w:rsid w:val="00E644BD"/>
    <w:rsid w:val="00E65AF2"/>
    <w:rsid w:val="00E72AD1"/>
    <w:rsid w:val="00E80A2C"/>
    <w:rsid w:val="00E8298B"/>
    <w:rsid w:val="00E85AB2"/>
    <w:rsid w:val="00E9236D"/>
    <w:rsid w:val="00E92E4C"/>
    <w:rsid w:val="00EA321D"/>
    <w:rsid w:val="00EB0D34"/>
    <w:rsid w:val="00EB2B14"/>
    <w:rsid w:val="00EB39AD"/>
    <w:rsid w:val="00EB5501"/>
    <w:rsid w:val="00EC177C"/>
    <w:rsid w:val="00EC393C"/>
    <w:rsid w:val="00EC4973"/>
    <w:rsid w:val="00ED379C"/>
    <w:rsid w:val="00ED6286"/>
    <w:rsid w:val="00ED67F3"/>
    <w:rsid w:val="00ED7306"/>
    <w:rsid w:val="00EE068C"/>
    <w:rsid w:val="00EE16BE"/>
    <w:rsid w:val="00EE54EF"/>
    <w:rsid w:val="00EE5C8A"/>
    <w:rsid w:val="00EE7AF1"/>
    <w:rsid w:val="00EF09B5"/>
    <w:rsid w:val="00EF09F2"/>
    <w:rsid w:val="00EF0BE3"/>
    <w:rsid w:val="00F00046"/>
    <w:rsid w:val="00F01C83"/>
    <w:rsid w:val="00F022E7"/>
    <w:rsid w:val="00F0417F"/>
    <w:rsid w:val="00F05A1F"/>
    <w:rsid w:val="00F14589"/>
    <w:rsid w:val="00F148E8"/>
    <w:rsid w:val="00F14C31"/>
    <w:rsid w:val="00F151E3"/>
    <w:rsid w:val="00F17A2F"/>
    <w:rsid w:val="00F20A53"/>
    <w:rsid w:val="00F21AB1"/>
    <w:rsid w:val="00F22EA2"/>
    <w:rsid w:val="00F22FBF"/>
    <w:rsid w:val="00F25CBA"/>
    <w:rsid w:val="00F3020E"/>
    <w:rsid w:val="00F344C3"/>
    <w:rsid w:val="00F42D56"/>
    <w:rsid w:val="00F440CE"/>
    <w:rsid w:val="00F50DC5"/>
    <w:rsid w:val="00F55F40"/>
    <w:rsid w:val="00F70FAB"/>
    <w:rsid w:val="00F75009"/>
    <w:rsid w:val="00F82D3F"/>
    <w:rsid w:val="00F85486"/>
    <w:rsid w:val="00F90ADB"/>
    <w:rsid w:val="00F979D4"/>
    <w:rsid w:val="00FA0B98"/>
    <w:rsid w:val="00FA22F5"/>
    <w:rsid w:val="00FA513D"/>
    <w:rsid w:val="00FA52FE"/>
    <w:rsid w:val="00FA6923"/>
    <w:rsid w:val="00FB0CA9"/>
    <w:rsid w:val="00FB30D2"/>
    <w:rsid w:val="00FC479D"/>
    <w:rsid w:val="00FC70CD"/>
    <w:rsid w:val="00FD35BF"/>
    <w:rsid w:val="00FE215B"/>
    <w:rsid w:val="00FE3998"/>
    <w:rsid w:val="00FE4813"/>
    <w:rsid w:val="00FF1D52"/>
    <w:rsid w:val="00FF1DF5"/>
    <w:rsid w:val="00FF3AA4"/>
    <w:rsid w:val="00FF41C3"/>
    <w:rsid w:val="00FF4A66"/>
    <w:rsid w:val="01910A08"/>
    <w:rsid w:val="019D115B"/>
    <w:rsid w:val="020015CD"/>
    <w:rsid w:val="0204567E"/>
    <w:rsid w:val="026A344E"/>
    <w:rsid w:val="029562D6"/>
    <w:rsid w:val="052120A3"/>
    <w:rsid w:val="057038BA"/>
    <w:rsid w:val="0685411A"/>
    <w:rsid w:val="084B3098"/>
    <w:rsid w:val="08852948"/>
    <w:rsid w:val="08E07707"/>
    <w:rsid w:val="093A3400"/>
    <w:rsid w:val="09B94F9F"/>
    <w:rsid w:val="09C53944"/>
    <w:rsid w:val="0EC20452"/>
    <w:rsid w:val="0F19203C"/>
    <w:rsid w:val="0FDF0D69"/>
    <w:rsid w:val="1020655B"/>
    <w:rsid w:val="12BE3627"/>
    <w:rsid w:val="1309715D"/>
    <w:rsid w:val="144E4536"/>
    <w:rsid w:val="14F973A1"/>
    <w:rsid w:val="170209AC"/>
    <w:rsid w:val="17051824"/>
    <w:rsid w:val="19874772"/>
    <w:rsid w:val="1A4E34E2"/>
    <w:rsid w:val="1C672639"/>
    <w:rsid w:val="1CBF11CB"/>
    <w:rsid w:val="1D556936"/>
    <w:rsid w:val="1EB0602C"/>
    <w:rsid w:val="21182154"/>
    <w:rsid w:val="21A32365"/>
    <w:rsid w:val="21E9165B"/>
    <w:rsid w:val="257F3B64"/>
    <w:rsid w:val="25ED0053"/>
    <w:rsid w:val="26C64400"/>
    <w:rsid w:val="27B91ECD"/>
    <w:rsid w:val="27E87547"/>
    <w:rsid w:val="28924EE2"/>
    <w:rsid w:val="29220F5B"/>
    <w:rsid w:val="29B33362"/>
    <w:rsid w:val="2B2C33CC"/>
    <w:rsid w:val="2D5B3AF4"/>
    <w:rsid w:val="2DDF2977"/>
    <w:rsid w:val="2DE97352"/>
    <w:rsid w:val="2E6764C9"/>
    <w:rsid w:val="2F2A5E74"/>
    <w:rsid w:val="302038DE"/>
    <w:rsid w:val="302A3C52"/>
    <w:rsid w:val="309A4933"/>
    <w:rsid w:val="323963CE"/>
    <w:rsid w:val="331035D3"/>
    <w:rsid w:val="336B0809"/>
    <w:rsid w:val="33945FB2"/>
    <w:rsid w:val="33C918FA"/>
    <w:rsid w:val="33DE547F"/>
    <w:rsid w:val="35B3528C"/>
    <w:rsid w:val="361C6E9E"/>
    <w:rsid w:val="36826BE7"/>
    <w:rsid w:val="36CE17DB"/>
    <w:rsid w:val="376F2C93"/>
    <w:rsid w:val="37955E55"/>
    <w:rsid w:val="385775AE"/>
    <w:rsid w:val="3A8D72B7"/>
    <w:rsid w:val="3AEB430D"/>
    <w:rsid w:val="3C4A2B9F"/>
    <w:rsid w:val="3D053A7C"/>
    <w:rsid w:val="3D1B54C9"/>
    <w:rsid w:val="3D2E2080"/>
    <w:rsid w:val="3E4B54BF"/>
    <w:rsid w:val="3E595E2E"/>
    <w:rsid w:val="3EF20030"/>
    <w:rsid w:val="3F073ADC"/>
    <w:rsid w:val="3F3917BB"/>
    <w:rsid w:val="3F9115F7"/>
    <w:rsid w:val="3FF30210"/>
    <w:rsid w:val="400B3158"/>
    <w:rsid w:val="40275AB8"/>
    <w:rsid w:val="415A73C9"/>
    <w:rsid w:val="418F7DB9"/>
    <w:rsid w:val="42CD2946"/>
    <w:rsid w:val="42DA1507"/>
    <w:rsid w:val="439E2535"/>
    <w:rsid w:val="45240818"/>
    <w:rsid w:val="4577128F"/>
    <w:rsid w:val="45BB73CE"/>
    <w:rsid w:val="464949DA"/>
    <w:rsid w:val="471E6687"/>
    <w:rsid w:val="473016F6"/>
    <w:rsid w:val="47D227AD"/>
    <w:rsid w:val="48BD16AF"/>
    <w:rsid w:val="49211C3E"/>
    <w:rsid w:val="49843F7B"/>
    <w:rsid w:val="4A4E6A63"/>
    <w:rsid w:val="4A9F106C"/>
    <w:rsid w:val="4C1C66ED"/>
    <w:rsid w:val="4CFF2296"/>
    <w:rsid w:val="4D834C75"/>
    <w:rsid w:val="4DCD5EF0"/>
    <w:rsid w:val="4E571E61"/>
    <w:rsid w:val="4EA8070C"/>
    <w:rsid w:val="50483F54"/>
    <w:rsid w:val="516265CB"/>
    <w:rsid w:val="519618EE"/>
    <w:rsid w:val="51B402B2"/>
    <w:rsid w:val="530C17BF"/>
    <w:rsid w:val="537B63EF"/>
    <w:rsid w:val="550D3076"/>
    <w:rsid w:val="55142657"/>
    <w:rsid w:val="551B39E5"/>
    <w:rsid w:val="59A31EB1"/>
    <w:rsid w:val="59A85A64"/>
    <w:rsid w:val="5A3632A8"/>
    <w:rsid w:val="5AA20705"/>
    <w:rsid w:val="5AC468CD"/>
    <w:rsid w:val="5AD30605"/>
    <w:rsid w:val="5BF925A6"/>
    <w:rsid w:val="5C2D5676"/>
    <w:rsid w:val="5CE40B61"/>
    <w:rsid w:val="5DC82230"/>
    <w:rsid w:val="5E6A3F6A"/>
    <w:rsid w:val="5EEE216B"/>
    <w:rsid w:val="5FC03B07"/>
    <w:rsid w:val="60D859F5"/>
    <w:rsid w:val="63754C08"/>
    <w:rsid w:val="637F5A87"/>
    <w:rsid w:val="63E12291"/>
    <w:rsid w:val="641461CF"/>
    <w:rsid w:val="65BB51FB"/>
    <w:rsid w:val="66173D55"/>
    <w:rsid w:val="675D7E8D"/>
    <w:rsid w:val="695E7EED"/>
    <w:rsid w:val="69CE6E20"/>
    <w:rsid w:val="69E82797"/>
    <w:rsid w:val="6AFB3C58"/>
    <w:rsid w:val="6B15282D"/>
    <w:rsid w:val="6D82064E"/>
    <w:rsid w:val="6DAB2707"/>
    <w:rsid w:val="6E041063"/>
    <w:rsid w:val="70787AE6"/>
    <w:rsid w:val="70E64A50"/>
    <w:rsid w:val="72E72D01"/>
    <w:rsid w:val="739B225B"/>
    <w:rsid w:val="743326A2"/>
    <w:rsid w:val="748F415F"/>
    <w:rsid w:val="75E17EDC"/>
    <w:rsid w:val="770D6DBD"/>
    <w:rsid w:val="78CC6C21"/>
    <w:rsid w:val="78F41CD4"/>
    <w:rsid w:val="795D1F6F"/>
    <w:rsid w:val="79653D43"/>
    <w:rsid w:val="7B6B0C75"/>
    <w:rsid w:val="7CC20342"/>
    <w:rsid w:val="7CCF35E2"/>
    <w:rsid w:val="7CFB5CBB"/>
    <w:rsid w:val="7E4200FC"/>
    <w:rsid w:val="7F60456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8"/>
    <w:semiHidden/>
    <w:qFormat/>
    <w:uiPriority w:val="99"/>
    <w:pPr>
      <w:jc w:val="left"/>
    </w:pPr>
    <w:rPr>
      <w:kern w:val="0"/>
      <w:sz w:val="24"/>
    </w:rPr>
  </w:style>
  <w:style w:type="paragraph" w:styleId="4">
    <w:name w:val="Body Text"/>
    <w:basedOn w:val="1"/>
    <w:link w:val="31"/>
    <w:qFormat/>
    <w:uiPriority w:val="99"/>
    <w:pPr>
      <w:spacing w:after="120"/>
    </w:pPr>
    <w:rPr>
      <w:kern w:val="0"/>
      <w:sz w:val="24"/>
    </w:rPr>
  </w:style>
  <w:style w:type="paragraph" w:styleId="5">
    <w:name w:val="Body Text Indent"/>
    <w:basedOn w:val="1"/>
    <w:link w:val="22"/>
    <w:qFormat/>
    <w:uiPriority w:val="99"/>
    <w:pPr>
      <w:spacing w:after="120"/>
      <w:ind w:left="420" w:leftChars="200"/>
    </w:pPr>
    <w:rPr>
      <w:kern w:val="0"/>
      <w:sz w:val="24"/>
    </w:rPr>
  </w:style>
  <w:style w:type="paragraph" w:styleId="6">
    <w:name w:val="Plain Text"/>
    <w:basedOn w:val="1"/>
    <w:link w:val="21"/>
    <w:qFormat/>
    <w:uiPriority w:val="99"/>
    <w:rPr>
      <w:rFonts w:ascii="宋体" w:hAnsi="Courier New"/>
      <w:kern w:val="0"/>
      <w:szCs w:val="21"/>
    </w:rPr>
  </w:style>
  <w:style w:type="paragraph" w:styleId="7">
    <w:name w:val="Date"/>
    <w:basedOn w:val="1"/>
    <w:next w:val="1"/>
    <w:link w:val="23"/>
    <w:qFormat/>
    <w:uiPriority w:val="99"/>
    <w:pPr>
      <w:ind w:left="100" w:leftChars="2500"/>
    </w:pPr>
    <w:rPr>
      <w:kern w:val="0"/>
      <w:sz w:val="24"/>
    </w:rPr>
  </w:style>
  <w:style w:type="paragraph" w:styleId="8">
    <w:name w:val="Body Text Indent 2"/>
    <w:basedOn w:val="1"/>
    <w:link w:val="25"/>
    <w:qFormat/>
    <w:uiPriority w:val="99"/>
    <w:pPr>
      <w:spacing w:after="120" w:line="480" w:lineRule="auto"/>
      <w:ind w:left="420" w:leftChars="200"/>
    </w:pPr>
    <w:rPr>
      <w:kern w:val="0"/>
      <w:sz w:val="24"/>
    </w:rPr>
  </w:style>
  <w:style w:type="paragraph" w:styleId="9">
    <w:name w:val="Balloon Text"/>
    <w:basedOn w:val="1"/>
    <w:link w:val="30"/>
    <w:semiHidden/>
    <w:qFormat/>
    <w:uiPriority w:val="99"/>
    <w:rPr>
      <w:kern w:val="0"/>
      <w:sz w:val="18"/>
      <w:szCs w:val="18"/>
    </w:rPr>
  </w:style>
  <w:style w:type="paragraph" w:styleId="10">
    <w:name w:val="footer"/>
    <w:basedOn w:val="1"/>
    <w:link w:val="27"/>
    <w:qFormat/>
    <w:uiPriority w:val="99"/>
    <w:pPr>
      <w:tabs>
        <w:tab w:val="center" w:pos="4153"/>
        <w:tab w:val="right" w:pos="8306"/>
      </w:tabs>
      <w:snapToGrid w:val="0"/>
      <w:jc w:val="left"/>
    </w:pPr>
    <w:rPr>
      <w:kern w:val="0"/>
      <w:sz w:val="18"/>
      <w:szCs w:val="18"/>
    </w:rPr>
  </w:style>
  <w:style w:type="paragraph" w:styleId="11">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3"/>
    <w:next w:val="3"/>
    <w:link w:val="29"/>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locked/>
    <w:uiPriority w:val="20"/>
    <w:rPr>
      <w:i/>
      <w:iCs/>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styleId="19">
    <w:name w:val="annotation reference"/>
    <w:basedOn w:val="16"/>
    <w:semiHidden/>
    <w:qFormat/>
    <w:uiPriority w:val="99"/>
    <w:rPr>
      <w:rFonts w:cs="Times New Roman"/>
      <w:sz w:val="21"/>
    </w:rPr>
  </w:style>
  <w:style w:type="character" w:customStyle="1" w:styleId="20">
    <w:name w:val="标题 2 字符"/>
    <w:basedOn w:val="16"/>
    <w:link w:val="2"/>
    <w:qFormat/>
    <w:locked/>
    <w:uiPriority w:val="99"/>
    <w:rPr>
      <w:rFonts w:ascii="Arial" w:hAnsi="Arial" w:eastAsia="黑体" w:cs="Times New Roman"/>
      <w:b/>
      <w:sz w:val="20"/>
    </w:rPr>
  </w:style>
  <w:style w:type="character" w:customStyle="1" w:styleId="21">
    <w:name w:val="纯文本 字符"/>
    <w:basedOn w:val="16"/>
    <w:link w:val="6"/>
    <w:qFormat/>
    <w:locked/>
    <w:uiPriority w:val="99"/>
    <w:rPr>
      <w:rFonts w:ascii="宋体" w:hAnsi="Courier New" w:eastAsia="宋体" w:cs="Times New Roman"/>
      <w:sz w:val="21"/>
    </w:rPr>
  </w:style>
  <w:style w:type="character" w:customStyle="1" w:styleId="22">
    <w:name w:val="正文文本缩进 字符"/>
    <w:basedOn w:val="16"/>
    <w:link w:val="5"/>
    <w:qFormat/>
    <w:locked/>
    <w:uiPriority w:val="99"/>
    <w:rPr>
      <w:rFonts w:ascii="Times New Roman" w:hAnsi="Times New Roman" w:eastAsia="宋体" w:cs="Times New Roman"/>
      <w:sz w:val="24"/>
    </w:rPr>
  </w:style>
  <w:style w:type="character" w:customStyle="1" w:styleId="23">
    <w:name w:val="日期 字符"/>
    <w:basedOn w:val="16"/>
    <w:link w:val="7"/>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character" w:customStyle="1" w:styleId="25">
    <w:name w:val="正文文本缩进 2 字符"/>
    <w:basedOn w:val="16"/>
    <w:link w:val="8"/>
    <w:qFormat/>
    <w:locked/>
    <w:uiPriority w:val="99"/>
    <w:rPr>
      <w:rFonts w:ascii="Times New Roman" w:hAnsi="Times New Roman" w:eastAsia="宋体" w:cs="Times New Roman"/>
      <w:sz w:val="24"/>
    </w:rPr>
  </w:style>
  <w:style w:type="character" w:customStyle="1" w:styleId="26">
    <w:name w:val="页眉 字符"/>
    <w:basedOn w:val="16"/>
    <w:link w:val="11"/>
    <w:semiHidden/>
    <w:qFormat/>
    <w:locked/>
    <w:uiPriority w:val="99"/>
    <w:rPr>
      <w:rFonts w:ascii="Times New Roman" w:hAnsi="Times New Roman" w:eastAsia="宋体" w:cs="Times New Roman"/>
      <w:sz w:val="18"/>
    </w:rPr>
  </w:style>
  <w:style w:type="character" w:customStyle="1" w:styleId="27">
    <w:name w:val="页脚 字符"/>
    <w:basedOn w:val="16"/>
    <w:link w:val="10"/>
    <w:qFormat/>
    <w:locked/>
    <w:uiPriority w:val="99"/>
    <w:rPr>
      <w:rFonts w:ascii="Times New Roman" w:hAnsi="Times New Roman" w:eastAsia="宋体" w:cs="Times New Roman"/>
      <w:sz w:val="18"/>
    </w:rPr>
  </w:style>
  <w:style w:type="character" w:customStyle="1" w:styleId="28">
    <w:name w:val="批注文字 字符"/>
    <w:basedOn w:val="16"/>
    <w:link w:val="3"/>
    <w:semiHidden/>
    <w:qFormat/>
    <w:locked/>
    <w:uiPriority w:val="99"/>
    <w:rPr>
      <w:rFonts w:ascii="Times New Roman" w:hAnsi="Times New Roman" w:cs="Times New Roman"/>
      <w:sz w:val="24"/>
    </w:rPr>
  </w:style>
  <w:style w:type="character" w:customStyle="1" w:styleId="29">
    <w:name w:val="批注主题 字符"/>
    <w:basedOn w:val="28"/>
    <w:link w:val="13"/>
    <w:semiHidden/>
    <w:qFormat/>
    <w:locked/>
    <w:uiPriority w:val="99"/>
    <w:rPr>
      <w:rFonts w:ascii="Times New Roman" w:hAnsi="Times New Roman" w:cs="Times New Roman"/>
      <w:b/>
      <w:sz w:val="24"/>
    </w:rPr>
  </w:style>
  <w:style w:type="character" w:customStyle="1" w:styleId="30">
    <w:name w:val="批注框文本 字符"/>
    <w:basedOn w:val="16"/>
    <w:link w:val="9"/>
    <w:semiHidden/>
    <w:qFormat/>
    <w:locked/>
    <w:uiPriority w:val="99"/>
    <w:rPr>
      <w:rFonts w:ascii="Times New Roman" w:hAnsi="Times New Roman" w:cs="Times New Roman"/>
      <w:sz w:val="18"/>
    </w:rPr>
  </w:style>
  <w:style w:type="character" w:customStyle="1" w:styleId="31">
    <w:name w:val="正文文本 字符"/>
    <w:basedOn w:val="16"/>
    <w:link w:val="4"/>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675398-1EFF-40F0-8319-A3428DCD6EA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6046</Words>
  <Characters>6222</Characters>
  <Lines>47</Lines>
  <Paragraphs>13</Paragraphs>
  <TotalTime>0</TotalTime>
  <ScaleCrop>false</ScaleCrop>
  <LinksUpToDate>false</LinksUpToDate>
  <CharactersWithSpaces>6348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2020-12-10T06:24:00Z</dcterms:created>
  <dc:creator>qiuxc</dc:creator>
  <cp:lastModifiedBy>Administrator</cp:lastModifiedBy>
  <cp:lastPrinted>2022-12-05T06:56:00Z</cp:lastPrinted>
  <dcterms:modified xsi:type="dcterms:W3CDTF">2022-12-08T03:00:16Z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85DCA7442F72445DA52BA81911CD77D7</vt:lpwstr>
  </property>
</Properties>
</file>