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/>
          <w:b/>
          <w:bCs/>
          <w:sz w:val="28"/>
          <w:szCs w:val="36"/>
          <w:lang w:val="en-US" w:eastAsia="zh-CN"/>
        </w:rPr>
      </w:pPr>
      <w:bookmarkStart w:id="0" w:name="_Toc53948870"/>
      <w:r>
        <w:rPr>
          <w:rFonts w:hint="eastAsia"/>
          <w:b/>
          <w:bCs/>
          <w:sz w:val="28"/>
          <w:szCs w:val="36"/>
          <w:lang w:val="en-US" w:eastAsia="zh-CN"/>
        </w:rPr>
        <w:t>附件二：</w:t>
      </w:r>
    </w:p>
    <w:p>
      <w:pPr>
        <w:spacing w:line="440" w:lineRule="exact"/>
        <w:ind w:firstLine="1680" w:firstLineChars="700"/>
        <w:rPr>
          <w:rFonts w:ascii="宋体" w:hAnsi="宋体"/>
          <w:sz w:val="44"/>
          <w:szCs w:val="44"/>
        </w:rPr>
      </w:pPr>
      <w:r>
        <w:rPr>
          <w:rFonts w:hint="eastAsia"/>
          <w:sz w:val="24"/>
          <w:lang w:val="en-US" w:eastAsia="zh-CN"/>
        </w:rPr>
        <w:t xml:space="preserve">      </w:t>
      </w:r>
      <w:bookmarkStart w:id="1" w:name="_GoBack"/>
      <w:r>
        <w:rPr>
          <w:rStyle w:val="10"/>
          <w:rFonts w:hint="eastAsia"/>
        </w:rPr>
        <w:t>货架技术要求</w:t>
      </w:r>
      <w:bookmarkEnd w:id="1"/>
    </w:p>
    <w:p>
      <w:pPr>
        <w:pStyle w:val="2"/>
        <w:numPr>
          <w:ilvl w:val="0"/>
          <w:numId w:val="1"/>
        </w:numPr>
        <w:spacing w:before="161" w:line="240" w:lineRule="auto"/>
        <w:ind w:left="-210" w:leftChars="0"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重型</w:t>
      </w:r>
      <w:r>
        <w:rPr>
          <w:rFonts w:hint="default" w:ascii="Arial Black" w:hAnsi="Arial Black" w:eastAsia="宋体" w:cs="Arial Black"/>
          <w:sz w:val="28"/>
          <w:szCs w:val="28"/>
        </w:rPr>
        <w:t>货架基本参数：</w:t>
      </w:r>
    </w:p>
    <w:p>
      <w:pPr>
        <w:pStyle w:val="2"/>
        <w:numPr>
          <w:ilvl w:val="0"/>
          <w:numId w:val="2"/>
        </w:numPr>
        <w:spacing w:before="161" w:line="240" w:lineRule="auto"/>
        <w:ind w:left="0" w:leftChars="0"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货架所有构件采用优质冷轧型钢板，其强度及钢性均符合机械工业标准；焊接工艺采用二氧化碳保护焊，安装方便。钢材经过脱脂、酸洗、磷化（除油除锈）后再进行180度恒温喷塑烘干而成；涂层硬度为普通硝基漆的120倍以上，达到GB/T6739标准重的2H要求。涂层防腐性：耐腐蚀性（盐酸实验）GB1771-91大于500小时。成品，视觉上美观细腻，实用性强。</w:t>
      </w:r>
    </w:p>
    <w:p>
      <w:pPr>
        <w:pStyle w:val="2"/>
        <w:numPr>
          <w:ilvl w:val="0"/>
          <w:numId w:val="2"/>
        </w:numPr>
        <w:spacing w:line="240" w:lineRule="auto"/>
        <w:ind w:left="0" w:leftChars="0" w:firstLine="560" w:firstLineChars="200"/>
        <w:rPr>
          <w:rFonts w:hint="default" w:ascii="Arial Black" w:hAnsi="Arial Black" w:eastAsia="宋体" w:cs="Arial Black"/>
          <w:sz w:val="28"/>
          <w:szCs w:val="28"/>
          <w:lang w:eastAsia="zh-CN"/>
        </w:rPr>
      </w:pPr>
      <w:r>
        <w:rPr>
          <w:rFonts w:hint="default" w:ascii="Arial Black" w:hAnsi="Arial Black" w:eastAsia="宋体" w:cs="Arial Black"/>
          <w:sz w:val="28"/>
          <w:szCs w:val="28"/>
        </w:rPr>
        <w:t>货架立柱前端位置安装护角保护；</w:t>
      </w: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横梁与立柱链接配安全销。</w:t>
      </w:r>
    </w:p>
    <w:p>
      <w:pPr>
        <w:pStyle w:val="2"/>
        <w:numPr>
          <w:ilvl w:val="0"/>
          <w:numId w:val="2"/>
        </w:numPr>
        <w:spacing w:before="161" w:line="240" w:lineRule="auto"/>
        <w:ind w:left="0" w:leftChars="0" w:firstLine="560" w:firstLineChars="200"/>
        <w:rPr>
          <w:rFonts w:hint="default" w:ascii="Arial Black" w:hAnsi="Arial Black" w:eastAsia="宋体" w:cs="Arial Black"/>
          <w:sz w:val="28"/>
          <w:szCs w:val="28"/>
          <w:lang w:eastAsia="zh-CN"/>
        </w:rPr>
      </w:pPr>
      <w:r>
        <w:rPr>
          <w:rFonts w:hint="default" w:ascii="Arial Black" w:hAnsi="Arial Black" w:eastAsia="宋体" w:cs="Arial Black"/>
          <w:sz w:val="28"/>
          <w:szCs w:val="28"/>
        </w:rPr>
        <w:t>颜色：</w:t>
      </w: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立柱为蓝色、横梁为橙色。（参考我司现有使用货架颜色，见下图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>1</w:t>
      </w: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）</w:t>
      </w:r>
    </w:p>
    <w:p>
      <w:pPr>
        <w:pStyle w:val="2"/>
        <w:spacing w:before="161" w:line="240" w:lineRule="auto"/>
        <w:rPr>
          <w:rFonts w:hint="default" w:ascii="Arial Black" w:hAnsi="Arial Black" w:eastAsia="宋体" w:cs="Arial Black"/>
          <w:sz w:val="28"/>
          <w:szCs w:val="28"/>
          <w:lang w:eastAsia="zh-CN"/>
        </w:rPr>
      </w:pP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drawing>
          <wp:inline distT="0" distB="0" distL="114300" distR="114300">
            <wp:extent cx="5462905" cy="2763520"/>
            <wp:effectExtent l="0" t="0" r="4445" b="17780"/>
            <wp:docPr id="1" name="图片 1" descr="微信图片_20221201193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12011939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2905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ind w:right="0" w:rightChars="0" w:firstLine="560" w:firstLineChars="200"/>
        <w:rPr>
          <w:rFonts w:hint="default" w:ascii="Arial Black" w:hAnsi="Arial Black" w:eastAsia="宋体" w:cs="Arial Black"/>
          <w:sz w:val="28"/>
          <w:szCs w:val="28"/>
          <w:lang w:eastAsia="zh-CN"/>
        </w:rPr>
      </w:pP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（</w:t>
      </w:r>
      <w:r>
        <w:rPr>
          <w:rFonts w:hint="default" w:ascii="Arial Black" w:hAnsi="Arial Black" w:eastAsia="宋体" w:cs="Arial Black"/>
          <w:sz w:val="28"/>
          <w:szCs w:val="28"/>
        </w:rPr>
        <w:t>二</w:t>
      </w: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）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层板式货架基本参数：货架材质采用国内大型钢厂Q235材质钢材</w:t>
      </w:r>
    </w:p>
    <w:p>
      <w:pPr>
        <w:pStyle w:val="2"/>
        <w:numPr>
          <w:ilvl w:val="0"/>
          <w:numId w:val="0"/>
        </w:numPr>
        <w:spacing w:before="161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货架所有构件采用优质冷轧型钢板，其强度及钢性均符合机械工业标准；焊接工艺采用二氧化碳保护焊，安装方便。钢材经过脱脂、酸洗、磷化（除油除锈）后再进行180度恒温喷塑烘干而成；涂层硬度为普通硝基漆的120倍以上，达到GB/T6739标准重的2H要求。涂层防腐性：耐腐蚀性（盐酸实验）GB1771-91大于500小时。成品，视觉上美观细腻，实用性强。</w:t>
      </w:r>
    </w:p>
    <w:p>
      <w:pPr>
        <w:pStyle w:val="2"/>
        <w:spacing w:line="240" w:lineRule="auto"/>
        <w:ind w:right="0" w:rightChars="0"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颜色：</w:t>
      </w: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整体白色（参考我司现有使用货架颜色，见下图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>2</w:t>
      </w: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t>）</w:t>
      </w:r>
      <w:r>
        <w:rPr>
          <w:rFonts w:hint="default" w:ascii="Arial Black" w:hAnsi="Arial Black" w:eastAsia="宋体" w:cs="Arial Black"/>
          <w:sz w:val="28"/>
          <w:szCs w:val="28"/>
        </w:rPr>
        <w:t>。</w:t>
      </w:r>
    </w:p>
    <w:p>
      <w:pPr>
        <w:pStyle w:val="2"/>
        <w:spacing w:line="240" w:lineRule="auto"/>
        <w:ind w:right="2390" w:rightChars="0"/>
        <w:rPr>
          <w:rFonts w:hint="default" w:ascii="Arial Black" w:hAnsi="Arial Black" w:eastAsia="宋体" w:cs="Arial Black"/>
          <w:sz w:val="28"/>
          <w:szCs w:val="28"/>
          <w:lang w:eastAsia="zh-CN"/>
        </w:rPr>
      </w:pPr>
      <w:r>
        <w:rPr>
          <w:rFonts w:hint="default" w:ascii="Arial Black" w:hAnsi="Arial Black" w:eastAsia="宋体" w:cs="Arial Black"/>
          <w:sz w:val="28"/>
          <w:szCs w:val="28"/>
          <w:lang w:eastAsia="zh-CN"/>
        </w:rPr>
        <w:drawing>
          <wp:inline distT="0" distB="0" distL="114300" distR="114300">
            <wp:extent cx="5186045" cy="2623820"/>
            <wp:effectExtent l="0" t="0" r="14605" b="5080"/>
            <wp:docPr id="2" name="图片 2" descr="微信图片_20221201194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12011941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6045" cy="262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62" w:line="240" w:lineRule="auto"/>
        <w:ind w:left="120" w:right="257" w:firstLine="516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pacing w:val="-11"/>
          <w:sz w:val="28"/>
          <w:szCs w:val="28"/>
          <w:lang w:eastAsia="zh-CN"/>
        </w:rPr>
        <w:t>（</w:t>
      </w:r>
      <w:r>
        <w:rPr>
          <w:rFonts w:hint="default" w:ascii="Arial Black" w:hAnsi="Arial Black" w:eastAsia="宋体" w:cs="Arial Black"/>
          <w:spacing w:val="-11"/>
          <w:sz w:val="28"/>
          <w:szCs w:val="28"/>
        </w:rPr>
        <w:t>三</w:t>
      </w:r>
      <w:r>
        <w:rPr>
          <w:rFonts w:hint="default" w:ascii="Arial Black" w:hAnsi="Arial Black" w:eastAsia="宋体" w:cs="Arial Black"/>
          <w:spacing w:val="-11"/>
          <w:sz w:val="28"/>
          <w:szCs w:val="28"/>
          <w:lang w:eastAsia="zh-CN"/>
        </w:rPr>
        <w:t>）</w:t>
      </w:r>
      <w:r>
        <w:rPr>
          <w:rFonts w:hint="default" w:ascii="Arial Black" w:hAnsi="Arial Black" w:eastAsia="宋体" w:cs="Arial Black"/>
          <w:spacing w:val="-11"/>
          <w:sz w:val="28"/>
          <w:szCs w:val="28"/>
        </w:rPr>
        <w:t>货架设计标准：货架的设计、制造、安装和调试，均应满足下列标准和规范</w:t>
      </w:r>
      <w:r>
        <w:rPr>
          <w:rFonts w:hint="default" w:ascii="Arial Black" w:hAnsi="Arial Black" w:eastAsia="宋体" w:cs="Arial Black"/>
          <w:sz w:val="28"/>
          <w:szCs w:val="28"/>
        </w:rPr>
        <w:t>的最新版本。</w:t>
      </w:r>
    </w:p>
    <w:p>
      <w:pPr>
        <w:pStyle w:val="2"/>
        <w:tabs>
          <w:tab w:val="left" w:pos="2039"/>
        </w:tabs>
        <w:spacing w:before="1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GB/T 228金属材料 室温拉伸试试验方法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（GB/T 228-2002,ISO 6892-1982（E</w:t>
      </w:r>
      <w:r>
        <w:rPr>
          <w:rFonts w:hint="default" w:ascii="Arial Black" w:hAnsi="Arial Black" w:eastAsia="宋体" w:cs="Arial Black"/>
          <w:spacing w:val="-120"/>
          <w:sz w:val="28"/>
          <w:szCs w:val="28"/>
        </w:rPr>
        <w:t>）</w:t>
      </w:r>
      <w:r>
        <w:rPr>
          <w:rFonts w:hint="default" w:ascii="Arial Black" w:hAnsi="Arial Black" w:eastAsia="宋体" w:cs="Arial Black"/>
          <w:sz w:val="28"/>
          <w:szCs w:val="28"/>
        </w:rPr>
        <w:t>，EQV）</w:t>
      </w:r>
    </w:p>
    <w:p>
      <w:pPr>
        <w:pStyle w:val="2"/>
        <w:tabs>
          <w:tab w:val="left" w:pos="1919"/>
        </w:tabs>
        <w:spacing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GB/T 710优质碳素结构钢热轧薄钢板和钢带</w:t>
      </w:r>
      <w:r>
        <w:rPr>
          <w:rFonts w:hint="default" w:ascii="Arial Black" w:hAnsi="Arial Black" w:eastAsia="宋体" w:cs="Arial Black"/>
          <w:sz w:val="28"/>
          <w:szCs w:val="28"/>
          <w:lang w:val="en-US" w:eastAsia="zh-CN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（GB/T 710-1991,GOST 16523-70，NEQ）</w:t>
      </w:r>
    </w:p>
    <w:tbl>
      <w:tblPr>
        <w:tblStyle w:val="7"/>
        <w:tblW w:w="500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7"/>
        <w:gridCol w:w="817"/>
        <w:gridCol w:w="6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587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48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1231</w:t>
            </w:r>
          </w:p>
        </w:tc>
        <w:tc>
          <w:tcPr>
            <w:tcW w:w="3922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  <w:t>钢结构用高强度大六角头螺栓、大六角螺母、垫圈技术条件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87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48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1720</w:t>
            </w:r>
          </w:p>
        </w:tc>
        <w:tc>
          <w:tcPr>
            <w:tcW w:w="3922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漆膜附着力测定法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587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48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1730</w:t>
            </w:r>
          </w:p>
        </w:tc>
        <w:tc>
          <w:tcPr>
            <w:tcW w:w="3922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  <w:t>漆膜硬度测定法 摆杆阻尼试验</w:t>
            </w:r>
          </w:p>
        </w:tc>
      </w:tr>
    </w:tbl>
    <w:p>
      <w:pPr>
        <w:pStyle w:val="2"/>
        <w:spacing w:before="42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（GB/T 1730-1993,ISO 1522-1973，EQV）</w:t>
      </w:r>
    </w:p>
    <w:p>
      <w:pPr>
        <w:pStyle w:val="2"/>
        <w:spacing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GB/T 1232 漆膜耐冲击性测定法（GB/T 1732-1993,GOST 4765-1973，NEQ）</w:t>
      </w:r>
    </w:p>
    <w:p>
      <w:pPr>
        <w:pStyle w:val="2"/>
        <w:spacing w:before="161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GB/T 1263 漆膜耐化学试剂性测定法</w:t>
      </w:r>
    </w:p>
    <w:p>
      <w:pPr>
        <w:pStyle w:val="2"/>
        <w:spacing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GB/T 3633 钢结构用扭剪型高强度螺栓连接副 技术条件</w:t>
      </w:r>
    </w:p>
    <w:p>
      <w:pPr>
        <w:pStyle w:val="2"/>
        <w:spacing w:before="161" w:after="35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（GB/T</w:t>
      </w:r>
      <w:r>
        <w:rPr>
          <w:rFonts w:hint="default" w:ascii="Arial Black" w:hAnsi="Arial Black" w:eastAsia="宋体" w:cs="Arial Black"/>
          <w:spacing w:val="-60"/>
          <w:sz w:val="28"/>
          <w:szCs w:val="28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3633-1995</w:t>
      </w:r>
      <w:r>
        <w:rPr>
          <w:rFonts w:hint="default" w:ascii="Arial Black" w:hAnsi="Arial Black" w:eastAsia="宋体" w:cs="Arial Black"/>
          <w:spacing w:val="-116"/>
          <w:sz w:val="28"/>
          <w:szCs w:val="28"/>
        </w:rPr>
        <w:t>，</w:t>
      </w:r>
      <w:r>
        <w:rPr>
          <w:rFonts w:hint="default" w:ascii="Arial Black" w:hAnsi="Arial Black" w:eastAsia="宋体" w:cs="Arial Black"/>
          <w:sz w:val="28"/>
          <w:szCs w:val="28"/>
        </w:rPr>
        <w:t>ISO</w:t>
      </w:r>
      <w:r>
        <w:rPr>
          <w:rFonts w:hint="default" w:ascii="Arial Black" w:hAnsi="Arial Black" w:eastAsia="宋体" w:cs="Arial Black"/>
          <w:spacing w:val="-60"/>
          <w:sz w:val="28"/>
          <w:szCs w:val="28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4755-1984</w:t>
      </w:r>
      <w:r>
        <w:rPr>
          <w:rFonts w:hint="default" w:ascii="Arial Black" w:hAnsi="Arial Black" w:eastAsia="宋体" w:cs="Arial Black"/>
          <w:spacing w:val="-116"/>
          <w:sz w:val="28"/>
          <w:szCs w:val="28"/>
        </w:rPr>
        <w:t>，</w:t>
      </w:r>
      <w:r>
        <w:rPr>
          <w:rFonts w:hint="default" w:ascii="Arial Black" w:hAnsi="Arial Black" w:eastAsia="宋体" w:cs="Arial Black"/>
          <w:sz w:val="28"/>
          <w:szCs w:val="28"/>
        </w:rPr>
        <w:t>NEQ</w:t>
      </w:r>
      <w:r>
        <w:rPr>
          <w:rFonts w:hint="default" w:ascii="Arial Black" w:hAnsi="Arial Black" w:eastAsia="宋体" w:cs="Arial Black"/>
          <w:spacing w:val="7"/>
          <w:sz w:val="28"/>
          <w:szCs w:val="28"/>
        </w:rPr>
        <w:t>；</w:t>
      </w:r>
      <w:r>
        <w:rPr>
          <w:rFonts w:hint="default" w:ascii="Arial Black" w:hAnsi="Arial Black" w:eastAsia="宋体" w:cs="Arial Black"/>
          <w:sz w:val="28"/>
          <w:szCs w:val="28"/>
        </w:rPr>
        <w:t>ISO</w:t>
      </w:r>
      <w:r>
        <w:rPr>
          <w:rFonts w:hint="default" w:ascii="Arial Black" w:hAnsi="Arial Black" w:eastAsia="宋体" w:cs="Arial Black"/>
          <w:spacing w:val="-60"/>
          <w:sz w:val="28"/>
          <w:szCs w:val="28"/>
        </w:rPr>
        <w:t xml:space="preserve"> </w:t>
      </w:r>
      <w:r>
        <w:rPr>
          <w:rFonts w:hint="default" w:ascii="Arial Black" w:hAnsi="Arial Black" w:eastAsia="宋体" w:cs="Arial Black"/>
          <w:sz w:val="28"/>
          <w:szCs w:val="28"/>
        </w:rPr>
        <w:t>7416-1984</w:t>
      </w:r>
      <w:r>
        <w:rPr>
          <w:rFonts w:hint="default" w:ascii="Arial Black" w:hAnsi="Arial Black" w:eastAsia="宋体" w:cs="Arial Black"/>
          <w:spacing w:val="-116"/>
          <w:sz w:val="28"/>
          <w:szCs w:val="28"/>
        </w:rPr>
        <w:t>，</w:t>
      </w:r>
      <w:r>
        <w:rPr>
          <w:rFonts w:hint="default" w:ascii="Arial Black" w:hAnsi="Arial Black" w:eastAsia="宋体" w:cs="Arial Black"/>
          <w:sz w:val="28"/>
          <w:szCs w:val="28"/>
        </w:rPr>
        <w:t>NEQ</w:t>
      </w:r>
      <w:r>
        <w:rPr>
          <w:rFonts w:hint="default" w:ascii="Arial Black" w:hAnsi="Arial Black" w:eastAsia="宋体" w:cs="Arial Black"/>
          <w:spacing w:val="-116"/>
          <w:sz w:val="28"/>
          <w:szCs w:val="28"/>
        </w:rPr>
        <w:t>；</w:t>
      </w:r>
      <w:r>
        <w:rPr>
          <w:rFonts w:hint="default" w:ascii="Arial Black" w:hAnsi="Arial Black" w:eastAsia="宋体" w:cs="Arial Black"/>
          <w:sz w:val="28"/>
          <w:szCs w:val="28"/>
        </w:rPr>
        <w:t>JSSII</w:t>
      </w:r>
      <w:r>
        <w:rPr>
          <w:rFonts w:hint="default" w:ascii="Arial Black" w:hAnsi="Arial Black" w:eastAsia="宋体" w:cs="Arial Black"/>
          <w:spacing w:val="-60"/>
          <w:sz w:val="28"/>
          <w:szCs w:val="28"/>
        </w:rPr>
        <w:t xml:space="preserve"> </w:t>
      </w:r>
      <w:r>
        <w:rPr>
          <w:rFonts w:hint="default" w:ascii="Arial Black" w:hAnsi="Arial Black" w:eastAsia="宋体" w:cs="Arial Black"/>
          <w:spacing w:val="-2"/>
          <w:sz w:val="28"/>
          <w:szCs w:val="28"/>
        </w:rPr>
        <w:t>09-198</w:t>
      </w:r>
      <w:r>
        <w:rPr>
          <w:rFonts w:hint="default" w:ascii="Arial Black" w:hAnsi="Arial Black" w:eastAsia="宋体" w:cs="Arial Black"/>
          <w:spacing w:val="-3"/>
          <w:sz w:val="28"/>
          <w:szCs w:val="28"/>
        </w:rPr>
        <w:t>1</w:t>
      </w:r>
      <w:r>
        <w:rPr>
          <w:rFonts w:hint="default" w:ascii="Arial Black" w:hAnsi="Arial Black" w:eastAsia="宋体" w:cs="Arial Black"/>
          <w:spacing w:val="-2"/>
          <w:sz w:val="28"/>
          <w:szCs w:val="28"/>
        </w:rPr>
        <w:t>，</w:t>
      </w:r>
      <w:r>
        <w:rPr>
          <w:rFonts w:hint="default" w:ascii="Arial Black" w:hAnsi="Arial Black" w:eastAsia="宋体" w:cs="Arial Black"/>
          <w:sz w:val="28"/>
          <w:szCs w:val="28"/>
        </w:rPr>
        <w:t xml:space="preserve"> NEQ）</w:t>
      </w:r>
    </w:p>
    <w:tbl>
      <w:tblPr>
        <w:tblStyle w:val="7"/>
        <w:tblW w:w="4999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807"/>
        <w:gridCol w:w="66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73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37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5117</w:t>
            </w:r>
          </w:p>
        </w:tc>
        <w:tc>
          <w:tcPr>
            <w:tcW w:w="4247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碳钢焊条（GB/T 5117-1995，ANSI/AWS A5.1-1991，EQV）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73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37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5118</w:t>
            </w:r>
          </w:p>
        </w:tc>
        <w:tc>
          <w:tcPr>
            <w:tcW w:w="4247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低合金钢焊条（GB/T 5118-1995，ANSI/AWS A5.5-1981，EQV）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373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37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8110</w:t>
            </w:r>
          </w:p>
        </w:tc>
        <w:tc>
          <w:tcPr>
            <w:tcW w:w="4247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  <w:t>气体保护电弧焊用碳钢、低合金钢焊丝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73" w:type="pct"/>
            <w:noWrap w:val="0"/>
            <w:vAlign w:val="top"/>
          </w:tcPr>
          <w:p>
            <w:pPr>
              <w:pStyle w:val="9"/>
              <w:spacing w:line="240" w:lineRule="auto"/>
              <w:ind w:left="30" w:right="39"/>
              <w:jc w:val="center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GB/T</w:t>
            </w:r>
          </w:p>
        </w:tc>
        <w:tc>
          <w:tcPr>
            <w:tcW w:w="379" w:type="pct"/>
            <w:noWrap w:val="0"/>
            <w:vAlign w:val="top"/>
          </w:tcPr>
          <w:p>
            <w:pPr>
              <w:pStyle w:val="9"/>
              <w:spacing w:line="240" w:lineRule="auto"/>
              <w:ind w:right="59"/>
              <w:jc w:val="right"/>
              <w:rPr>
                <w:rFonts w:hint="default" w:ascii="Arial Black" w:hAnsi="Arial Black" w:eastAsia="宋体" w:cs="Arial Black"/>
                <w:sz w:val="28"/>
                <w:szCs w:val="28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</w:rPr>
              <w:t>8923</w:t>
            </w:r>
          </w:p>
        </w:tc>
        <w:tc>
          <w:tcPr>
            <w:tcW w:w="4247" w:type="pct"/>
            <w:noWrap w:val="0"/>
            <w:vAlign w:val="top"/>
          </w:tcPr>
          <w:p>
            <w:pPr>
              <w:pStyle w:val="9"/>
              <w:spacing w:line="240" w:lineRule="auto"/>
              <w:ind w:left="60"/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</w:pPr>
            <w:r>
              <w:rPr>
                <w:rFonts w:hint="default" w:ascii="Arial Black" w:hAnsi="Arial Black" w:eastAsia="宋体" w:cs="Arial Black"/>
                <w:sz w:val="28"/>
                <w:szCs w:val="28"/>
                <w:lang w:eastAsia="zh-CN"/>
              </w:rPr>
              <w:t>涂装前钢材表面锈蚀等级和除绣等级</w:t>
            </w:r>
          </w:p>
        </w:tc>
      </w:tr>
    </w:tbl>
    <w:p>
      <w:pPr>
        <w:pStyle w:val="2"/>
        <w:spacing w:before="194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  <w:lang w:val="en-US"/>
        </w:rPr>
      </w:pPr>
      <w:r>
        <w:rPr>
          <w:rFonts w:hint="default" w:ascii="Arial Black" w:hAnsi="Arial Black" w:eastAsia="宋体" w:cs="Arial Black"/>
          <w:sz w:val="28"/>
          <w:szCs w:val="28"/>
          <w:lang w:val="en-US"/>
        </w:rPr>
        <w:t>（GB/T 8923-1988,ISO 8501-1-1987,EQV）</w:t>
      </w:r>
    </w:p>
    <w:p>
      <w:pPr>
        <w:pStyle w:val="2"/>
        <w:spacing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《钢货架结构设计规范》（CECS 23:90）</w:t>
      </w:r>
    </w:p>
    <w:p>
      <w:pPr>
        <w:pStyle w:val="2"/>
        <w:spacing w:before="161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《仓库钢结构货架设计标准》（JB/T5323-91）</w:t>
      </w:r>
    </w:p>
    <w:p>
      <w:pPr>
        <w:pStyle w:val="2"/>
        <w:tabs>
          <w:tab w:val="left" w:pos="2999"/>
        </w:tabs>
        <w:spacing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</w:rPr>
      </w:pPr>
      <w:r>
        <w:rPr>
          <w:rFonts w:hint="default" w:ascii="Arial Black" w:hAnsi="Arial Black" w:eastAsia="宋体" w:cs="Arial Black"/>
          <w:sz w:val="28"/>
          <w:szCs w:val="28"/>
        </w:rPr>
        <w:t>《钢结构设计规范》</w:t>
      </w:r>
      <w:r>
        <w:rPr>
          <w:rFonts w:hint="default" w:ascii="Arial Black" w:hAnsi="Arial Black" w:eastAsia="宋体" w:cs="Arial Black"/>
          <w:sz w:val="28"/>
          <w:szCs w:val="28"/>
        </w:rPr>
        <w:tab/>
      </w:r>
      <w:r>
        <w:rPr>
          <w:rFonts w:hint="default" w:ascii="Arial Black" w:hAnsi="Arial Black" w:eastAsia="宋体" w:cs="Arial Black"/>
          <w:sz w:val="28"/>
          <w:szCs w:val="28"/>
        </w:rPr>
        <w:t>（GBJ9-87）</w:t>
      </w:r>
    </w:p>
    <w:p>
      <w:pPr>
        <w:pStyle w:val="2"/>
        <w:spacing w:before="161" w:line="240" w:lineRule="auto"/>
        <w:ind w:firstLine="560" w:firstLineChars="200"/>
        <w:rPr>
          <w:rFonts w:hint="default" w:ascii="Arial Black" w:hAnsi="Arial Black" w:eastAsia="宋体" w:cs="Arial Black"/>
          <w:sz w:val="28"/>
          <w:szCs w:val="28"/>
          <w:lang w:eastAsia="zh-CN"/>
        </w:rPr>
      </w:pPr>
      <w:r>
        <w:rPr>
          <w:rFonts w:hint="default" w:ascii="Arial Black" w:hAnsi="Arial Black" w:eastAsia="宋体" w:cs="Arial Black"/>
          <w:sz w:val="28"/>
          <w:szCs w:val="28"/>
        </w:rPr>
        <w:t>《建筑结构设计统一标准》（GBJ68-84）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51A56B"/>
    <w:multiLevelType w:val="singleLevel"/>
    <w:tmpl w:val="1651A56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606DC32A"/>
    <w:multiLevelType w:val="singleLevel"/>
    <w:tmpl w:val="606DC32A"/>
    <w:lvl w:ilvl="0" w:tentative="0">
      <w:start w:val="1"/>
      <w:numFmt w:val="chineseCounting"/>
      <w:suff w:val="nothing"/>
      <w:lvlText w:val="（%1）"/>
      <w:lvlJc w:val="left"/>
      <w:pPr>
        <w:ind w:left="-21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02402741"/>
    <w:rsid w:val="02402741"/>
    <w:rsid w:val="0FAC62AF"/>
    <w:rsid w:val="133438E9"/>
    <w:rsid w:val="13390EFF"/>
    <w:rsid w:val="14582197"/>
    <w:rsid w:val="1A297C58"/>
    <w:rsid w:val="20D8029C"/>
    <w:rsid w:val="216830DB"/>
    <w:rsid w:val="228D7B88"/>
    <w:rsid w:val="2E294120"/>
    <w:rsid w:val="3DB31040"/>
    <w:rsid w:val="4B181CE9"/>
    <w:rsid w:val="4DAD1CF2"/>
    <w:rsid w:val="5C010B7B"/>
    <w:rsid w:val="5C51317E"/>
    <w:rsid w:val="616934F4"/>
    <w:rsid w:val="62C01324"/>
    <w:rsid w:val="746F1200"/>
    <w:rsid w:val="7D6A5C1A"/>
    <w:rsid w:val="7FF9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line="480" w:lineRule="auto"/>
      <w:outlineLvl w:val="0"/>
    </w:pPr>
    <w:rPr>
      <w:b/>
      <w:bCs/>
      <w:kern w:val="44"/>
      <w:sz w:val="32"/>
      <w:szCs w:val="44"/>
    </w:rPr>
  </w:style>
  <w:style w:type="paragraph" w:styleId="4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ind w:firstLine="420" w:firstLineChars="200"/>
    </w:pPr>
  </w:style>
  <w:style w:type="paragraph" w:customStyle="1" w:styleId="9">
    <w:name w:val="Table Paragraph"/>
    <w:basedOn w:val="1"/>
    <w:qFormat/>
    <w:uiPriority w:val="1"/>
    <w:pPr>
      <w:jc w:val="left"/>
    </w:pPr>
    <w:rPr>
      <w:rFonts w:ascii="宋体" w:hAnsi="宋体" w:cs="宋体"/>
      <w:kern w:val="0"/>
      <w:sz w:val="22"/>
      <w:szCs w:val="22"/>
      <w:lang w:eastAsia="en-US"/>
    </w:rPr>
  </w:style>
  <w:style w:type="character" w:customStyle="1" w:styleId="10">
    <w:name w:val="标题 2 Char"/>
    <w:link w:val="4"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796</Words>
  <Characters>1174</Characters>
  <Lines>0</Lines>
  <Paragraphs>0</Paragraphs>
  <TotalTime>0</TotalTime>
  <ScaleCrop>false</ScaleCrop>
  <LinksUpToDate>false</LinksUpToDate>
  <CharactersWithSpaces>1231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2022-11-24T06:20:00Z</dcterms:created>
  <dc:creator>幸福时刻</dc:creator>
  <cp:lastModifiedBy>幸福时刻</cp:lastModifiedBy>
  <cp:lastPrinted>2022-11-25T02:28:00Z</cp:lastPrinted>
  <dcterms:modified xsi:type="dcterms:W3CDTF">2022-12-03T07:45:53Z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45FF4F765EE64067828886F56C1EA218</vt:lpwstr>
  </property>
</Properties>
</file>