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2</w:t>
      </w:r>
      <w:r>
        <w:rPr>
          <w:rFonts w:hint="eastAsia" w:ascii="宋体" w:hAnsi="宋体"/>
          <w:color w:val="FF0000"/>
          <w:sz w:val="36"/>
          <w:szCs w:val="36"/>
        </w:rPr>
        <w:t>-</w:t>
      </w:r>
      <w:r>
        <w:rPr>
          <w:rFonts w:hint="eastAsia" w:ascii="宋体" w:hAnsi="宋体"/>
          <w:color w:val="FF0000"/>
          <w:sz w:val="36"/>
          <w:szCs w:val="36"/>
          <w:lang w:val="en-US" w:eastAsia="zh-CN"/>
        </w:rPr>
        <w:t>013</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二○二二年十月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项目名称：模具数控加热设备采购项目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2</w:t>
      </w:r>
      <w:r>
        <w:rPr>
          <w:rFonts w:ascii="仿宋_GB2312" w:eastAsia="仿宋_GB2312"/>
        </w:rPr>
        <w:t>-</w:t>
      </w:r>
      <w:r>
        <w:rPr>
          <w:rFonts w:hint="eastAsia" w:ascii="仿宋_GB2312" w:eastAsia="仿宋_GB2312"/>
          <w:color w:val="FF0000"/>
        </w:rPr>
        <w:t>0</w:t>
      </w:r>
      <w:r>
        <w:rPr>
          <w:rFonts w:hint="eastAsia" w:ascii="仿宋_GB2312" w:eastAsia="仿宋_GB2312"/>
          <w:color w:val="FF0000"/>
          <w:lang w:val="en-US" w:eastAsia="zh-CN"/>
        </w:rPr>
        <w:t>13</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成都恒达光学有限公司拟采购1台数控模具加热设备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10</w:t>
      </w:r>
      <w:r>
        <w:rPr>
          <w:rFonts w:ascii="仿宋_GB2312" w:eastAsia="仿宋_GB2312"/>
          <w:b/>
          <w:sz w:val="24"/>
        </w:rPr>
        <w:t>月</w:t>
      </w:r>
      <w:r>
        <w:rPr>
          <w:rFonts w:hint="eastAsia" w:ascii="仿宋_GB2312" w:eastAsia="仿宋_GB2312"/>
          <w:b/>
          <w:sz w:val="24"/>
          <w:lang w:val="en-US" w:eastAsia="zh-CN"/>
        </w:rPr>
        <w:t>31</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w:t>
      </w:r>
      <w:r>
        <w:rPr>
          <w:rFonts w:hint="eastAsia" w:ascii="仿宋_GB2312" w:eastAsia="仿宋_GB2312"/>
          <w:b/>
          <w:sz w:val="24"/>
          <w:lang w:val="en-US" w:eastAsia="zh-CN"/>
        </w:rPr>
        <w:t>1</w:t>
      </w:r>
      <w:r>
        <w:rPr>
          <w:rFonts w:ascii="仿宋_GB2312" w:eastAsia="仿宋_GB2312"/>
          <w:b/>
          <w:sz w:val="24"/>
        </w:rPr>
        <w:t>月</w:t>
      </w:r>
      <w:r>
        <w:rPr>
          <w:rFonts w:hint="eastAsia" w:ascii="仿宋_GB2312" w:eastAsia="仿宋_GB2312"/>
          <w:b/>
          <w:sz w:val="24"/>
          <w:lang w:val="en-US" w:eastAsia="zh-CN"/>
        </w:rPr>
        <w:t>9</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rPr>
        <w:t>1</w:t>
      </w:r>
      <w:r>
        <w:rPr>
          <w:rFonts w:hint="eastAsia" w:ascii="仿宋_GB2312" w:eastAsia="仿宋_GB2312"/>
          <w:sz w:val="24"/>
          <w:lang w:val="en-US" w:eastAsia="zh-CN"/>
        </w:rPr>
        <w:t>1</w:t>
      </w:r>
      <w:r>
        <w:rPr>
          <w:rFonts w:ascii="仿宋_GB2312" w:eastAsia="仿宋_GB2312"/>
          <w:sz w:val="24"/>
        </w:rPr>
        <w:t>月</w:t>
      </w:r>
      <w:r>
        <w:rPr>
          <w:rFonts w:hint="eastAsia" w:ascii="仿宋_GB2312" w:eastAsia="仿宋_GB2312"/>
          <w:sz w:val="24"/>
          <w:lang w:val="en-US" w:eastAsia="zh-CN"/>
        </w:rPr>
        <w:t>9</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、密封，并在密封处加盖本企业鲜章，若为邮寄请信封上注明项目名称和“在2022年1</w:t>
      </w:r>
      <w:r>
        <w:rPr>
          <w:rFonts w:hint="eastAsia" w:ascii="仿宋_GB2312" w:eastAsia="仿宋_GB2312"/>
          <w:sz w:val="24"/>
          <w:lang w:val="en-US" w:eastAsia="zh-CN"/>
        </w:rPr>
        <w:t>1</w:t>
      </w:r>
      <w:r>
        <w:rPr>
          <w:rFonts w:hint="eastAsia" w:ascii="仿宋_GB2312" w:eastAsia="仿宋_GB2312"/>
          <w:sz w:val="24"/>
        </w:rPr>
        <w:t>月</w:t>
      </w:r>
      <w:r>
        <w:rPr>
          <w:rFonts w:hint="eastAsia" w:ascii="仿宋_GB2312" w:eastAsia="仿宋_GB2312"/>
          <w:sz w:val="24"/>
          <w:lang w:val="en-US" w:eastAsia="zh-CN"/>
        </w:rPr>
        <w:t>9</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询价咨询人：王志航                        联系电话：18081146577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询价采购监督人：赵女士                联系电话： 13699482248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交货期：按</w:t>
            </w:r>
            <w:r>
              <w:rPr>
                <w:rFonts w:hint="eastAsia" w:ascii="宋体" w:hAnsi="宋体"/>
                <w:color w:val="FF0000"/>
              </w:rPr>
              <w:t>需方</w:t>
            </w:r>
            <w:r>
              <w:rPr>
                <w:rFonts w:hint="eastAsia" w:ascii="宋体" w:hAnsi="宋体"/>
                <w:color w:val="000000"/>
              </w:rPr>
              <w:t>要求交货。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FF0000"/>
                <w:kern w:val="0"/>
                <w:sz w:val="24"/>
              </w:rPr>
            </w:pPr>
            <w:r>
              <w:rPr>
                <w:rFonts w:hint="eastAsia" w:ascii="宋体" w:hAnsi="宋体"/>
                <w:color w:val="FF0000"/>
                <w:szCs w:val="21"/>
              </w:rPr>
              <w:t>报价函（见附件三）；要求确认响应表（见附件四）；设备配置明细表（见附件五）；设计及选型情况调查表（见附件六）、报价一览表（见附件七）；</w:t>
            </w:r>
            <w:r>
              <w:rPr>
                <w:rFonts w:ascii="黑体" w:hAnsi="宋体" w:eastAsia="黑体" w:cs="宋体"/>
                <w:color w:val="FF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2022年10月</w:t>
            </w:r>
            <w:r>
              <w:rPr>
                <w:rFonts w:hint="eastAsia" w:hAnsi="宋体"/>
                <w:color w:val="000000"/>
                <w:spacing w:val="-8"/>
                <w:kern w:val="0"/>
                <w:szCs w:val="21"/>
                <w:highlight w:val="yellow"/>
                <w:lang w:val="en-US" w:eastAsia="zh-CN"/>
              </w:rPr>
              <w:t>31</w:t>
            </w:r>
            <w:r>
              <w:rPr>
                <w:rFonts w:hint="eastAsia" w:hAnsi="宋体"/>
                <w:color w:val="000000"/>
                <w:spacing w:val="-8"/>
                <w:kern w:val="0"/>
                <w:szCs w:val="21"/>
                <w:highlight w:val="yellow"/>
              </w:rPr>
              <w:t>日08:00时—2022年1</w:t>
            </w:r>
            <w:r>
              <w:rPr>
                <w:rFonts w:hint="eastAsia" w:hAnsi="宋体"/>
                <w:color w:val="000000"/>
                <w:spacing w:val="-8"/>
                <w:kern w:val="0"/>
                <w:szCs w:val="21"/>
                <w:highlight w:val="yellow"/>
                <w:lang w:val="en-US" w:eastAsia="zh-CN"/>
              </w:rPr>
              <w:t>1</w:t>
            </w:r>
            <w:r>
              <w:rPr>
                <w:rFonts w:hint="eastAsia" w:hAnsi="宋体"/>
                <w:color w:val="000000"/>
                <w:spacing w:val="-8"/>
                <w:kern w:val="0"/>
                <w:szCs w:val="21"/>
                <w:highlight w:val="yellow"/>
              </w:rPr>
              <w:t>月</w:t>
            </w:r>
            <w:r>
              <w:rPr>
                <w:rFonts w:hint="eastAsia" w:hAnsi="宋体"/>
                <w:color w:val="000000"/>
                <w:spacing w:val="-8"/>
                <w:kern w:val="0"/>
                <w:szCs w:val="21"/>
                <w:highlight w:val="yellow"/>
                <w:lang w:val="en-US" w:eastAsia="zh-CN"/>
              </w:rPr>
              <w:t>9</w:t>
            </w:r>
            <w:bookmarkStart w:id="2" w:name="_GoBack"/>
            <w:bookmarkEnd w:id="2"/>
            <w:r>
              <w:rPr>
                <w:rFonts w:hint="eastAsia" w:hAnsi="宋体"/>
                <w:color w:val="000000"/>
                <w:spacing w:val="-8"/>
                <w:kern w:val="0"/>
                <w:szCs w:val="21"/>
                <w:highlight w:val="yellow"/>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9"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rPr>
        <w:t>）法律、法规规定的其他无效情况。</w:t>
      </w:r>
    </w:p>
    <w:p>
      <w:pPr>
        <w:spacing w:line="540" w:lineRule="exact"/>
        <w:ind w:firstLine="560" w:firstLineChars="200"/>
        <w:rPr>
          <w:rFonts w:ascii="宋体" w:hAnsi="宋体"/>
          <w:sz w:val="28"/>
          <w:szCs w:val="28"/>
        </w:rPr>
      </w:pPr>
      <w:r>
        <w:rPr>
          <w:rFonts w:hint="eastAsia" w:ascii="宋体" w:hAnsi="宋体"/>
          <w:sz w:val="28"/>
          <w:szCs w:val="28"/>
        </w:rPr>
        <w:t>五、评审工作按照恒达公司内部供应商</w:t>
      </w:r>
      <w:bookmarkStart w:id="0" w:name="_Hlk33695163"/>
      <w:r>
        <w:rPr>
          <w:rFonts w:hint="eastAsia" w:ascii="宋体" w:hAnsi="宋体"/>
          <w:sz w:val="28"/>
          <w:szCs w:val="28"/>
        </w:rPr>
        <w:t>评审</w:t>
      </w:r>
      <w:bookmarkEnd w:id="0"/>
      <w:r>
        <w:rPr>
          <w:rFonts w:hint="eastAsia" w:ascii="宋体" w:hAnsi="宋体"/>
          <w:sz w:val="28"/>
          <w:szCs w:val="28"/>
        </w:rPr>
        <w:t>管理相关规定执行。</w:t>
      </w:r>
    </w:p>
    <w:p>
      <w:pPr>
        <w:spacing w:line="540" w:lineRule="exact"/>
        <w:ind w:firstLine="560" w:firstLineChars="200"/>
        <w:rPr>
          <w:rFonts w:ascii="宋体" w:hAnsi="宋体"/>
          <w:sz w:val="28"/>
          <w:szCs w:val="28"/>
        </w:rPr>
      </w:pPr>
      <w:r>
        <w:rPr>
          <w:rFonts w:hint="eastAsia" w:ascii="宋体" w:hAnsi="宋体"/>
          <w:sz w:val="28"/>
          <w:szCs w:val="28"/>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宋体" w:hAnsi="宋体"/>
          <w:sz w:val="28"/>
          <w:szCs w:val="28"/>
        </w:rPr>
      </w:pPr>
      <w:r>
        <w:rPr>
          <w:rFonts w:hint="eastAsia" w:ascii="宋体" w:hAnsi="宋体"/>
          <w:sz w:val="28"/>
          <w:szCs w:val="28"/>
        </w:rPr>
        <w:t>供应商拒不进行澄清、说明、补正的，或者不能在规定时间内作出书面澄清、说明、补正的，询价小组将否决其报价。</w:t>
      </w:r>
    </w:p>
    <w:p>
      <w:pPr>
        <w:spacing w:line="540" w:lineRule="exact"/>
        <w:ind w:firstLine="560" w:firstLineChars="200"/>
        <w:rPr>
          <w:rFonts w:ascii="宋体" w:hAnsi="宋体"/>
          <w:sz w:val="28"/>
          <w:szCs w:val="28"/>
        </w:rPr>
      </w:pPr>
      <w:r>
        <w:rPr>
          <w:rFonts w:hint="eastAsia" w:ascii="宋体" w:hAnsi="宋体"/>
          <w:sz w:val="28"/>
          <w:szCs w:val="28"/>
        </w:rPr>
        <w:t>七、出现下列情形之一的，评审小组有权否决供应商的报价或取消采购活动：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ascii="宋体" w:hAnsi="宋体"/>
          <w:sz w:val="28"/>
          <w:szCs w:val="28"/>
        </w:rPr>
      </w:pPr>
      <w:r>
        <w:rPr>
          <w:rFonts w:hint="eastAsia" w:ascii="宋体" w:hAnsi="宋体"/>
          <w:sz w:val="28"/>
          <w:szCs w:val="28"/>
        </w:rPr>
        <w:t>（四）评审小组经评审认为所有报价文件都不符合询价文件要求的。</w:t>
      </w:r>
    </w:p>
    <w:p>
      <w:pPr>
        <w:spacing w:line="540" w:lineRule="exact"/>
        <w:ind w:firstLine="560" w:firstLineChars="200"/>
        <w:rPr>
          <w:rFonts w:ascii="宋体" w:hAnsi="宋体"/>
          <w:sz w:val="28"/>
          <w:szCs w:val="28"/>
        </w:rPr>
      </w:pPr>
      <w:bookmarkStart w:id="1" w:name="_Toc217446103"/>
      <w:r>
        <w:rPr>
          <w:rFonts w:hint="eastAsia" w:ascii="宋体" w:hAnsi="宋体"/>
          <w:sz w:val="28"/>
          <w:szCs w:val="28"/>
        </w:rPr>
        <w:t>八、评审细则及标准</w:t>
      </w:r>
      <w:bookmarkEnd w:id="1"/>
    </w:p>
    <w:p>
      <w:pPr>
        <w:spacing w:line="540" w:lineRule="exact"/>
        <w:ind w:left="840" w:leftChars="400"/>
        <w:rPr>
          <w:rFonts w:ascii="宋体" w:hAnsi="宋体"/>
          <w:sz w:val="28"/>
          <w:szCs w:val="28"/>
        </w:rPr>
      </w:pPr>
      <w:r>
        <w:rPr>
          <w:rFonts w:hint="eastAsia" w:ascii="宋体" w:hAnsi="宋体"/>
          <w:sz w:val="28"/>
          <w:szCs w:val="28"/>
        </w:rPr>
        <w:t>（一）评审小组只对通过初审的响应文件，根据询价通知书规定的评审程序及标准进行评价和比较。</w:t>
      </w:r>
    </w:p>
    <w:p>
      <w:pPr>
        <w:spacing w:line="540" w:lineRule="exact"/>
        <w:ind w:left="1120" w:leftChars="400" w:hanging="280" w:hangingChars="100"/>
        <w:rPr>
          <w:rFonts w:ascii="宋体" w:hAnsi="宋体"/>
          <w:sz w:val="28"/>
          <w:szCs w:val="28"/>
        </w:rPr>
      </w:pPr>
      <w:r>
        <w:rPr>
          <w:rFonts w:hint="eastAsia" w:ascii="宋体" w:hAnsi="宋体"/>
          <w:sz w:val="28"/>
          <w:szCs w:val="28"/>
        </w:rPr>
        <w:t>（二）在确定评审结果后，采购人将以《供应商确认通知单》通知参与此次采购的供应商。</w:t>
      </w:r>
    </w:p>
    <w:p>
      <w:pPr>
        <w:spacing w:line="540" w:lineRule="exact"/>
        <w:ind w:firstLine="560" w:firstLineChars="200"/>
        <w:rPr>
          <w:rFonts w:ascii="宋体" w:hAnsi="宋体"/>
          <w:sz w:val="28"/>
          <w:szCs w:val="28"/>
        </w:rPr>
      </w:pPr>
      <w:r>
        <w:rPr>
          <w:rFonts w:hint="eastAsia" w:ascii="宋体" w:hAnsi="宋体"/>
          <w:sz w:val="28"/>
          <w:szCs w:val="28"/>
        </w:rPr>
        <w:t>九、合同签订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pStyle w:val="10"/>
        <w:spacing w:line="400" w:lineRule="exact"/>
        <w:ind w:right="420"/>
        <w:jc w:val="center"/>
        <w:rPr>
          <w:rFonts w:hAnsi="宋体"/>
          <w:sz w:val="28"/>
          <w:szCs w:val="28"/>
        </w:rPr>
      </w:pPr>
      <w:r>
        <w:rPr>
          <w:rFonts w:hint="eastAsia" w:hAnsi="宋体"/>
          <w:sz w:val="28"/>
          <w:szCs w:val="28"/>
        </w:rPr>
        <w:t>（三）《供应商确认通知单》发出后，采购人改变成交结果的，或者供应商放弃成交项目的，应当依法承担法律责任。</w:t>
      </w: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1台（为1条多头产线的上、下模具加热配套）数控模具加热设备（包含感应加热设备、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1.设备使用场地及环境要求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成都恒达光学有限公司压型产线，设备用于光学玻璃模具加热。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加热模具材质为球墨铸铁或H13等含碳铁质或钢制材料。</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供电电压范围为370-430V。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成都恒达光学有限公司配有冷却水，其管线配到配置到设备端，进出水管径为32mm，水管材质为304不锈钢。</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1.7  设备安装位置：线圈安装在压型设备上；主机设备安装在压型设备旁，其可供安装位置为：700mm（长）*600mm（宽）*1500mm（高）。</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设备加热对象：光学玻璃压型设备模具，模具分为上、中、下模，其中下模套在中模内，即上模用一个加热线圈、下模和中模共用一个加热线圈。</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加热线圈运动要求：上模加热线圈固定，下模和中模加热线圈前后反复移动+角度反复翻转运动。</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2.3  模具类型：上、中、下模。</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  模具加热使用要求</w:t>
      </w:r>
    </w:p>
    <w:tbl>
      <w:tblPr>
        <w:tblStyle w:val="19"/>
        <w:tblW w:w="9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560"/>
        <w:gridCol w:w="1134"/>
        <w:gridCol w:w="1701"/>
        <w:gridCol w:w="1984"/>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模具类型</w:t>
            </w:r>
          </w:p>
        </w:tc>
        <w:tc>
          <w:tcPr>
            <w:tcW w:w="15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加热表面积（cm2）</w:t>
            </w:r>
          </w:p>
        </w:tc>
        <w:tc>
          <w:tcPr>
            <w:tcW w:w="113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加热重量（kg）</w:t>
            </w:r>
          </w:p>
        </w:tc>
        <w:tc>
          <w:tcPr>
            <w:tcW w:w="170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温度范围（℃）</w:t>
            </w:r>
          </w:p>
        </w:tc>
        <w:tc>
          <w:tcPr>
            <w:tcW w:w="198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加热效率（℃/min）</w:t>
            </w:r>
          </w:p>
        </w:tc>
        <w:tc>
          <w:tcPr>
            <w:tcW w:w="1985"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同类型模具温度差（℃）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上模</w:t>
            </w:r>
          </w:p>
        </w:tc>
        <w:tc>
          <w:tcPr>
            <w:tcW w:w="15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≤800</w:t>
            </w:r>
          </w:p>
        </w:tc>
        <w:tc>
          <w:tcPr>
            <w:tcW w:w="113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≤6</w:t>
            </w:r>
          </w:p>
        </w:tc>
        <w:tc>
          <w:tcPr>
            <w:tcW w:w="170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200-800</w:t>
            </w:r>
          </w:p>
        </w:tc>
        <w:tc>
          <w:tcPr>
            <w:tcW w:w="198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≥30</w:t>
            </w:r>
          </w:p>
        </w:tc>
        <w:tc>
          <w:tcPr>
            <w:tcW w:w="1985"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中模和下模</w:t>
            </w:r>
          </w:p>
        </w:tc>
        <w:tc>
          <w:tcPr>
            <w:tcW w:w="15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≤1200</w:t>
            </w:r>
          </w:p>
        </w:tc>
        <w:tc>
          <w:tcPr>
            <w:tcW w:w="113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w:t>
            </w:r>
          </w:p>
        </w:tc>
        <w:tc>
          <w:tcPr>
            <w:tcW w:w="170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200-800</w:t>
            </w:r>
          </w:p>
        </w:tc>
        <w:tc>
          <w:tcPr>
            <w:tcW w:w="198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≥30</w:t>
            </w:r>
          </w:p>
        </w:tc>
        <w:tc>
          <w:tcPr>
            <w:tcW w:w="1985"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≤10</w:t>
            </w:r>
          </w:p>
        </w:tc>
      </w:tr>
    </w:tbl>
    <w:p>
      <w:pPr>
        <w:adjustRightInd w:val="0"/>
        <w:spacing w:line="360" w:lineRule="auto"/>
        <w:textAlignment w:val="baseline"/>
        <w:rPr>
          <w:rFonts w:asciiTheme="minorEastAsia" w:hAnsiTheme="minorEastAsia" w:eastAsiaTheme="minorEastAsia"/>
          <w:sz w:val="24"/>
          <w:szCs w:val="21"/>
        </w:rPr>
      </w:pP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  设备功率：上模加热设备额定功率≤40kw，中模和下模加热设备额定功率≤50Kw；</w:t>
      </w:r>
    </w:p>
    <w:p>
      <w:pPr>
        <w:adjustRightInd w:val="0"/>
        <w:spacing w:line="360" w:lineRule="auto"/>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注意：根据上、中、下模的外形尺寸、其最高加热温度、加热效率选择合适的功率；</w:t>
      </w:r>
    </w:p>
    <w:p>
      <w:pPr>
        <w:adjustRightInd w:val="0"/>
        <w:spacing w:line="360" w:lineRule="auto"/>
        <w:textAlignment w:val="baseline"/>
        <w:rPr>
          <w:rFonts w:asciiTheme="minorEastAsia" w:hAnsiTheme="minorEastAsia" w:eastAsiaTheme="minorEastAsia"/>
          <w:color w:val="000000" w:themeColor="text1"/>
          <w:sz w:val="24"/>
          <w:szCs w:val="21"/>
        </w:rPr>
      </w:pPr>
      <w:r>
        <w:rPr>
          <w:rFonts w:hint="eastAsia" w:asciiTheme="minorEastAsia" w:hAnsiTheme="minorEastAsia" w:eastAsiaTheme="minorEastAsia"/>
          <w:color w:val="000000" w:themeColor="text1"/>
          <w:sz w:val="24"/>
          <w:szCs w:val="21"/>
        </w:rPr>
        <w:t>2.6  工作频率：5kHz-30kHz；</w:t>
      </w:r>
    </w:p>
    <w:p>
      <w:pPr>
        <w:adjustRightInd w:val="0"/>
        <w:spacing w:line="360" w:lineRule="auto"/>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注意：根据最高加热温度、加热效率和功率选择频率范围内合适的频率段。</w:t>
      </w:r>
    </w:p>
    <w:p>
      <w:pPr>
        <w:adjustRightInd w:val="0"/>
        <w:spacing w:line="360" w:lineRule="auto"/>
        <w:textAlignment w:val="baseline"/>
        <w:rPr>
          <w:rFonts w:asciiTheme="minorEastAsia" w:hAnsiTheme="minorEastAsia" w:eastAsiaTheme="minorEastAsia"/>
          <w:color w:val="000000" w:themeColor="text1"/>
          <w:sz w:val="24"/>
          <w:szCs w:val="21"/>
        </w:rPr>
      </w:pPr>
      <w:r>
        <w:rPr>
          <w:rFonts w:hint="eastAsia" w:asciiTheme="minorEastAsia" w:hAnsiTheme="minorEastAsia" w:eastAsiaTheme="minorEastAsia"/>
          <w:color w:val="000000" w:themeColor="text1"/>
          <w:sz w:val="24"/>
          <w:szCs w:val="21"/>
        </w:rPr>
        <w:t>2.7  线圈规格：根据线圈固定方式、工作频率、模具外形尺寸、温度范围、加热效率、</w:t>
      </w:r>
      <w:r>
        <w:rPr>
          <w:rFonts w:hint="eastAsia" w:asciiTheme="minorEastAsia" w:hAnsiTheme="minorEastAsia" w:eastAsiaTheme="minorEastAsia"/>
          <w:sz w:val="24"/>
          <w:szCs w:val="21"/>
        </w:rPr>
        <w:t>同类型模具温度差的要求进行设计。</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2.8  控制主板对应的温控输出控制信号为4-20mA，输入信号为K型热电偶信号。</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2.9  双线圈干扰距离≤140mm。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2.10  设备保底输出即待机输出≤100w，配置一个通断选择模式（当保底输出仍不能解决超温现象时，切换到通断模式，直接对线圈断电，当温度恢复正常时，设备线圈通电工作）。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  预置进出水管（仅进口及出口两支水管），水管外口径为32mm。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  保留与机台联动操作选项即当上模移动时，上模线圈断电或保底输出，当上模运行到一定距离时线圈恢复正常供电控制。</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  加热线圈因工作需求会进行更换，故要求更换的过程和动作简单方便。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  数显控制屏：实时显示包括但不限于：设备电流、电压、功率、水温、水压；设置手动、自动切换功能，手动可单独开启任一线圈并调节输出功率；自动即为联机的自动调节控制；具备设备调试、工作、报警、工艺设置、历史数据界面。</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 设备本身安全报警防护功能包括但不限于：过流、过压、欠压、过载、水温、水压、超温等异常报警并得到明确的显示提醒。</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  设备使用的安全防护：设备安全警示的标识标牌，线缆或线圈裸露的绝缘保护。</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    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                   （签字）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5377"/>
        <w:gridCol w:w="1276"/>
        <w:gridCol w:w="2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377"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270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377"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2703"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14"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设备使用场地及环境要求</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第三部分“1.1,1.2,1.3,1.4,1.5,1.6,1.7”</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restart"/>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项目建设主要技术要求</w:t>
            </w:r>
          </w:p>
        </w:tc>
        <w:tc>
          <w:tcPr>
            <w:tcW w:w="5377" w:type="dxa"/>
            <w:vAlign w:val="center"/>
          </w:tcPr>
          <w:p>
            <w:pPr>
              <w:spacing w:line="380" w:lineRule="exact"/>
              <w:jc w:val="left"/>
              <w:rPr>
                <w:rFonts w:ascii="等线" w:hAnsi="宋体" w:eastAsia="等线" w:cs="宋体"/>
                <w:color w:val="000000"/>
                <w:sz w:val="20"/>
              </w:rPr>
            </w:pPr>
            <w:r>
              <w:rPr>
                <w:rFonts w:hint="eastAsia" w:ascii="等线" w:hAnsi="宋体" w:eastAsia="等线" w:cs="宋体"/>
                <w:color w:val="000000"/>
                <w:sz w:val="20"/>
              </w:rPr>
              <w:t>2.1设备加热对象</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jc w:val="left"/>
              <w:rPr>
                <w:rFonts w:ascii="等线" w:hAnsi="宋体" w:eastAsia="等线" w:cs="宋体"/>
                <w:color w:val="000000"/>
                <w:sz w:val="20"/>
              </w:rPr>
            </w:pPr>
            <w:r>
              <w:rPr>
                <w:rFonts w:hint="eastAsia" w:ascii="等线" w:hAnsi="宋体" w:eastAsia="等线" w:cs="宋体"/>
                <w:color w:val="000000"/>
                <w:sz w:val="20"/>
              </w:rPr>
              <w:t>2.2加热线圈运动要求。</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jc w:val="left"/>
              <w:rPr>
                <w:rFonts w:ascii="等线" w:hAnsi="宋体" w:eastAsia="等线" w:cs="宋体"/>
                <w:color w:val="000000"/>
                <w:sz w:val="20"/>
              </w:rPr>
            </w:pPr>
            <w:r>
              <w:rPr>
                <w:rFonts w:hint="eastAsia" w:ascii="等线" w:hAnsi="宋体" w:eastAsia="等线" w:cs="宋体"/>
                <w:color w:val="000000"/>
                <w:sz w:val="20"/>
              </w:rPr>
              <w:t>2.3模具类型</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2.4模具加热使用要求</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2.5设备功率</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2.6工作频率</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注明频率范围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2.7线圈规格</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提供线圈二维或三维图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2.8温控输出输入信号</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2.9双线圈干扰距离</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注明实际距离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2.10设备保底输出功率</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注明具体保底输出功率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2.11预制进出水管口径</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2.12保留机台联动功能</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2.13加热线圈更换要求</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2.14数显控制屏</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2.15设备本身安全防护报警功能</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2.16设备使用的安全防护</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项目建设的总体依据及要求</w:t>
            </w:r>
          </w:p>
        </w:tc>
        <w:tc>
          <w:tcPr>
            <w:tcW w:w="537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第三部分“3.1,3.2”</w:t>
            </w:r>
          </w:p>
        </w:tc>
        <w:tc>
          <w:tcPr>
            <w:tcW w:w="1276"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14" w:type="dxa"/>
            <w:vAlign w:val="center"/>
          </w:tcPr>
          <w:p>
            <w:pPr>
              <w:widowControl/>
              <w:jc w:val="center"/>
              <w:rPr>
                <w:rFonts w:asciiTheme="minorEastAsia" w:hAnsiTheme="minorEastAsia" w:eastAsiaTheme="minorEastAsia"/>
                <w:b/>
                <w:sz w:val="32"/>
                <w:szCs w:val="32"/>
              </w:rPr>
            </w:pPr>
            <w:r>
              <w:rPr>
                <w:rFonts w:hint="eastAsia" w:ascii="宋体" w:hAnsi="宋体"/>
                <w:szCs w:val="21"/>
              </w:rPr>
              <w:t>文件资料</w:t>
            </w:r>
          </w:p>
        </w:tc>
        <w:tc>
          <w:tcPr>
            <w:tcW w:w="5377" w:type="dxa"/>
            <w:vAlign w:val="center"/>
          </w:tcPr>
          <w:p>
            <w:pPr>
              <w:spacing w:line="380" w:lineRule="exact"/>
              <w:jc w:val="center"/>
              <w:rPr>
                <w:rFonts w:ascii="宋体" w:hAnsi="宋体"/>
                <w:szCs w:val="21"/>
              </w:rPr>
            </w:pPr>
            <w:r>
              <w:rPr>
                <w:rFonts w:hint="eastAsia" w:ascii="等线" w:hAnsi="宋体" w:eastAsia="等线" w:cs="宋体"/>
                <w:color w:val="000000"/>
                <w:sz w:val="20"/>
              </w:rPr>
              <w:t>第三部分“4.1,4.2,4.3”</w:t>
            </w:r>
          </w:p>
        </w:tc>
        <w:tc>
          <w:tcPr>
            <w:tcW w:w="1276" w:type="dxa"/>
            <w:vAlign w:val="center"/>
          </w:tcPr>
          <w:p>
            <w:pPr>
              <w:spacing w:line="380" w:lineRule="exact"/>
              <w:jc w:val="center"/>
              <w:rPr>
                <w:rFonts w:ascii="宋体" w:hAnsi="宋体"/>
                <w:szCs w:val="21"/>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质保期</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整机质保不低于1年，关键部件质保不低于3年。</w:t>
            </w:r>
          </w:p>
        </w:tc>
        <w:tc>
          <w:tcPr>
            <w:tcW w:w="1276" w:type="dxa"/>
            <w:vAlign w:val="center"/>
          </w:tcPr>
          <w:p>
            <w:pPr>
              <w:spacing w:line="380" w:lineRule="exact"/>
              <w:jc w:val="center"/>
              <w:rPr>
                <w:rFonts w:ascii="宋体" w:hAnsi="宋体"/>
                <w:szCs w:val="21"/>
              </w:rPr>
            </w:pPr>
          </w:p>
        </w:tc>
        <w:tc>
          <w:tcPr>
            <w:tcW w:w="270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维修响应时间</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电话响应不超过2小时，到达现场不超过24小时。</w:t>
            </w:r>
          </w:p>
        </w:tc>
        <w:tc>
          <w:tcPr>
            <w:tcW w:w="1276" w:type="dxa"/>
            <w:vAlign w:val="center"/>
          </w:tcPr>
          <w:p>
            <w:pPr>
              <w:spacing w:line="380" w:lineRule="exact"/>
              <w:jc w:val="center"/>
              <w:rPr>
                <w:rFonts w:ascii="宋体" w:hAnsi="宋体"/>
                <w:szCs w:val="21"/>
              </w:rPr>
            </w:pPr>
          </w:p>
        </w:tc>
        <w:tc>
          <w:tcPr>
            <w:tcW w:w="270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377"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270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377"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377"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37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37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bl>
    <w:p>
      <w:pPr>
        <w:widowControl/>
        <w:spacing w:line="420" w:lineRule="exact"/>
        <w:ind w:firstLine="420" w:firstLineChars="200"/>
        <w:jc w:val="left"/>
        <w:rPr>
          <w:color w:val="FF0000"/>
        </w:rPr>
      </w:pPr>
      <w:r>
        <w:rPr>
          <w:rFonts w:hint="eastAsia"/>
          <w:color w:val="FF0000"/>
        </w:rPr>
        <w:t>1.表中注明了“完全响应”项，报价人需明确知悉内容，且原则上不做更改，如有必须更改，请在请“备注或说明”栏写明“不响应或是不完全响应”的理由和原因。</w:t>
      </w:r>
    </w:p>
    <w:p>
      <w:pPr>
        <w:widowControl/>
        <w:spacing w:line="420" w:lineRule="exact"/>
        <w:ind w:firstLine="420" w:firstLineChars="200"/>
        <w:jc w:val="left"/>
        <w:rPr>
          <w:color w:val="FF0000"/>
        </w:rPr>
      </w:pPr>
      <w:r>
        <w:rPr>
          <w:rFonts w:hint="eastAsia"/>
          <w:color w:val="FF0000"/>
        </w:rPr>
        <w:t>2.“项目建设主要技术要求”中的“备注或说明”需要填写的具体内容，请按要求填写，其内容将关系到评分结果。</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23"/>
        <w:gridCol w:w="2396"/>
        <w:gridCol w:w="1444"/>
        <w:gridCol w:w="1701"/>
        <w:gridCol w:w="850"/>
        <w:gridCol w:w="704"/>
        <w:gridCol w:w="1538"/>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3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4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4"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38"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上模IGBT</w:t>
            </w:r>
          </w:p>
        </w:tc>
        <w:tc>
          <w:tcPr>
            <w:tcW w:w="2396" w:type="dxa"/>
            <w:tcBorders>
              <w:top w:val="nil"/>
              <w:left w:val="nil"/>
              <w:bottom w:val="single" w:color="auto" w:sz="4" w:space="0"/>
              <w:right w:val="single" w:color="auto" w:sz="4" w:space="0"/>
            </w:tcBorders>
            <w:shd w:val="clear" w:color="auto" w:fill="auto"/>
            <w:vAlign w:val="center"/>
          </w:tcPr>
          <w:p>
            <w:pPr>
              <w:widowControl/>
              <w:rPr>
                <w:rFonts w:ascii="等线" w:hAnsi="宋体" w:eastAsia="等线" w:cs="宋体"/>
                <w:color w:val="000000"/>
                <w:kern w:val="0"/>
                <w:sz w:val="20"/>
              </w:rPr>
            </w:pPr>
            <w:r>
              <w:rPr>
                <w:rFonts w:hint="eastAsia" w:ascii="等线" w:hAnsi="宋体" w:eastAsia="等线" w:cs="宋体"/>
                <w:color w:val="000000"/>
                <w:kern w:val="0"/>
                <w:sz w:val="20"/>
              </w:rPr>
              <w:t>2.2,2.3,2.4,2.5,2.7, 2.9</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23"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中模和下模IGBT</w:t>
            </w:r>
          </w:p>
        </w:tc>
        <w:tc>
          <w:tcPr>
            <w:tcW w:w="2396" w:type="dxa"/>
            <w:tcBorders>
              <w:top w:val="nil"/>
              <w:left w:val="nil"/>
              <w:bottom w:val="single" w:color="auto" w:sz="4" w:space="0"/>
              <w:right w:val="single" w:color="auto" w:sz="4" w:space="0"/>
            </w:tcBorders>
            <w:shd w:val="clear" w:color="auto" w:fill="auto"/>
            <w:vAlign w:val="center"/>
          </w:tcPr>
          <w:p>
            <w:pPr>
              <w:widowControl/>
              <w:rPr>
                <w:rFonts w:ascii="等线" w:hAnsi="宋体" w:eastAsia="等线" w:cs="宋体"/>
                <w:color w:val="000000"/>
                <w:kern w:val="0"/>
                <w:sz w:val="20"/>
              </w:rPr>
            </w:pPr>
            <w:r>
              <w:rPr>
                <w:rFonts w:hint="eastAsia" w:ascii="等线" w:hAnsi="宋体" w:eastAsia="等线" w:cs="宋体"/>
                <w:color w:val="000000"/>
                <w:kern w:val="0"/>
                <w:sz w:val="20"/>
              </w:rPr>
              <w:t>2.2,2.3,2.4,2.5,2.7,2.9</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上模电容</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中模和下模电容</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数显控制屏</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2.14</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上模加热线圈</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2.2,2.3,2.4,2.5,2.13</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23"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中模和下模加热线圈</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2.2,2.3,2.4,2.5,2.13</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上模变压器</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2.4,2.8</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23"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中模和下模变压器</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2.4,2.8</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设备外形框架</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1.6</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pPr>
      <w:r>
        <w:rPr>
          <w:rFonts w:hint="eastAsia"/>
        </w:rPr>
        <w:t>附件六</w:t>
      </w:r>
    </w:p>
    <w:p>
      <w:pPr>
        <w:widowControl/>
        <w:jc w:val="left"/>
        <w:rPr>
          <w:rFonts w:ascii="黑体" w:hAnsi="宋体" w:eastAsia="黑体" w:cs="宋体"/>
          <w:color w:val="000000"/>
          <w:kern w:val="0"/>
          <w:sz w:val="24"/>
        </w:rPr>
      </w:pPr>
    </w:p>
    <w:p>
      <w:pPr>
        <w:widowControl/>
        <w:jc w:val="center"/>
        <w:rPr>
          <w:rFonts w:ascii="黑体" w:hAnsi="宋体" w:eastAsia="黑体" w:cs="宋体"/>
          <w:color w:val="000000"/>
          <w:kern w:val="0"/>
          <w:sz w:val="28"/>
        </w:rPr>
      </w:pPr>
      <w:r>
        <w:rPr>
          <w:rFonts w:hint="eastAsia" w:ascii="黑体" w:hAnsi="宋体" w:eastAsia="黑体" w:cs="宋体"/>
          <w:color w:val="000000"/>
          <w:kern w:val="0"/>
          <w:sz w:val="28"/>
        </w:rPr>
        <w:t>设计及选型情况调查表</w:t>
      </w:r>
    </w:p>
    <w:tbl>
      <w:tblPr>
        <w:tblStyle w:val="19"/>
        <w:tblW w:w="964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012"/>
        <w:gridCol w:w="966"/>
        <w:gridCol w:w="1700"/>
        <w:gridCol w:w="1406"/>
        <w:gridCol w:w="1132"/>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序号</w:t>
            </w:r>
          </w:p>
        </w:tc>
        <w:tc>
          <w:tcPr>
            <w:tcW w:w="2012"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项目/设计/配件名称</w:t>
            </w:r>
          </w:p>
        </w:tc>
        <w:tc>
          <w:tcPr>
            <w:tcW w:w="966"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规格/型号/参数</w:t>
            </w:r>
          </w:p>
        </w:tc>
        <w:tc>
          <w:tcPr>
            <w:tcW w:w="1700"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依据/理由</w:t>
            </w:r>
          </w:p>
        </w:tc>
        <w:tc>
          <w:tcPr>
            <w:tcW w:w="1406"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效果评估简述</w:t>
            </w:r>
          </w:p>
        </w:tc>
        <w:tc>
          <w:tcPr>
            <w:tcW w:w="1132"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优、缺点</w:t>
            </w:r>
          </w:p>
        </w:tc>
        <w:tc>
          <w:tcPr>
            <w:tcW w:w="1573"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设备额定功率选择</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2</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设备频率选择</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加热线圈</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4</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IGBT模块</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5</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电容</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6</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变压器</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7</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数显控制屏</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8</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温控输入输出信号</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9</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水压水温</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10</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水冷电缆</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w:t>
            </w:r>
          </w:p>
        </w:tc>
        <w:tc>
          <w:tcPr>
            <w:tcW w:w="2012" w:type="dxa"/>
          </w:tcPr>
          <w:p>
            <w:pPr>
              <w:widowControl/>
              <w:jc w:val="left"/>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bl>
    <w:p>
      <w:pPr>
        <w:widowControl/>
        <w:jc w:val="left"/>
        <w:rPr>
          <w:rFonts w:ascii="黑体" w:hAnsi="宋体" w:eastAsia="黑体" w:cs="宋体"/>
          <w:color w:val="000000"/>
          <w:kern w:val="0"/>
          <w:sz w:val="24"/>
        </w:rPr>
      </w:pPr>
    </w:p>
    <w:p>
      <w:pPr>
        <w:widowControl/>
        <w:spacing w:line="360" w:lineRule="auto"/>
        <w:ind w:firstLine="420" w:firstLineChars="200"/>
        <w:jc w:val="left"/>
        <w:rPr>
          <w:rFonts w:ascii="黑体" w:hAnsi="宋体" w:eastAsia="黑体" w:cs="宋体"/>
          <w:color w:val="000000"/>
          <w:kern w:val="0"/>
          <w:sz w:val="24"/>
        </w:rPr>
      </w:pPr>
      <w:r>
        <w:rPr>
          <w:rFonts w:hint="eastAsia"/>
          <w:color w:val="FF0000"/>
        </w:rPr>
        <w:t>注意：报价人需明确知悉内容，并按需求进行设计或选型辩证，对设计和选型的过程和结果进行记录，请按要求完善表格，其内容将关系到评分结果。</w:t>
      </w: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472" w:type="dxa"/>
        <w:jc w:val="center"/>
        <w:tblLayout w:type="fixed"/>
        <w:tblCellMar>
          <w:top w:w="0" w:type="dxa"/>
          <w:left w:w="108" w:type="dxa"/>
          <w:bottom w:w="0" w:type="dxa"/>
          <w:right w:w="108" w:type="dxa"/>
        </w:tblCellMar>
      </w:tblPr>
      <w:tblGrid>
        <w:gridCol w:w="1843"/>
        <w:gridCol w:w="967"/>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9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数控模具加热设备（上模）</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数控模具加热设备（中模和下模）</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上模加热线圈</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中模和下模加热线圈</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水冷电缆</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根</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FF0000"/>
          <w:sz w:val="24"/>
        </w:rPr>
      </w:pP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color w:val="FF0000"/>
          <w:sz w:val="36"/>
        </w:rPr>
      </w:pP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项目建设主要技术</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结合附件五和附件六进行综合评定。差：0-5分，较差：6-10分，一般：10-20分，较好：21-25分，很好：26-30分。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各项技术指标列入技术协议或合同附件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响应要求完整性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满分10分，未响应部分每项扣1分，未提供未响应理由加扣1分。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响应要求列入合同附件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270"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pPr>
      <w:r>
        <w:rPr>
          <w:rFonts w:hint="eastAsia"/>
        </w:rPr>
        <w:t>附件八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ZmNzc4NDgyZWExMDNkY2VhNWY0ODRlM2JkOWE4ZWUifQ=="/>
  </w:docVars>
  <w:rsids>
    <w:rsidRoot w:val="00CF6489"/>
    <w:rsid w:val="0000171A"/>
    <w:rsid w:val="000035F1"/>
    <w:rsid w:val="000047BD"/>
    <w:rsid w:val="00006568"/>
    <w:rsid w:val="00013FE1"/>
    <w:rsid w:val="00015CCC"/>
    <w:rsid w:val="00022290"/>
    <w:rsid w:val="00023EB7"/>
    <w:rsid w:val="000254EF"/>
    <w:rsid w:val="00027DBD"/>
    <w:rsid w:val="00030243"/>
    <w:rsid w:val="00031C91"/>
    <w:rsid w:val="000327FA"/>
    <w:rsid w:val="00034977"/>
    <w:rsid w:val="000355FF"/>
    <w:rsid w:val="0003735A"/>
    <w:rsid w:val="0003788E"/>
    <w:rsid w:val="00041553"/>
    <w:rsid w:val="00041617"/>
    <w:rsid w:val="0004389F"/>
    <w:rsid w:val="000442FF"/>
    <w:rsid w:val="0004434D"/>
    <w:rsid w:val="00050A61"/>
    <w:rsid w:val="0005169D"/>
    <w:rsid w:val="000542DA"/>
    <w:rsid w:val="000545D1"/>
    <w:rsid w:val="00055833"/>
    <w:rsid w:val="000605D9"/>
    <w:rsid w:val="000631D7"/>
    <w:rsid w:val="00064E93"/>
    <w:rsid w:val="000667B0"/>
    <w:rsid w:val="00066C8A"/>
    <w:rsid w:val="00072F77"/>
    <w:rsid w:val="00073AD0"/>
    <w:rsid w:val="00073FD8"/>
    <w:rsid w:val="00074431"/>
    <w:rsid w:val="0008036E"/>
    <w:rsid w:val="00082023"/>
    <w:rsid w:val="00084168"/>
    <w:rsid w:val="00090F5A"/>
    <w:rsid w:val="00091F43"/>
    <w:rsid w:val="00093E2F"/>
    <w:rsid w:val="00093F05"/>
    <w:rsid w:val="00094CEC"/>
    <w:rsid w:val="00097271"/>
    <w:rsid w:val="000A2F8F"/>
    <w:rsid w:val="000A30F5"/>
    <w:rsid w:val="000A3B4C"/>
    <w:rsid w:val="000A4383"/>
    <w:rsid w:val="000A46FA"/>
    <w:rsid w:val="000A4901"/>
    <w:rsid w:val="000A4FCD"/>
    <w:rsid w:val="000A5C00"/>
    <w:rsid w:val="000A6B9F"/>
    <w:rsid w:val="000A7481"/>
    <w:rsid w:val="000B1291"/>
    <w:rsid w:val="000B2897"/>
    <w:rsid w:val="000B2EA6"/>
    <w:rsid w:val="000B4A5D"/>
    <w:rsid w:val="000C0139"/>
    <w:rsid w:val="000C0C2F"/>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3A94"/>
    <w:rsid w:val="0010452C"/>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5153D"/>
    <w:rsid w:val="0015331D"/>
    <w:rsid w:val="0016239D"/>
    <w:rsid w:val="00167DF2"/>
    <w:rsid w:val="00174995"/>
    <w:rsid w:val="0018169B"/>
    <w:rsid w:val="0018255E"/>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5A41"/>
    <w:rsid w:val="001B6E1F"/>
    <w:rsid w:val="001B72C4"/>
    <w:rsid w:val="001C0B52"/>
    <w:rsid w:val="001C3508"/>
    <w:rsid w:val="001C686B"/>
    <w:rsid w:val="001D0BB4"/>
    <w:rsid w:val="001D1184"/>
    <w:rsid w:val="001D2E1D"/>
    <w:rsid w:val="001D316D"/>
    <w:rsid w:val="001D4406"/>
    <w:rsid w:val="001D6111"/>
    <w:rsid w:val="001D7DC3"/>
    <w:rsid w:val="001E1089"/>
    <w:rsid w:val="001E11BC"/>
    <w:rsid w:val="001E1A40"/>
    <w:rsid w:val="001E3066"/>
    <w:rsid w:val="001E42F1"/>
    <w:rsid w:val="001E531D"/>
    <w:rsid w:val="001E65F1"/>
    <w:rsid w:val="001F0E85"/>
    <w:rsid w:val="001F35D2"/>
    <w:rsid w:val="001F406E"/>
    <w:rsid w:val="001F5ECE"/>
    <w:rsid w:val="001F6899"/>
    <w:rsid w:val="00201849"/>
    <w:rsid w:val="00204579"/>
    <w:rsid w:val="00204E2A"/>
    <w:rsid w:val="0020564F"/>
    <w:rsid w:val="002077D9"/>
    <w:rsid w:val="00207D39"/>
    <w:rsid w:val="002118AF"/>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68C"/>
    <w:rsid w:val="0025396C"/>
    <w:rsid w:val="00254DFD"/>
    <w:rsid w:val="002556C0"/>
    <w:rsid w:val="00255C86"/>
    <w:rsid w:val="002567A2"/>
    <w:rsid w:val="0025692A"/>
    <w:rsid w:val="0025764D"/>
    <w:rsid w:val="00260D16"/>
    <w:rsid w:val="00266CB3"/>
    <w:rsid w:val="00271C2E"/>
    <w:rsid w:val="00275907"/>
    <w:rsid w:val="00283B7F"/>
    <w:rsid w:val="00284352"/>
    <w:rsid w:val="00286E2B"/>
    <w:rsid w:val="00290FD7"/>
    <w:rsid w:val="00291957"/>
    <w:rsid w:val="0029312E"/>
    <w:rsid w:val="00293B59"/>
    <w:rsid w:val="00295F76"/>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35D"/>
    <w:rsid w:val="002E2712"/>
    <w:rsid w:val="002E2932"/>
    <w:rsid w:val="002E3215"/>
    <w:rsid w:val="002E3281"/>
    <w:rsid w:val="002E34EF"/>
    <w:rsid w:val="002E4738"/>
    <w:rsid w:val="002F177D"/>
    <w:rsid w:val="002F427A"/>
    <w:rsid w:val="002F5E51"/>
    <w:rsid w:val="002F647E"/>
    <w:rsid w:val="00300BA2"/>
    <w:rsid w:val="003015CB"/>
    <w:rsid w:val="00310016"/>
    <w:rsid w:val="00310329"/>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001"/>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C7C86"/>
    <w:rsid w:val="003D16D7"/>
    <w:rsid w:val="003D3A7F"/>
    <w:rsid w:val="003D574C"/>
    <w:rsid w:val="003D74F8"/>
    <w:rsid w:val="003E150F"/>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179D"/>
    <w:rsid w:val="00412DFB"/>
    <w:rsid w:val="00415CB6"/>
    <w:rsid w:val="004166A7"/>
    <w:rsid w:val="00416CC5"/>
    <w:rsid w:val="00420557"/>
    <w:rsid w:val="00422537"/>
    <w:rsid w:val="00423C13"/>
    <w:rsid w:val="004262D6"/>
    <w:rsid w:val="00430ED1"/>
    <w:rsid w:val="004326D5"/>
    <w:rsid w:val="004349F9"/>
    <w:rsid w:val="004360BB"/>
    <w:rsid w:val="00436188"/>
    <w:rsid w:val="00437929"/>
    <w:rsid w:val="00442DC0"/>
    <w:rsid w:val="0044358F"/>
    <w:rsid w:val="00444906"/>
    <w:rsid w:val="00447A51"/>
    <w:rsid w:val="00447F9D"/>
    <w:rsid w:val="00450128"/>
    <w:rsid w:val="004534F9"/>
    <w:rsid w:val="00453744"/>
    <w:rsid w:val="0045520E"/>
    <w:rsid w:val="004555D9"/>
    <w:rsid w:val="0046127C"/>
    <w:rsid w:val="00465FFB"/>
    <w:rsid w:val="00467BCE"/>
    <w:rsid w:val="004711B4"/>
    <w:rsid w:val="00474432"/>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9DE"/>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37B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0819"/>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651"/>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97661"/>
    <w:rsid w:val="005A1FCE"/>
    <w:rsid w:val="005A3159"/>
    <w:rsid w:val="005A404F"/>
    <w:rsid w:val="005A42CF"/>
    <w:rsid w:val="005A4F80"/>
    <w:rsid w:val="005B0D6C"/>
    <w:rsid w:val="005B3313"/>
    <w:rsid w:val="005C0A0D"/>
    <w:rsid w:val="005C0B73"/>
    <w:rsid w:val="005C0D0D"/>
    <w:rsid w:val="005C1B09"/>
    <w:rsid w:val="005C315B"/>
    <w:rsid w:val="005C368B"/>
    <w:rsid w:val="005C5B8E"/>
    <w:rsid w:val="005C7665"/>
    <w:rsid w:val="005C7C17"/>
    <w:rsid w:val="005D08AE"/>
    <w:rsid w:val="005D4292"/>
    <w:rsid w:val="005D4D7A"/>
    <w:rsid w:val="005D5633"/>
    <w:rsid w:val="005D65B1"/>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202E"/>
    <w:rsid w:val="00623840"/>
    <w:rsid w:val="00624BA8"/>
    <w:rsid w:val="00626226"/>
    <w:rsid w:val="0062633B"/>
    <w:rsid w:val="00627CDD"/>
    <w:rsid w:val="00635CBC"/>
    <w:rsid w:val="00637FFC"/>
    <w:rsid w:val="00640246"/>
    <w:rsid w:val="00640DFE"/>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39FB"/>
    <w:rsid w:val="006951BC"/>
    <w:rsid w:val="00695560"/>
    <w:rsid w:val="0069690E"/>
    <w:rsid w:val="00696CD7"/>
    <w:rsid w:val="006B11DF"/>
    <w:rsid w:val="006B3997"/>
    <w:rsid w:val="006B3CA6"/>
    <w:rsid w:val="006B43A2"/>
    <w:rsid w:val="006C09BC"/>
    <w:rsid w:val="006C0C73"/>
    <w:rsid w:val="006C4F6A"/>
    <w:rsid w:val="006D007D"/>
    <w:rsid w:val="006D133F"/>
    <w:rsid w:val="006D39B6"/>
    <w:rsid w:val="006D46DA"/>
    <w:rsid w:val="006E00AF"/>
    <w:rsid w:val="006E1B30"/>
    <w:rsid w:val="006E6960"/>
    <w:rsid w:val="006F0376"/>
    <w:rsid w:val="006F06A4"/>
    <w:rsid w:val="006F1A4C"/>
    <w:rsid w:val="006F6107"/>
    <w:rsid w:val="006F6DFA"/>
    <w:rsid w:val="00701221"/>
    <w:rsid w:val="0070363A"/>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728C"/>
    <w:rsid w:val="00737854"/>
    <w:rsid w:val="00740F07"/>
    <w:rsid w:val="007412C1"/>
    <w:rsid w:val="00741B9B"/>
    <w:rsid w:val="00746204"/>
    <w:rsid w:val="0074662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3DA"/>
    <w:rsid w:val="00780643"/>
    <w:rsid w:val="0078440D"/>
    <w:rsid w:val="00784540"/>
    <w:rsid w:val="00784DB1"/>
    <w:rsid w:val="00785B33"/>
    <w:rsid w:val="00785EB2"/>
    <w:rsid w:val="007877FB"/>
    <w:rsid w:val="00790A40"/>
    <w:rsid w:val="0079128D"/>
    <w:rsid w:val="00792A7E"/>
    <w:rsid w:val="007A1027"/>
    <w:rsid w:val="007A70F6"/>
    <w:rsid w:val="007B5DD2"/>
    <w:rsid w:val="007C091A"/>
    <w:rsid w:val="007C2827"/>
    <w:rsid w:val="007C32C2"/>
    <w:rsid w:val="007C4227"/>
    <w:rsid w:val="007C48E0"/>
    <w:rsid w:val="007C5635"/>
    <w:rsid w:val="007D625A"/>
    <w:rsid w:val="007D7CCD"/>
    <w:rsid w:val="007D7EAE"/>
    <w:rsid w:val="007E1AD1"/>
    <w:rsid w:val="007E33B8"/>
    <w:rsid w:val="007E4EBA"/>
    <w:rsid w:val="007E7657"/>
    <w:rsid w:val="007E7DB8"/>
    <w:rsid w:val="007F0B42"/>
    <w:rsid w:val="007F2426"/>
    <w:rsid w:val="007F6E27"/>
    <w:rsid w:val="00800AC8"/>
    <w:rsid w:val="00801B63"/>
    <w:rsid w:val="00803150"/>
    <w:rsid w:val="00804BDC"/>
    <w:rsid w:val="00804D99"/>
    <w:rsid w:val="00805534"/>
    <w:rsid w:val="008106D6"/>
    <w:rsid w:val="00810BC7"/>
    <w:rsid w:val="00810BCA"/>
    <w:rsid w:val="00813BB0"/>
    <w:rsid w:val="00814CEE"/>
    <w:rsid w:val="00815245"/>
    <w:rsid w:val="00816946"/>
    <w:rsid w:val="008270D8"/>
    <w:rsid w:val="008272EE"/>
    <w:rsid w:val="00835FA7"/>
    <w:rsid w:val="008366DA"/>
    <w:rsid w:val="00836D98"/>
    <w:rsid w:val="00836F24"/>
    <w:rsid w:val="00837005"/>
    <w:rsid w:val="008416CA"/>
    <w:rsid w:val="008442F7"/>
    <w:rsid w:val="0084477E"/>
    <w:rsid w:val="00852422"/>
    <w:rsid w:val="008545D5"/>
    <w:rsid w:val="008551B1"/>
    <w:rsid w:val="00856828"/>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5E8B"/>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013"/>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736"/>
    <w:rsid w:val="00956A5A"/>
    <w:rsid w:val="00960023"/>
    <w:rsid w:val="00960932"/>
    <w:rsid w:val="009618E6"/>
    <w:rsid w:val="00965385"/>
    <w:rsid w:val="00965C4A"/>
    <w:rsid w:val="00970203"/>
    <w:rsid w:val="00970787"/>
    <w:rsid w:val="00970D9D"/>
    <w:rsid w:val="009715EE"/>
    <w:rsid w:val="00973719"/>
    <w:rsid w:val="0097376F"/>
    <w:rsid w:val="00974214"/>
    <w:rsid w:val="009809AB"/>
    <w:rsid w:val="00985610"/>
    <w:rsid w:val="009868F2"/>
    <w:rsid w:val="009869C8"/>
    <w:rsid w:val="00990668"/>
    <w:rsid w:val="00996FBD"/>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215"/>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0E5E"/>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05C2"/>
    <w:rsid w:val="00A62110"/>
    <w:rsid w:val="00A62EC4"/>
    <w:rsid w:val="00A64991"/>
    <w:rsid w:val="00A658E6"/>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E4345"/>
    <w:rsid w:val="00AF328E"/>
    <w:rsid w:val="00AF5129"/>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3A60"/>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0B27"/>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BF791C"/>
    <w:rsid w:val="00C0059F"/>
    <w:rsid w:val="00C010CB"/>
    <w:rsid w:val="00C02096"/>
    <w:rsid w:val="00C07432"/>
    <w:rsid w:val="00C07AE2"/>
    <w:rsid w:val="00C109B8"/>
    <w:rsid w:val="00C10B60"/>
    <w:rsid w:val="00C167C8"/>
    <w:rsid w:val="00C21AFC"/>
    <w:rsid w:val="00C21DFB"/>
    <w:rsid w:val="00C31E5D"/>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6F31"/>
    <w:rsid w:val="00C97535"/>
    <w:rsid w:val="00CA00D5"/>
    <w:rsid w:val="00CA0BE9"/>
    <w:rsid w:val="00CA2526"/>
    <w:rsid w:val="00CA289C"/>
    <w:rsid w:val="00CA2C20"/>
    <w:rsid w:val="00CA353D"/>
    <w:rsid w:val="00CA4A2F"/>
    <w:rsid w:val="00CA4C88"/>
    <w:rsid w:val="00CA7C0E"/>
    <w:rsid w:val="00CB00EE"/>
    <w:rsid w:val="00CB3871"/>
    <w:rsid w:val="00CB49D7"/>
    <w:rsid w:val="00CB6310"/>
    <w:rsid w:val="00CC087F"/>
    <w:rsid w:val="00CC0A9E"/>
    <w:rsid w:val="00CC218B"/>
    <w:rsid w:val="00CC38FE"/>
    <w:rsid w:val="00CC72B9"/>
    <w:rsid w:val="00CD23EE"/>
    <w:rsid w:val="00CD2F3D"/>
    <w:rsid w:val="00CD3415"/>
    <w:rsid w:val="00CD4692"/>
    <w:rsid w:val="00CD7978"/>
    <w:rsid w:val="00CE2BE3"/>
    <w:rsid w:val="00CE5BD3"/>
    <w:rsid w:val="00CF05B1"/>
    <w:rsid w:val="00CF46DF"/>
    <w:rsid w:val="00CF6489"/>
    <w:rsid w:val="00D02BA2"/>
    <w:rsid w:val="00D04C26"/>
    <w:rsid w:val="00D06170"/>
    <w:rsid w:val="00D11172"/>
    <w:rsid w:val="00D11AB0"/>
    <w:rsid w:val="00D15145"/>
    <w:rsid w:val="00D16EE0"/>
    <w:rsid w:val="00D23876"/>
    <w:rsid w:val="00D258EA"/>
    <w:rsid w:val="00D27CEE"/>
    <w:rsid w:val="00D30B3F"/>
    <w:rsid w:val="00D375CD"/>
    <w:rsid w:val="00D37ADE"/>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92AF3"/>
    <w:rsid w:val="00DA1090"/>
    <w:rsid w:val="00DA5B2F"/>
    <w:rsid w:val="00DA7E5B"/>
    <w:rsid w:val="00DB0C20"/>
    <w:rsid w:val="00DB1C53"/>
    <w:rsid w:val="00DB47FA"/>
    <w:rsid w:val="00DB60EB"/>
    <w:rsid w:val="00DC200D"/>
    <w:rsid w:val="00DC27E7"/>
    <w:rsid w:val="00DC3DD3"/>
    <w:rsid w:val="00DC7652"/>
    <w:rsid w:val="00DD0FFE"/>
    <w:rsid w:val="00DD1050"/>
    <w:rsid w:val="00DD12B6"/>
    <w:rsid w:val="00DD18E9"/>
    <w:rsid w:val="00DD2750"/>
    <w:rsid w:val="00DD2C81"/>
    <w:rsid w:val="00DD34AD"/>
    <w:rsid w:val="00DD3CCD"/>
    <w:rsid w:val="00DD59BA"/>
    <w:rsid w:val="00DD64AE"/>
    <w:rsid w:val="00DD72DF"/>
    <w:rsid w:val="00DE14B8"/>
    <w:rsid w:val="00DE1C8D"/>
    <w:rsid w:val="00DE3CE8"/>
    <w:rsid w:val="00DF18B0"/>
    <w:rsid w:val="00DF2A41"/>
    <w:rsid w:val="00DF2D13"/>
    <w:rsid w:val="00DF668F"/>
    <w:rsid w:val="00DF706D"/>
    <w:rsid w:val="00DF7D50"/>
    <w:rsid w:val="00DF7EC9"/>
    <w:rsid w:val="00E01736"/>
    <w:rsid w:val="00E10077"/>
    <w:rsid w:val="00E104FC"/>
    <w:rsid w:val="00E1132E"/>
    <w:rsid w:val="00E13A96"/>
    <w:rsid w:val="00E13C48"/>
    <w:rsid w:val="00E160C3"/>
    <w:rsid w:val="00E175C3"/>
    <w:rsid w:val="00E2122B"/>
    <w:rsid w:val="00E2199F"/>
    <w:rsid w:val="00E2333F"/>
    <w:rsid w:val="00E2554B"/>
    <w:rsid w:val="00E25816"/>
    <w:rsid w:val="00E27208"/>
    <w:rsid w:val="00E27694"/>
    <w:rsid w:val="00E27E02"/>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5298"/>
    <w:rsid w:val="00E7544D"/>
    <w:rsid w:val="00E7577C"/>
    <w:rsid w:val="00E83F00"/>
    <w:rsid w:val="00E85BF1"/>
    <w:rsid w:val="00E85DBD"/>
    <w:rsid w:val="00E907EB"/>
    <w:rsid w:val="00E926C6"/>
    <w:rsid w:val="00E93030"/>
    <w:rsid w:val="00E9347F"/>
    <w:rsid w:val="00E94980"/>
    <w:rsid w:val="00E95E20"/>
    <w:rsid w:val="00E97B15"/>
    <w:rsid w:val="00EA0DAE"/>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1BE8"/>
    <w:rsid w:val="00ED50E9"/>
    <w:rsid w:val="00ED73B5"/>
    <w:rsid w:val="00EF0B5C"/>
    <w:rsid w:val="00EF25C8"/>
    <w:rsid w:val="00EF4244"/>
    <w:rsid w:val="00EF7DE6"/>
    <w:rsid w:val="00F00347"/>
    <w:rsid w:val="00F01E56"/>
    <w:rsid w:val="00F03032"/>
    <w:rsid w:val="00F0358E"/>
    <w:rsid w:val="00F043AD"/>
    <w:rsid w:val="00F0716C"/>
    <w:rsid w:val="00F078AA"/>
    <w:rsid w:val="00F07AC7"/>
    <w:rsid w:val="00F126E9"/>
    <w:rsid w:val="00F12F00"/>
    <w:rsid w:val="00F163A8"/>
    <w:rsid w:val="00F16AEE"/>
    <w:rsid w:val="00F20A7A"/>
    <w:rsid w:val="00F21018"/>
    <w:rsid w:val="00F23BC3"/>
    <w:rsid w:val="00F2426D"/>
    <w:rsid w:val="00F25206"/>
    <w:rsid w:val="00F31298"/>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E19"/>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A1A"/>
    <w:rsid w:val="00FA7DD9"/>
    <w:rsid w:val="00FB208D"/>
    <w:rsid w:val="00FB388E"/>
    <w:rsid w:val="00FB52AF"/>
    <w:rsid w:val="00FC147A"/>
    <w:rsid w:val="00FC35CF"/>
    <w:rsid w:val="00FC6C3F"/>
    <w:rsid w:val="00FD15E8"/>
    <w:rsid w:val="00FD3856"/>
    <w:rsid w:val="00FD4CE4"/>
    <w:rsid w:val="00FD4E3C"/>
    <w:rsid w:val="00FE3B53"/>
    <w:rsid w:val="00FE7D64"/>
    <w:rsid w:val="00FF097A"/>
    <w:rsid w:val="00FF0BB2"/>
    <w:rsid w:val="00FF107B"/>
    <w:rsid w:val="00FF2BD6"/>
    <w:rsid w:val="00FF6CB6"/>
    <w:rsid w:val="00FF78A7"/>
    <w:rsid w:val="0FA07693"/>
    <w:rsid w:val="10E37F64"/>
    <w:rsid w:val="16DB5307"/>
    <w:rsid w:val="1D2751AB"/>
    <w:rsid w:val="1DC92D22"/>
    <w:rsid w:val="1F2F4234"/>
    <w:rsid w:val="34324241"/>
    <w:rsid w:val="3A6D37CD"/>
    <w:rsid w:val="44111C0F"/>
    <w:rsid w:val="48777118"/>
    <w:rsid w:val="4B8E3A93"/>
    <w:rsid w:val="4FF019BD"/>
    <w:rsid w:val="5E485421"/>
    <w:rsid w:val="643A744E"/>
    <w:rsid w:val="652C4677"/>
    <w:rsid w:val="65500DE4"/>
    <w:rsid w:val="65B806E2"/>
    <w:rsid w:val="67DF1302"/>
    <w:rsid w:val="686D5083"/>
    <w:rsid w:val="6A411247"/>
    <w:rsid w:val="6C345C3F"/>
    <w:rsid w:val="6D476299"/>
    <w:rsid w:val="6EF137DC"/>
    <w:rsid w:val="70CF0E3E"/>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link w:val="44"/>
    <w:qFormat/>
    <w:uiPriority w:val="99"/>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character" w:customStyle="1" w:styleId="44">
    <w:name w:val="日期 Char"/>
    <w:basedOn w:val="20"/>
    <w:link w:val="11"/>
    <w:qFormat/>
    <w:locked/>
    <w:uiPriority w:val="99"/>
    <w:rPr>
      <w:b/>
      <w:kern w:val="2"/>
      <w:sz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10001</Words>
  <Characters>10810</Characters>
  <Lines>88</Lines>
  <Paragraphs>24</Paragraphs>
  <TotalTime>1964</TotalTime>
  <ScaleCrop>false</ScaleCrop>
  <LinksUpToDate>false</LinksUpToDate>
  <CharactersWithSpaces>11440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2022-10-31T06:07:10Z</dcterms:modified>
  <dc:title>投标邀请</dc:title>
  <cp:revision>575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173098A0755943398DC5492726DD41CC</vt:lpwstr>
  </property>
</Properties>
</file>