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二二</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rPr>
        <w:t>十</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应为独立的法人机构，能够独立承担民事责任，具有有效的营业执照或有效的公司注册登记证明材料。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22年</w:t>
      </w:r>
      <w:r>
        <w:rPr>
          <w:rFonts w:ascii="仿宋_GB2312" w:eastAsia="仿宋_GB2312"/>
          <w:sz w:val="24"/>
        </w:rPr>
        <w:t xml:space="preserve"> </w:t>
      </w:r>
      <w:r>
        <w:rPr>
          <w:rFonts w:hint="eastAsia" w:ascii="仿宋_GB2312" w:eastAsia="仿宋_GB2312"/>
          <w:sz w:val="24"/>
        </w:rPr>
        <w:t>10月</w:t>
      </w:r>
      <w:r>
        <w:rPr>
          <w:rFonts w:ascii="仿宋_GB2312" w:eastAsia="仿宋_GB2312"/>
          <w:sz w:val="24"/>
        </w:rPr>
        <w:t xml:space="preserve"> </w:t>
      </w:r>
      <w:r>
        <w:rPr>
          <w:rFonts w:hint="eastAsia" w:ascii="仿宋_GB2312" w:eastAsia="仿宋_GB2312"/>
          <w:sz w:val="24"/>
        </w:rPr>
        <w:t>27</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22</w:t>
      </w:r>
      <w:r>
        <w:rPr>
          <w:rFonts w:ascii="仿宋_GB2312" w:eastAsia="仿宋_GB2312"/>
          <w:sz w:val="24"/>
        </w:rPr>
        <w:t xml:space="preserve"> </w:t>
      </w:r>
      <w:r>
        <w:rPr>
          <w:rFonts w:hint="eastAsia" w:ascii="仿宋_GB2312" w:eastAsia="仿宋_GB2312"/>
          <w:sz w:val="24"/>
        </w:rPr>
        <w:t>年11月</w:t>
      </w:r>
      <w:r>
        <w:rPr>
          <w:rFonts w:ascii="仿宋_GB2312" w:eastAsia="仿宋_GB2312"/>
          <w:sz w:val="24"/>
        </w:rPr>
        <w:t xml:space="preserve"> </w:t>
      </w:r>
      <w:r>
        <w:rPr>
          <w:rFonts w:hint="eastAsia" w:ascii="仿宋_GB2312" w:eastAsia="仿宋_GB2312"/>
          <w:sz w:val="24"/>
          <w:lang w:val="en-US" w:eastAsia="zh-CN"/>
        </w:rPr>
        <w:t>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22</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w:t>
      </w:r>
      <w:r>
        <w:rPr>
          <w:rFonts w:hint="eastAsia" w:ascii="仿宋_GB2312" w:eastAsia="仿宋_GB2312"/>
          <w:sz w:val="24"/>
        </w:rPr>
        <w:t>日16:00（北京时间）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技术咨询：冯先生     联系电话：13438969538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二二</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rPr>
        <w:t>十</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rPr>
        <w:t>二十七</w:t>
      </w:r>
      <w:r>
        <w:rPr>
          <w:rFonts w:ascii="仿宋_GB2312" w:eastAsia="仿宋_GB2312"/>
          <w:sz w:val="24"/>
          <w:u w:val="single"/>
        </w:rPr>
        <w:t xml:space="preserve"> </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份、副本</w:t>
            </w:r>
            <w:r>
              <w:rPr>
                <w:rFonts w:hint="eastAsia" w:ascii="楷体_GB2312" w:eastAsia="楷体_GB2312" w:cs="仿宋_GB2312"/>
                <w:kern w:val="0"/>
                <w:sz w:val="24"/>
                <w:szCs w:val="21"/>
                <w:lang w:val="en-US" w:eastAsia="zh-CN"/>
              </w:rPr>
              <w:t>1</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钼电极水套</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合同签订后30个工作日到货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（四）所投货物详细技术参数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22</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w:t>
      </w:r>
      <w:r>
        <w:rPr>
          <w:rFonts w:hint="eastAsia" w:ascii="仿宋_GB2312" w:eastAsia="仿宋_GB2312"/>
          <w:sz w:val="24"/>
        </w:rPr>
        <w:t>日16:00时（北京时间），截止时间后，将拒绝接收新的报价文件。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rPr>
        <w:t>合同签订后</w:t>
      </w:r>
      <w:r>
        <w:rPr>
          <w:rFonts w:hint="eastAsia"/>
          <w:kern w:val="0"/>
          <w:sz w:val="24"/>
          <w:lang w:val="en-US" w:eastAsia="zh-CN"/>
        </w:rPr>
        <w:t>30个日历日</w:t>
      </w:r>
      <w:r>
        <w:rPr>
          <w:rFonts w:hint="eastAsia"/>
          <w:kern w:val="0"/>
          <w:sz w:val="24"/>
        </w:rPr>
        <w:t>内</w:t>
      </w:r>
      <w:r>
        <w:rPr>
          <w:rFonts w:hint="eastAsia"/>
          <w:kern w:val="0"/>
          <w:sz w:val="24"/>
          <w:lang w:val="en-US" w:eastAsia="zh-CN"/>
        </w:rPr>
        <w:t xml:space="preserve">交货。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货到验收合格，成交商开具13%全额增值税专用发票后60天内付合货款总额的90%，剩余10%作为质保金，1年后无息支付。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3</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4</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79*L500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21</w:t>
            </w:r>
          </w:p>
        </w:tc>
        <w:tc>
          <w:tcPr>
            <w:tcW w:w="2491"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ascii="宋体"/>
          <w:color w:val="000000"/>
          <w:sz w:val="24"/>
        </w:rPr>
      </w:pPr>
    </w:p>
    <w:p>
      <w:pPr>
        <w:numPr>
          <w:ilvl w:val="0"/>
          <w:numId w:val="1"/>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w:t>
      </w:r>
    </w:p>
    <w:p>
      <w:pPr>
        <w:numPr>
          <w:numId w:val="0"/>
        </w:numPr>
        <w:adjustRightInd w:val="0"/>
        <w:snapToGrid w:val="0"/>
        <w:spacing w:line="360" w:lineRule="auto"/>
        <w:ind w:right="399" w:rightChars="190"/>
        <w:rPr>
          <w:rFonts w:hint="default" w:ascii="宋体" w:hAnsi="宋体"/>
          <w:b/>
          <w:bCs/>
          <w:color w:val="000000"/>
          <w:spacing w:val="10"/>
          <w:sz w:val="24"/>
          <w:lang w:val="en-US" w:eastAsia="zh-CN"/>
        </w:rPr>
      </w:pPr>
      <w:bookmarkStart w:id="10" w:name="_GoBack"/>
      <w:r>
        <w:drawing>
          <wp:inline distT="0" distB="0" distL="114300" distR="114300">
            <wp:extent cx="6185535" cy="4347845"/>
            <wp:effectExtent l="0" t="0" r="5715"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185535" cy="4347845"/>
                    </a:xfrm>
                    <a:prstGeom prst="rect">
                      <a:avLst/>
                    </a:prstGeom>
                    <a:noFill/>
                    <a:ln>
                      <a:noFill/>
                    </a:ln>
                  </pic:spPr>
                </pic:pic>
              </a:graphicData>
            </a:graphic>
          </wp:inline>
        </w:drawing>
      </w:r>
      <w:bookmarkEnd w:id="10"/>
    </w:p>
    <w:p>
      <w:pPr>
        <w:numPr>
          <w:numId w:val="0"/>
        </w:numPr>
        <w:adjustRightInd w:val="0"/>
        <w:snapToGrid w:val="0"/>
        <w:spacing w:line="360" w:lineRule="auto"/>
        <w:ind w:right="399" w:rightChars="190"/>
        <w:rPr>
          <w:rFonts w:hint="eastAsia" w:ascii="宋体" w:hAnsi="宋体"/>
          <w:b w:val="0"/>
          <w:bCs w:val="0"/>
          <w:color w:val="000000"/>
          <w:spacing w:val="10"/>
          <w:sz w:val="24"/>
          <w:lang w:val="en-US" w:eastAsia="zh-CN"/>
        </w:rPr>
      </w:pPr>
    </w:p>
    <w:p>
      <w:pPr>
        <w:numPr>
          <w:numId w:val="0"/>
        </w:numPr>
        <w:adjustRightInd w:val="0"/>
        <w:snapToGrid w:val="0"/>
        <w:spacing w:line="360" w:lineRule="auto"/>
        <w:ind w:right="399" w:rightChars="190"/>
        <w:rPr>
          <w:rFonts w:hint="default" w:ascii="宋体" w:hAnsi="宋体"/>
          <w:b w:val="0"/>
          <w:bCs w:val="0"/>
          <w:color w:val="000000"/>
          <w:spacing w:val="10"/>
          <w:sz w:val="24"/>
          <w:lang w:val="en-US" w:eastAsia="zh-CN"/>
        </w:rPr>
      </w:pPr>
      <w:r>
        <w:rPr>
          <w:rFonts w:hint="eastAsia" w:ascii="宋体" w:hAnsi="宋体"/>
          <w:b w:val="0"/>
          <w:bCs w:val="0"/>
          <w:color w:val="000000"/>
          <w:spacing w:val="10"/>
          <w:sz w:val="24"/>
          <w:lang w:val="en-US" w:eastAsia="zh-CN"/>
        </w:rPr>
        <w:t>（注：询价货物的详细尺寸，成交商确定后，由都江堰光明向其提供。）</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05315045"/>
      <w:bookmarkStart w:id="1" w:name="_Toc172809818"/>
      <w:bookmarkStart w:id="2" w:name="_Toc89791736"/>
      <w:bookmarkStart w:id="3" w:name="_Toc182560070"/>
      <w:bookmarkStart w:id="4" w:name="_Toc89791634"/>
      <w:bookmarkStart w:id="5" w:name="_Toc116895449"/>
      <w:bookmarkStart w:id="6" w:name="_Toc172811881"/>
      <w:bookmarkStart w:id="7" w:name="_Toc90180911"/>
      <w:bookmarkStart w:id="8" w:name="_Toc172809947"/>
      <w:bookmarkStart w:id="9" w:name="_Toc116869942"/>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FangSong_GB2312">
    <w:altName w:val="仿宋"/>
    <w:panose1 w:val="02010609060101010101"/>
    <w:charset w:val="86"/>
    <w:family w:val="modern"/>
    <w:pitch w:val="default"/>
    <w:sig w:usb0="00000000" w:usb1="00000000" w:usb2="00000016" w:usb3="00000000" w:csb0="00040001" w:csb1="00000000"/>
  </w:font>
  <w:font w:name="MS Gothic">
    <w:panose1 w:val="020B0609070205080204"/>
    <w:charset w:val="80"/>
    <w:family w:val="modern"/>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187C3D68"/>
    <w:rsid w:val="196D782F"/>
    <w:rsid w:val="26B95440"/>
    <w:rsid w:val="2D2F71A3"/>
    <w:rsid w:val="54013662"/>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4704</Words>
  <Characters>4862</Characters>
  <Lines>0</Lines>
  <Paragraphs>0</Paragraphs>
  <TotalTime>15</TotalTime>
  <ScaleCrop>false</ScaleCrop>
  <LinksUpToDate>false</LinksUpToDate>
  <CharactersWithSpaces>5547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2022-10-28T07:43:31Z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BA9CBE4C3D194E96AFFAA5E4F1304651</vt:lpwstr>
  </property>
</Properties>
</file>