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hint="eastAsia"/>
          <w:b/>
          <w:color w:val="000000" w:themeColor="text1"/>
          <w:sz w:val="44"/>
          <w:szCs w:val="44"/>
          <w:u w:val="single"/>
          <w14:textFill>
            <w14:solidFill>
              <w14:schemeClr w14:val="tx1"/>
            </w14:solidFill>
          </w14:textFill>
        </w:rPr>
      </w:pPr>
    </w:p>
    <w:p>
      <w:pPr>
        <w:spacing w:line="800" w:lineRule="exact"/>
        <w:jc w:val="center"/>
        <w:rPr>
          <w:rFonts w:ascii="方正大标宋简体" w:hAnsi="华文中宋" w:eastAsia="方正大标宋简体"/>
          <w:b/>
          <w:bCs/>
          <w:spacing w:val="38"/>
          <w:sz w:val="72"/>
          <w:szCs w:val="72"/>
        </w:rPr>
      </w:pPr>
    </w:p>
    <w:p>
      <w:pPr>
        <w:spacing w:line="800" w:lineRule="exact"/>
        <w:ind w:firstLine="2389" w:firstLineChars="300"/>
        <w:jc w:val="both"/>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ind w:firstLine="1807" w:firstLineChars="600"/>
        <w:rPr>
          <w:rFonts w:hint="eastAsia"/>
          <w:b/>
          <w:bCs/>
          <w:sz w:val="30"/>
          <w:szCs w:val="30"/>
        </w:rPr>
      </w:pPr>
      <w:r>
        <w:rPr>
          <w:rFonts w:hint="eastAsia"/>
          <w:b/>
          <w:bCs/>
          <w:sz w:val="30"/>
          <w:szCs w:val="30"/>
        </w:rPr>
        <w:t>项目名称：网带式退火炉采购项目</w:t>
      </w:r>
    </w:p>
    <w:p>
      <w:pPr>
        <w:autoSpaceDE w:val="0"/>
        <w:autoSpaceDN w:val="0"/>
        <w:adjustRightInd w:val="0"/>
        <w:ind w:firstLine="1807" w:firstLineChars="600"/>
        <w:jc w:val="left"/>
        <w:rPr>
          <w:rFonts w:hint="default" w:eastAsiaTheme="minorEastAsia"/>
          <w:b/>
          <w:bCs/>
          <w:color w:val="auto"/>
          <w:sz w:val="30"/>
          <w:szCs w:val="30"/>
          <w:lang w:val="en-US" w:eastAsia="zh-CN"/>
        </w:rPr>
      </w:pPr>
      <w:r>
        <w:rPr>
          <w:rFonts w:hint="eastAsia"/>
          <w:b/>
          <w:bCs/>
          <w:sz w:val="30"/>
          <w:szCs w:val="30"/>
        </w:rPr>
        <w:t>项目编号：</w:t>
      </w:r>
      <w:r>
        <w:rPr>
          <w:rFonts w:hint="eastAsia"/>
          <w:b/>
          <w:bCs/>
          <w:color w:val="auto"/>
          <w:sz w:val="30"/>
          <w:szCs w:val="30"/>
          <w:lang w:val="en-US" w:eastAsia="zh-CN"/>
        </w:rPr>
        <w:t>2022062901</w:t>
      </w:r>
    </w:p>
    <w:p>
      <w:pPr>
        <w:autoSpaceDE w:val="0"/>
        <w:autoSpaceDN w:val="0"/>
        <w:adjustRightInd w:val="0"/>
        <w:spacing w:line="660" w:lineRule="exact"/>
        <w:ind w:firstLine="1506" w:firstLineChars="500"/>
        <w:rPr>
          <w:rFonts w:hint="eastAsia"/>
          <w:b/>
          <w:bCs/>
          <w:sz w:val="30"/>
          <w:szCs w:val="30"/>
        </w:rPr>
      </w:pPr>
    </w:p>
    <w:p>
      <w:pPr>
        <w:spacing w:line="800" w:lineRule="exact"/>
        <w:jc w:val="center"/>
        <w:rPr>
          <w:rFonts w:hint="eastAsia"/>
          <w:b/>
          <w:bCs/>
          <w:sz w:val="30"/>
          <w:szCs w:val="30"/>
        </w:rPr>
      </w:pPr>
    </w:p>
    <w:p>
      <w:pPr>
        <w:spacing w:line="800" w:lineRule="exact"/>
        <w:jc w:val="center"/>
        <w:rPr>
          <w:rFonts w:hint="eastAsia"/>
          <w:b/>
          <w:bCs/>
          <w:sz w:val="30"/>
          <w:szCs w:val="30"/>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2530" w:firstLineChars="900"/>
        <w:jc w:val="both"/>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28"/>
          <w:szCs w:val="28"/>
        </w:rPr>
        <w:t>都江堰光明光电材料有限责任公司</w:t>
      </w:r>
    </w:p>
    <w:p>
      <w:pPr>
        <w:spacing w:line="360" w:lineRule="auto"/>
        <w:ind w:firstLine="3614" w:firstLineChars="1200"/>
        <w:rPr>
          <w:rFonts w:hint="eastAsia"/>
          <w:b/>
          <w:bCs/>
          <w:sz w:val="30"/>
          <w:szCs w:val="30"/>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425" w:num="1"/>
          <w:docGrid w:linePitch="312" w:charSpace="0"/>
        </w:sectPr>
      </w:pPr>
      <w:r>
        <w:rPr>
          <w:rFonts w:hint="eastAsia"/>
          <w:b/>
          <w:bCs/>
          <w:sz w:val="30"/>
          <w:szCs w:val="30"/>
        </w:rPr>
        <w:t>二○二二年</w:t>
      </w:r>
      <w:r>
        <w:rPr>
          <w:rFonts w:hint="eastAsia"/>
          <w:b/>
          <w:bCs/>
          <w:sz w:val="30"/>
          <w:szCs w:val="30"/>
          <w:lang w:val="en-US" w:eastAsia="zh-CN"/>
        </w:rPr>
        <w:t>六</w:t>
      </w:r>
      <w:r>
        <w:rPr>
          <w:rFonts w:hint="eastAsia"/>
          <w:b/>
          <w:bCs/>
          <w:sz w:val="30"/>
          <w:szCs w:val="30"/>
        </w:rPr>
        <w:t>月</w:t>
      </w:r>
    </w:p>
    <w:p>
      <w:pPr>
        <w:pStyle w:val="3"/>
        <w:spacing w:line="360" w:lineRule="exact"/>
        <w:jc w:val="center"/>
        <w:rPr>
          <w:bCs w:val="0"/>
          <w:color w:val="000000" w:themeColor="text1"/>
          <w14:textFill>
            <w14:solidFill>
              <w14:schemeClr w14:val="tx1"/>
            </w14:solidFill>
          </w14:textFill>
        </w:rPr>
      </w:pPr>
      <w:r>
        <w:rPr>
          <w:rFonts w:hint="eastAsia"/>
          <w:bCs w:val="0"/>
          <w:color w:val="000000" w:themeColor="text1"/>
          <w14:textFill>
            <w14:solidFill>
              <w14:schemeClr w14:val="tx1"/>
            </w14:solidFill>
          </w14:textFill>
        </w:rPr>
        <w:t>目    录</w:t>
      </w: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第一章  询价采购公告</w:t>
      </w:r>
    </w:p>
    <w:p>
      <w:pPr>
        <w:pStyle w:val="2"/>
        <w:keepNext w:val="0"/>
        <w:keepLines w:val="0"/>
        <w:spacing w:before="0" w:after="0" w:line="440" w:lineRule="exact"/>
        <w:ind w:firstLine="562" w:firstLineChars="200"/>
        <w:rPr>
          <w:rFonts w:ascii="宋体" w:hAnsi="宋体" w:cs="宋体"/>
          <w:bCs w:val="0"/>
          <w:color w:val="000000" w:themeColor="text1"/>
          <w:kern w:val="0"/>
          <w:sz w:val="28"/>
          <w:szCs w:val="28"/>
          <w14:textFill>
            <w14:solidFill>
              <w14:schemeClr w14:val="tx1"/>
            </w14:solidFill>
          </w14:textFill>
        </w:rPr>
      </w:pPr>
      <w:r>
        <w:rPr>
          <w:rFonts w:hint="eastAsia" w:ascii="宋体" w:hAnsi="宋体" w:cs="宋体"/>
          <w:bCs w:val="0"/>
          <w:color w:val="000000" w:themeColor="text1"/>
          <w:kern w:val="0"/>
          <w:sz w:val="28"/>
          <w:szCs w:val="28"/>
          <w14:textFill>
            <w14:solidFill>
              <w14:schemeClr w14:val="tx1"/>
            </w14:solidFill>
          </w14:textFill>
        </w:rPr>
        <w:t>第二章  供应商须知</w:t>
      </w: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第三章  采购项目技术、服务及其他商务要求</w:t>
      </w: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第四章  响应文件格式</w:t>
      </w: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第五章  评审方法</w:t>
      </w: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 xml:space="preserve">第六章  </w:t>
      </w:r>
      <w:r>
        <w:rPr>
          <w:rFonts w:hint="eastAsia"/>
          <w:bCs w:val="0"/>
          <w:color w:val="000000"/>
          <w:sz w:val="28"/>
          <w:szCs w:val="28"/>
        </w:rPr>
        <w:t>合同条款及格式</w:t>
      </w: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outlineLvl w:val="1"/>
        <w:rPr>
          <w:rFonts w:cs="宋体" w:asciiTheme="minorEastAsia" w:hAnsiTheme="minorEastAsia"/>
          <w:b/>
          <w:color w:val="000000" w:themeColor="text1"/>
          <w:kern w:val="0"/>
          <w:sz w:val="28"/>
          <w:szCs w:val="28"/>
          <w14:textFill>
            <w14:solidFill>
              <w14:schemeClr w14:val="tx1"/>
            </w14:solidFill>
          </w14:textFill>
        </w:rPr>
      </w:pPr>
    </w:p>
    <w:p>
      <w:pPr>
        <w:pStyle w:val="3"/>
        <w:spacing w:before="0" w:after="0" w:line="440" w:lineRule="exact"/>
        <w:ind w:firstLine="2349" w:firstLineChars="650"/>
        <w:rPr>
          <w:bCs w:val="0"/>
          <w:color w:val="000000" w:themeColor="text1"/>
          <w14:textFill>
            <w14:solidFill>
              <w14:schemeClr w14:val="tx1"/>
            </w14:solidFill>
          </w14:textFill>
        </w:rPr>
      </w:pPr>
      <w:r>
        <w:rPr>
          <w:rFonts w:hint="eastAsia"/>
          <w:bCs w:val="0"/>
          <w:color w:val="000000" w:themeColor="text1"/>
          <w14:textFill>
            <w14:solidFill>
              <w14:schemeClr w14:val="tx1"/>
            </w14:solidFill>
          </w14:textFill>
        </w:rPr>
        <w:t>第一章  询价采购公告</w:t>
      </w:r>
    </w:p>
    <w:p>
      <w:pPr>
        <w:spacing w:line="440" w:lineRule="exact"/>
        <w:ind w:firstLine="480" w:firstLineChars="200"/>
        <w:jc w:val="left"/>
        <w:rPr>
          <w:rFonts w:ascii="宋体" w:hAnsi="宋体"/>
          <w:color w:val="auto"/>
          <w:sz w:val="24"/>
          <w:szCs w:val="24"/>
        </w:rPr>
      </w:pPr>
      <w:r>
        <w:rPr>
          <w:rFonts w:hint="eastAsia" w:asciiTheme="minorEastAsia" w:hAnsiTheme="minorEastAsia"/>
          <w:color w:val="auto"/>
          <w:sz w:val="24"/>
          <w:szCs w:val="24"/>
          <w:lang w:eastAsia="zh-CN"/>
        </w:rPr>
        <w:t>都江堰光明光电材料有限责任公司</w:t>
      </w:r>
      <w:r>
        <w:rPr>
          <w:rFonts w:hint="eastAsia" w:ascii="宋体" w:hAnsi="宋体"/>
          <w:color w:val="auto"/>
          <w:sz w:val="24"/>
          <w:szCs w:val="24"/>
        </w:rPr>
        <w:t>拟</w:t>
      </w:r>
      <w:r>
        <w:rPr>
          <w:rFonts w:hint="eastAsia" w:ascii="宋体" w:hAnsi="宋体"/>
          <w:color w:val="auto"/>
          <w:sz w:val="24"/>
          <w:szCs w:val="24"/>
          <w:lang w:val="en-US" w:eastAsia="zh-CN"/>
        </w:rPr>
        <w:t>1</w:t>
      </w:r>
      <w:r>
        <w:rPr>
          <w:rFonts w:hint="eastAsia" w:ascii="宋体" w:hAnsi="宋体"/>
          <w:color w:val="auto"/>
          <w:sz w:val="24"/>
          <w:szCs w:val="24"/>
        </w:rPr>
        <w:t>台</w:t>
      </w:r>
      <w:r>
        <w:rPr>
          <w:rFonts w:hint="eastAsia" w:asciiTheme="minorEastAsia" w:hAnsiTheme="minorEastAsia"/>
          <w:color w:val="auto"/>
          <w:sz w:val="24"/>
          <w:szCs w:val="24"/>
        </w:rPr>
        <w:t>网带式退火炉项目</w:t>
      </w:r>
      <w:r>
        <w:rPr>
          <w:rFonts w:hint="eastAsia" w:ascii="宋体" w:hAnsi="宋体"/>
          <w:color w:val="auto"/>
          <w:sz w:val="24"/>
          <w:szCs w:val="24"/>
        </w:rPr>
        <w:t>进行询价采购，特邀请符合本次采购要求的供应商参与报价。</w:t>
      </w:r>
    </w:p>
    <w:p>
      <w:pPr>
        <w:spacing w:line="440" w:lineRule="exact"/>
        <w:jc w:val="left"/>
        <w:rPr>
          <w:rFonts w:ascii="宋体" w:hAnsi="宋体"/>
          <w:b/>
          <w:color w:val="auto"/>
          <w:sz w:val="24"/>
          <w:szCs w:val="24"/>
        </w:rPr>
      </w:pPr>
      <w:r>
        <w:rPr>
          <w:rFonts w:hint="eastAsia" w:ascii="宋体" w:hAnsi="宋体"/>
          <w:b/>
          <w:color w:val="auto"/>
          <w:sz w:val="24"/>
          <w:szCs w:val="24"/>
        </w:rPr>
        <w:t>一、采购项目概况与范围</w:t>
      </w:r>
    </w:p>
    <w:p>
      <w:pPr>
        <w:spacing w:line="440" w:lineRule="exact"/>
        <w:ind w:firstLine="480" w:firstLineChars="200"/>
        <w:jc w:val="left"/>
        <w:rPr>
          <w:rFonts w:hint="eastAsia" w:ascii="宋体" w:hAnsi="宋体"/>
          <w:color w:val="auto"/>
          <w:sz w:val="24"/>
          <w:szCs w:val="24"/>
          <w:u w:val="single"/>
          <w:lang w:val="en-US" w:eastAsia="zh-CN"/>
        </w:rPr>
      </w:pPr>
      <w:r>
        <w:rPr>
          <w:rFonts w:hint="eastAsia" w:ascii="宋体" w:hAnsi="宋体"/>
          <w:color w:val="auto"/>
          <w:sz w:val="24"/>
          <w:szCs w:val="24"/>
        </w:rPr>
        <w:t>1.项目编号：</w:t>
      </w:r>
      <w:r>
        <w:rPr>
          <w:rFonts w:hint="eastAsia" w:ascii="宋体" w:hAnsi="宋体"/>
          <w:color w:val="auto"/>
          <w:sz w:val="24"/>
          <w:szCs w:val="24"/>
          <w:u w:val="single"/>
          <w:lang w:val="en-US" w:eastAsia="zh-CN"/>
        </w:rPr>
        <w:t>2022062901</w:t>
      </w:r>
    </w:p>
    <w:p>
      <w:pPr>
        <w:spacing w:line="440" w:lineRule="exact"/>
        <w:ind w:firstLine="480" w:firstLineChars="200"/>
        <w:jc w:val="left"/>
        <w:rPr>
          <w:rFonts w:ascii="宋体" w:hAnsi="宋体"/>
          <w:color w:val="auto"/>
          <w:sz w:val="24"/>
          <w:szCs w:val="24"/>
        </w:rPr>
      </w:pPr>
      <w:r>
        <w:rPr>
          <w:rFonts w:hint="eastAsia" w:ascii="宋体" w:hAnsi="宋体"/>
          <w:color w:val="auto"/>
          <w:sz w:val="24"/>
          <w:szCs w:val="24"/>
        </w:rPr>
        <w:t>2.采购项目名称：网带式退火炉</w:t>
      </w:r>
      <w:r>
        <w:rPr>
          <w:rFonts w:hint="eastAsia" w:ascii="新宋体" w:hAnsi="新宋体" w:eastAsia="新宋体" w:cs="宋体"/>
          <w:color w:val="auto"/>
          <w:kern w:val="0"/>
          <w:sz w:val="24"/>
        </w:rPr>
        <w:t>；</w:t>
      </w:r>
    </w:p>
    <w:p>
      <w:pPr>
        <w:spacing w:line="440" w:lineRule="exact"/>
        <w:ind w:firstLine="480" w:firstLineChars="200"/>
        <w:jc w:val="left"/>
        <w:rPr>
          <w:rFonts w:ascii="宋体" w:hAnsi="宋体"/>
          <w:color w:val="auto"/>
          <w:sz w:val="24"/>
          <w:szCs w:val="24"/>
        </w:rPr>
      </w:pPr>
      <w:r>
        <w:rPr>
          <w:rFonts w:hint="eastAsia" w:ascii="宋体" w:hAnsi="宋体"/>
          <w:color w:val="auto"/>
          <w:sz w:val="24"/>
          <w:szCs w:val="24"/>
        </w:rPr>
        <w:t>3.数量：</w:t>
      </w:r>
      <w:r>
        <w:rPr>
          <w:rFonts w:hint="eastAsia" w:ascii="宋体" w:hAnsi="宋体"/>
          <w:color w:val="auto"/>
          <w:sz w:val="24"/>
          <w:szCs w:val="24"/>
          <w:lang w:val="en-US" w:eastAsia="zh-CN"/>
        </w:rPr>
        <w:t>1</w:t>
      </w:r>
      <w:r>
        <w:rPr>
          <w:rFonts w:hint="eastAsia" w:ascii="宋体" w:hAnsi="宋体"/>
          <w:color w:val="auto"/>
          <w:sz w:val="24"/>
          <w:szCs w:val="24"/>
        </w:rPr>
        <w:t>台；</w:t>
      </w:r>
    </w:p>
    <w:p>
      <w:pPr>
        <w:spacing w:line="440" w:lineRule="exact"/>
        <w:ind w:firstLine="480" w:firstLineChars="200"/>
        <w:jc w:val="left"/>
        <w:rPr>
          <w:rFonts w:hint="default" w:ascii="宋体" w:hAnsi="宋体" w:eastAsiaTheme="minorEastAsia"/>
          <w:color w:val="auto"/>
          <w:sz w:val="24"/>
          <w:szCs w:val="24"/>
          <w:u w:val="single"/>
          <w:lang w:val="en-US" w:eastAsia="zh-CN"/>
        </w:rPr>
      </w:pPr>
      <w:r>
        <w:rPr>
          <w:rFonts w:hint="eastAsia" w:ascii="宋体" w:hAnsi="宋体"/>
          <w:color w:val="auto"/>
          <w:sz w:val="24"/>
          <w:szCs w:val="24"/>
        </w:rPr>
        <w:t>4.</w:t>
      </w:r>
      <w:r>
        <w:rPr>
          <w:rFonts w:ascii="宋体" w:hAnsi="宋体"/>
          <w:color w:val="auto"/>
          <w:sz w:val="24"/>
          <w:szCs w:val="24"/>
        </w:rPr>
        <w:t>交</w:t>
      </w:r>
      <w:r>
        <w:rPr>
          <w:rFonts w:ascii="宋体" w:hAnsi="宋体"/>
          <w:color w:val="auto"/>
          <w:spacing w:val="-3"/>
          <w:sz w:val="24"/>
          <w:szCs w:val="24"/>
        </w:rPr>
        <w:t>货</w:t>
      </w:r>
      <w:r>
        <w:rPr>
          <w:rFonts w:ascii="宋体" w:hAnsi="宋体"/>
          <w:color w:val="auto"/>
          <w:sz w:val="24"/>
          <w:szCs w:val="24"/>
        </w:rPr>
        <w:t>地</w:t>
      </w:r>
      <w:r>
        <w:rPr>
          <w:rFonts w:ascii="宋体" w:hAnsi="宋体"/>
          <w:color w:val="auto"/>
          <w:spacing w:val="-3"/>
          <w:sz w:val="24"/>
          <w:szCs w:val="24"/>
        </w:rPr>
        <w:t>点</w:t>
      </w:r>
      <w:r>
        <w:rPr>
          <w:rFonts w:hint="eastAsia" w:ascii="宋体" w:hAnsi="宋体"/>
          <w:color w:val="auto"/>
          <w:sz w:val="24"/>
          <w:szCs w:val="24"/>
        </w:rPr>
        <w:t>：</w:t>
      </w:r>
      <w:r>
        <w:rPr>
          <w:rFonts w:hint="eastAsia" w:ascii="宋体" w:hAnsi="宋体"/>
          <w:bCs/>
          <w:color w:val="auto"/>
          <w:sz w:val="24"/>
          <w:szCs w:val="24"/>
          <w:u w:val="single"/>
          <w:lang w:eastAsia="zh-CN"/>
        </w:rPr>
        <w:t>都江堰市蒲阳镇光泰路</w:t>
      </w:r>
      <w:r>
        <w:rPr>
          <w:rFonts w:hint="eastAsia" w:ascii="宋体" w:hAnsi="宋体"/>
          <w:bCs/>
          <w:color w:val="auto"/>
          <w:sz w:val="24"/>
          <w:szCs w:val="24"/>
          <w:u w:val="single"/>
          <w:lang w:val="en-US" w:eastAsia="zh-CN"/>
        </w:rPr>
        <w:t>10号</w:t>
      </w:r>
    </w:p>
    <w:p>
      <w:pPr>
        <w:spacing w:line="440" w:lineRule="exact"/>
        <w:ind w:firstLine="480" w:firstLineChars="200"/>
        <w:jc w:val="left"/>
        <w:rPr>
          <w:rFonts w:ascii="宋体" w:hAnsi="宋体"/>
          <w:color w:val="auto"/>
          <w:sz w:val="24"/>
          <w:szCs w:val="24"/>
        </w:rPr>
      </w:pPr>
      <w:r>
        <w:rPr>
          <w:rFonts w:hint="eastAsia" w:ascii="宋体" w:hAnsi="宋体"/>
          <w:color w:val="auto"/>
          <w:sz w:val="24"/>
          <w:szCs w:val="24"/>
        </w:rPr>
        <w:t>5.</w:t>
      </w:r>
      <w:r>
        <w:rPr>
          <w:rFonts w:ascii="宋体" w:hAnsi="宋体"/>
          <w:color w:val="auto"/>
          <w:sz w:val="24"/>
          <w:szCs w:val="24"/>
        </w:rPr>
        <w:t>交</w:t>
      </w:r>
      <w:r>
        <w:rPr>
          <w:rFonts w:ascii="宋体" w:hAnsi="宋体"/>
          <w:color w:val="auto"/>
          <w:spacing w:val="-3"/>
          <w:sz w:val="24"/>
          <w:szCs w:val="24"/>
        </w:rPr>
        <w:t>货</w:t>
      </w:r>
      <w:r>
        <w:rPr>
          <w:rFonts w:hint="eastAsia" w:ascii="宋体" w:hAnsi="宋体"/>
          <w:color w:val="auto"/>
          <w:sz w:val="24"/>
          <w:szCs w:val="24"/>
        </w:rPr>
        <w:t>期：合同签订后</w:t>
      </w:r>
      <w:r>
        <w:rPr>
          <w:rFonts w:hint="eastAsia" w:ascii="宋体" w:hAnsi="宋体"/>
          <w:color w:val="auto"/>
          <w:sz w:val="24"/>
          <w:szCs w:val="24"/>
          <w:highlight w:val="yellow"/>
          <w:lang w:val="en-US" w:eastAsia="zh-CN"/>
        </w:rPr>
        <w:t>45</w:t>
      </w:r>
      <w:r>
        <w:rPr>
          <w:rFonts w:hint="eastAsia" w:ascii="宋体" w:hAnsi="宋体"/>
          <w:color w:val="auto"/>
          <w:sz w:val="24"/>
          <w:szCs w:val="24"/>
          <w:highlight w:val="yellow"/>
        </w:rPr>
        <w:t>天</w:t>
      </w:r>
      <w:r>
        <w:rPr>
          <w:rFonts w:hint="eastAsia" w:ascii="宋体" w:hAnsi="宋体"/>
          <w:color w:val="auto"/>
          <w:sz w:val="24"/>
          <w:szCs w:val="24"/>
        </w:rPr>
        <w:t>内交货并安装调试完毕。</w:t>
      </w:r>
    </w:p>
    <w:p>
      <w:pPr>
        <w:spacing w:line="440" w:lineRule="exact"/>
        <w:jc w:val="left"/>
        <w:rPr>
          <w:rFonts w:ascii="宋体" w:hAnsi="宋体"/>
          <w:b/>
          <w:bCs/>
          <w:color w:val="auto"/>
          <w:sz w:val="24"/>
          <w:szCs w:val="24"/>
        </w:rPr>
      </w:pPr>
      <w:r>
        <w:rPr>
          <w:rFonts w:hint="eastAsia" w:ascii="宋体" w:hAnsi="宋体"/>
          <w:b/>
          <w:bCs/>
          <w:color w:val="auto"/>
          <w:sz w:val="24"/>
          <w:szCs w:val="24"/>
        </w:rPr>
        <w:t>二、</w:t>
      </w:r>
      <w:r>
        <w:rPr>
          <w:rFonts w:hint="eastAsia" w:ascii="宋体" w:hAnsi="宋体"/>
          <w:b/>
          <w:color w:val="auto"/>
          <w:sz w:val="24"/>
          <w:szCs w:val="24"/>
        </w:rPr>
        <w:t>供应商参加本次采购活动具备下列条件：</w:t>
      </w:r>
    </w:p>
    <w:p>
      <w:pPr>
        <w:spacing w:line="460" w:lineRule="exac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1.供应商须是具有独立承担民事责任的法人或其他经济组织；</w:t>
      </w:r>
    </w:p>
    <w:p>
      <w:pPr>
        <w:spacing w:line="460" w:lineRule="exac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2.本项目不接受联合体询价。</w:t>
      </w:r>
    </w:p>
    <w:p>
      <w:pPr>
        <w:spacing w:after="120" w:line="440" w:lineRule="exact"/>
        <w:rPr>
          <w:rFonts w:ascii="宋体" w:hAnsi="宋体"/>
          <w:b/>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三、询价采购文件的获取</w:t>
      </w:r>
    </w:p>
    <w:p>
      <w:pPr>
        <w:spacing w:line="460" w:lineRule="exact"/>
        <w:ind w:left="-141" w:leftChars="-67" w:firstLine="720" w:firstLineChars="3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本公告在“成都光明光电股份有限公司官方网站</w:t>
      </w:r>
      <w:r>
        <w:rPr>
          <w:rFonts w:hint="eastAsia" w:ascii="仿宋" w:hAnsi="仿宋" w:eastAsia="仿宋"/>
          <w:b/>
          <w:color w:val="000000"/>
          <w:sz w:val="24"/>
        </w:rPr>
        <w:t>（</w:t>
      </w:r>
      <w:r>
        <w:fldChar w:fldCharType="begin"/>
      </w:r>
      <w:r>
        <w:instrText xml:space="preserve"> HYPERLINK "http://www.cdgmgd.com" </w:instrText>
      </w:r>
      <w:r>
        <w:fldChar w:fldCharType="separate"/>
      </w:r>
      <w:r>
        <w:rPr>
          <w:rStyle w:val="19"/>
          <w:rFonts w:hint="eastAsia" w:ascii="仿宋" w:hAnsi="仿宋" w:eastAsia="仿宋"/>
          <w:b/>
          <w:sz w:val="24"/>
        </w:rPr>
        <w:t>www.cdgmgd.com</w:t>
      </w:r>
      <w:r>
        <w:rPr>
          <w:rStyle w:val="19"/>
          <w:rFonts w:hint="eastAsia" w:ascii="仿宋" w:hAnsi="仿宋" w:eastAsia="仿宋"/>
          <w:b/>
          <w:sz w:val="24"/>
        </w:rPr>
        <w:fldChar w:fldCharType="end"/>
      </w:r>
      <w:r>
        <w:rPr>
          <w:rFonts w:hint="eastAsia" w:ascii="仿宋" w:hAnsi="仿宋" w:eastAsia="仿宋"/>
          <w:b/>
          <w:color w:val="000000"/>
          <w:sz w:val="24"/>
        </w:rPr>
        <w:t xml:space="preserve"> ）”</w:t>
      </w:r>
      <w:r>
        <w:rPr>
          <w:rFonts w:hint="eastAsia" w:ascii="宋体" w:hAnsi="宋体"/>
          <w:color w:val="000000" w:themeColor="text1"/>
          <w:sz w:val="24"/>
          <w:szCs w:val="24"/>
          <w14:textFill>
            <w14:solidFill>
              <w14:schemeClr w14:val="tx1"/>
            </w14:solidFill>
          </w14:textFill>
        </w:rPr>
        <w:t>《供求信息》专栏发布。</w:t>
      </w:r>
    </w:p>
    <w:p>
      <w:pPr>
        <w:pStyle w:val="13"/>
        <w:spacing w:before="0" w:beforeAutospacing="0" w:after="0" w:afterAutospacing="0" w:line="360" w:lineRule="auto"/>
        <w:ind w:left="-428" w:leftChars="-204" w:firstLine="361" w:firstLineChars="150"/>
        <w:rPr>
          <w:rFonts w:asciiTheme="minorEastAsia" w:hAnsiTheme="minorEastAsia" w:eastAsiaTheme="minorEastAsia"/>
          <w:color w:val="000000" w:themeColor="text1"/>
          <w14:textFill>
            <w14:solidFill>
              <w14:schemeClr w14:val="tx1"/>
            </w14:solidFill>
          </w14:textFill>
        </w:rPr>
      </w:pPr>
      <w:r>
        <w:rPr>
          <w:rStyle w:val="17"/>
          <w:rFonts w:hint="eastAsia" w:asciiTheme="minorEastAsia" w:hAnsiTheme="minorEastAsia" w:eastAsiaTheme="minorEastAsia"/>
          <w:color w:val="000000" w:themeColor="text1"/>
          <w14:textFill>
            <w14:solidFill>
              <w14:schemeClr w14:val="tx1"/>
            </w14:solidFill>
          </w14:textFill>
        </w:rPr>
        <w:t>四、询价采购公告</w:t>
      </w:r>
    </w:p>
    <w:p>
      <w:pPr>
        <w:pStyle w:val="13"/>
        <w:spacing w:before="0" w:beforeAutospacing="0" w:after="0" w:afterAutospacing="0" w:line="360" w:lineRule="auto"/>
        <w:ind w:left="-428" w:leftChars="-204" w:firstLine="840" w:firstLineChars="350"/>
        <w:rPr>
          <w:rFonts w:asciiTheme="minorEastAsia" w:hAnsiTheme="minorEastAsia" w:eastAsiaTheme="minorEastAsia"/>
          <w:color w:val="auto"/>
          <w:u w:val="single"/>
        </w:rPr>
      </w:pPr>
      <w:r>
        <w:rPr>
          <w:rFonts w:hint="eastAsia" w:asciiTheme="minorEastAsia" w:hAnsiTheme="minorEastAsia" w:eastAsiaTheme="minorEastAsia"/>
          <w:color w:val="000000" w:themeColor="text1"/>
          <w14:textFill>
            <w14:solidFill>
              <w14:schemeClr w14:val="tx1"/>
            </w14:solidFill>
          </w14:textFill>
        </w:rPr>
        <w:t>公告时</w:t>
      </w:r>
      <w:r>
        <w:rPr>
          <w:rFonts w:hint="eastAsia" w:asciiTheme="minorEastAsia" w:hAnsiTheme="minorEastAsia" w:eastAsiaTheme="minorEastAsia"/>
          <w:color w:val="auto"/>
        </w:rPr>
        <w:t>间：</w:t>
      </w:r>
      <w:r>
        <w:rPr>
          <w:rFonts w:hint="eastAsia" w:asciiTheme="minorEastAsia" w:hAnsiTheme="minorEastAsia" w:eastAsiaTheme="minorEastAsia"/>
          <w:color w:val="auto"/>
          <w:u w:val="single"/>
        </w:rPr>
        <w:t>2022 年</w:t>
      </w:r>
      <w:r>
        <w:rPr>
          <w:rFonts w:hint="eastAsia" w:asciiTheme="minorEastAsia" w:hAnsiTheme="minorEastAsia" w:eastAsiaTheme="minorEastAsia"/>
          <w:color w:val="auto"/>
          <w:u w:val="single"/>
          <w:lang w:val="en-US" w:eastAsia="zh-CN"/>
        </w:rPr>
        <w:t>7</w:t>
      </w:r>
      <w:r>
        <w:rPr>
          <w:rFonts w:hint="eastAsia" w:asciiTheme="minorEastAsia" w:hAnsiTheme="minorEastAsia" w:eastAsiaTheme="minorEastAsia"/>
          <w:color w:val="auto"/>
          <w:u w:val="single"/>
        </w:rPr>
        <w:t>月</w:t>
      </w:r>
      <w:r>
        <w:rPr>
          <w:rFonts w:hint="eastAsia" w:asciiTheme="minorEastAsia" w:hAnsiTheme="minorEastAsia" w:eastAsiaTheme="minorEastAsia"/>
          <w:color w:val="auto"/>
          <w:u w:val="single"/>
          <w:lang w:val="en-US" w:eastAsia="zh-CN"/>
        </w:rPr>
        <w:t>8</w:t>
      </w:r>
      <w:r>
        <w:rPr>
          <w:rFonts w:hint="eastAsia" w:asciiTheme="minorEastAsia" w:hAnsiTheme="minorEastAsia" w:eastAsiaTheme="minorEastAsia"/>
          <w:color w:val="auto"/>
          <w:u w:val="single"/>
        </w:rPr>
        <w:t>日</w:t>
      </w:r>
      <w:r>
        <w:rPr>
          <w:rFonts w:asciiTheme="minorEastAsia" w:hAnsiTheme="minorEastAsia" w:eastAsiaTheme="minorEastAsia"/>
          <w:color w:val="auto"/>
          <w:u w:val="single"/>
        </w:rPr>
        <w:t>—</w:t>
      </w:r>
      <w:r>
        <w:rPr>
          <w:rFonts w:hint="eastAsia" w:asciiTheme="minorEastAsia" w:hAnsiTheme="minorEastAsia" w:eastAsiaTheme="minorEastAsia"/>
          <w:color w:val="auto"/>
          <w:u w:val="single"/>
        </w:rPr>
        <w:t>2022年</w:t>
      </w:r>
      <w:r>
        <w:rPr>
          <w:rFonts w:hint="eastAsia" w:asciiTheme="minorEastAsia" w:hAnsiTheme="minorEastAsia" w:eastAsiaTheme="minorEastAsia"/>
          <w:color w:val="auto"/>
          <w:u w:val="single"/>
          <w:lang w:val="en-US" w:eastAsia="zh-CN"/>
        </w:rPr>
        <w:t>7</w:t>
      </w:r>
      <w:r>
        <w:rPr>
          <w:rFonts w:hint="eastAsia" w:asciiTheme="minorEastAsia" w:hAnsiTheme="minorEastAsia" w:eastAsiaTheme="minorEastAsia"/>
          <w:color w:val="auto"/>
          <w:u w:val="single"/>
        </w:rPr>
        <w:t>月</w:t>
      </w:r>
      <w:r>
        <w:rPr>
          <w:rFonts w:hint="eastAsia" w:asciiTheme="minorEastAsia" w:hAnsiTheme="minorEastAsia" w:eastAsiaTheme="minorEastAsia"/>
          <w:color w:val="auto"/>
          <w:u w:val="single"/>
          <w:lang w:val="en-US" w:eastAsia="zh-CN"/>
        </w:rPr>
        <w:t>14</w:t>
      </w:r>
      <w:r>
        <w:rPr>
          <w:rFonts w:hint="eastAsia" w:asciiTheme="minorEastAsia" w:hAnsiTheme="minorEastAsia" w:eastAsiaTheme="minorEastAsia"/>
          <w:color w:val="auto"/>
          <w:u w:val="single"/>
        </w:rPr>
        <w:t>日 。</w:t>
      </w:r>
      <w:bookmarkStart w:id="28" w:name="_GoBack"/>
      <w:bookmarkEnd w:id="28"/>
    </w:p>
    <w:p>
      <w:pPr>
        <w:pStyle w:val="13"/>
        <w:spacing w:before="0" w:beforeAutospacing="0" w:after="0" w:afterAutospacing="0" w:line="360" w:lineRule="auto"/>
        <w:ind w:left="-428" w:leftChars="-204" w:firstLine="361" w:firstLineChars="150"/>
        <w:rPr>
          <w:rFonts w:asciiTheme="minorEastAsia" w:hAnsiTheme="minorEastAsia" w:eastAsiaTheme="minorEastAsia"/>
          <w:color w:val="auto"/>
        </w:rPr>
      </w:pPr>
      <w:r>
        <w:rPr>
          <w:rFonts w:hint="eastAsia"/>
          <w:b/>
          <w:color w:val="auto"/>
        </w:rPr>
        <w:t>五、报价文件接收信息</w:t>
      </w:r>
    </w:p>
    <w:p>
      <w:pPr>
        <w:spacing w:line="460" w:lineRule="exact"/>
        <w:ind w:left="424" w:leftChars="202"/>
        <w:jc w:val="left"/>
        <w:rPr>
          <w:rFonts w:ascii="宋体" w:hAnsi="宋体" w:cs="宋体"/>
          <w:color w:val="auto"/>
          <w:kern w:val="0"/>
          <w:sz w:val="24"/>
          <w:szCs w:val="24"/>
        </w:rPr>
      </w:pPr>
      <w:r>
        <w:rPr>
          <w:rFonts w:hint="eastAsia" w:ascii="宋体" w:hAnsi="宋体" w:cs="宋体"/>
          <w:color w:val="auto"/>
          <w:kern w:val="0"/>
          <w:sz w:val="24"/>
          <w:szCs w:val="24"/>
        </w:rPr>
        <w:t>1.报价文件接收截止时间：</w:t>
      </w:r>
      <w:r>
        <w:rPr>
          <w:rFonts w:hint="eastAsia" w:ascii="宋体" w:hAnsi="宋体" w:cs="宋体"/>
          <w:color w:val="auto"/>
          <w:kern w:val="0"/>
          <w:sz w:val="24"/>
          <w:szCs w:val="24"/>
          <w:u w:val="single"/>
        </w:rPr>
        <w:t xml:space="preserve"> 2022年</w:t>
      </w:r>
      <w:r>
        <w:rPr>
          <w:rFonts w:hint="eastAsia" w:ascii="宋体" w:hAnsi="宋体" w:cs="宋体"/>
          <w:color w:val="auto"/>
          <w:kern w:val="0"/>
          <w:sz w:val="24"/>
          <w:szCs w:val="24"/>
          <w:u w:val="single"/>
          <w:lang w:val="en-US" w:eastAsia="zh-CN"/>
        </w:rPr>
        <w:t>7</w:t>
      </w:r>
      <w:r>
        <w:rPr>
          <w:rFonts w:hint="eastAsia" w:ascii="宋体" w:hAnsi="宋体" w:cs="宋体"/>
          <w:color w:val="auto"/>
          <w:kern w:val="0"/>
          <w:sz w:val="24"/>
          <w:szCs w:val="24"/>
          <w:u w:val="single"/>
        </w:rPr>
        <w:t>月</w:t>
      </w:r>
      <w:r>
        <w:rPr>
          <w:rFonts w:hint="eastAsia" w:ascii="宋体" w:hAnsi="宋体" w:cs="宋体"/>
          <w:color w:val="auto"/>
          <w:kern w:val="0"/>
          <w:sz w:val="24"/>
          <w:szCs w:val="24"/>
          <w:u w:val="single"/>
          <w:lang w:val="en-US" w:eastAsia="zh-CN"/>
        </w:rPr>
        <w:t>14</w:t>
      </w:r>
      <w:r>
        <w:rPr>
          <w:rFonts w:hint="eastAsia" w:ascii="宋体" w:hAnsi="宋体" w:cs="宋体"/>
          <w:color w:val="auto"/>
          <w:kern w:val="0"/>
          <w:sz w:val="24"/>
          <w:szCs w:val="24"/>
          <w:u w:val="single"/>
        </w:rPr>
        <w:t>日16:00</w:t>
      </w:r>
      <w:r>
        <w:rPr>
          <w:rFonts w:ascii="宋体" w:hAnsi="宋体"/>
          <w:color w:val="auto"/>
          <w:sz w:val="24"/>
          <w:szCs w:val="24"/>
        </w:rPr>
        <w:t>（北京时间）</w:t>
      </w:r>
      <w:r>
        <w:rPr>
          <w:rFonts w:hint="eastAsia" w:ascii="宋体" w:hAnsi="宋体"/>
          <w:color w:val="auto"/>
          <w:sz w:val="24"/>
          <w:szCs w:val="24"/>
        </w:rPr>
        <w:t>。</w:t>
      </w:r>
    </w:p>
    <w:p>
      <w:pPr>
        <w:spacing w:line="440" w:lineRule="exact"/>
        <w:ind w:firstLine="480" w:firstLineChars="200"/>
        <w:jc w:val="left"/>
        <w:rPr>
          <w:rFonts w:hint="default" w:ascii="宋体" w:hAnsi="宋体" w:eastAsiaTheme="minorEastAsia"/>
          <w:color w:val="auto"/>
          <w:sz w:val="24"/>
          <w:szCs w:val="24"/>
          <w:u w:val="single"/>
          <w:lang w:val="en-US" w:eastAsia="zh-CN"/>
        </w:rPr>
      </w:pPr>
      <w:r>
        <w:rPr>
          <w:rFonts w:hint="eastAsia" w:ascii="宋体" w:hAnsi="宋体" w:cs="宋体"/>
          <w:color w:val="auto"/>
          <w:kern w:val="0"/>
          <w:sz w:val="24"/>
          <w:szCs w:val="24"/>
        </w:rPr>
        <w:t>2.报价文件接收地点：</w:t>
      </w:r>
      <w:r>
        <w:rPr>
          <w:rFonts w:hint="eastAsia" w:ascii="宋体" w:hAnsi="宋体"/>
          <w:bCs/>
          <w:color w:val="auto"/>
          <w:sz w:val="24"/>
          <w:szCs w:val="24"/>
          <w:u w:val="single"/>
          <w:lang w:eastAsia="zh-CN"/>
        </w:rPr>
        <w:t>都江堰市蒲阳镇光泰路</w:t>
      </w:r>
      <w:r>
        <w:rPr>
          <w:rFonts w:hint="eastAsia" w:ascii="宋体" w:hAnsi="宋体"/>
          <w:bCs/>
          <w:color w:val="auto"/>
          <w:sz w:val="24"/>
          <w:szCs w:val="24"/>
          <w:u w:val="single"/>
          <w:lang w:val="en-US" w:eastAsia="zh-CN"/>
        </w:rPr>
        <w:t>10号（都江堰光明光电材料有限责任公司）</w:t>
      </w:r>
    </w:p>
    <w:p>
      <w:pPr>
        <w:widowControl/>
        <w:spacing w:line="465" w:lineRule="atLeast"/>
        <w:ind w:left="424" w:leftChars="202"/>
        <w:jc w:val="left"/>
        <w:rPr>
          <w:rFonts w:hint="eastAsia" w:ascii="宋体" w:hAnsi="宋体" w:cs="宋体"/>
          <w:color w:val="auto"/>
          <w:kern w:val="0"/>
          <w:sz w:val="24"/>
          <w:szCs w:val="24"/>
        </w:rPr>
      </w:pPr>
      <w:r>
        <w:rPr>
          <w:rFonts w:hint="eastAsia" w:ascii="宋体" w:hAnsi="宋体" w:cs="宋体"/>
          <w:color w:val="auto"/>
          <w:kern w:val="0"/>
          <w:sz w:val="24"/>
          <w:szCs w:val="24"/>
        </w:rPr>
        <w:t xml:space="preserve">3.报价文件收件人： </w:t>
      </w:r>
      <w:r>
        <w:rPr>
          <w:rFonts w:hint="eastAsia" w:ascii="宋体" w:hAnsi="宋体" w:cs="宋体"/>
          <w:color w:val="auto"/>
          <w:kern w:val="0"/>
          <w:sz w:val="24"/>
          <w:szCs w:val="24"/>
          <w:lang w:eastAsia="zh-CN"/>
        </w:rPr>
        <w:t>邓</w:t>
      </w:r>
      <w:r>
        <w:rPr>
          <w:rFonts w:hint="eastAsia" w:ascii="宋体" w:hAnsi="宋体" w:cs="宋体"/>
          <w:color w:val="auto"/>
          <w:kern w:val="0"/>
          <w:sz w:val="24"/>
          <w:szCs w:val="24"/>
        </w:rPr>
        <w:t>先生       联系电话：电话：028-87117177，13183886588</w:t>
      </w:r>
    </w:p>
    <w:p>
      <w:pPr>
        <w:widowControl/>
        <w:spacing w:line="465" w:lineRule="atLeast"/>
        <w:ind w:left="424" w:leftChars="202"/>
        <w:jc w:val="left"/>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rPr>
        <w:t>4.技术情况咨询人：</w:t>
      </w:r>
      <w:r>
        <w:rPr>
          <w:rFonts w:hint="eastAsia" w:ascii="宋体" w:hAnsi="宋体" w:cs="宋体"/>
          <w:color w:val="auto"/>
          <w:kern w:val="0"/>
          <w:sz w:val="24"/>
          <w:szCs w:val="24"/>
          <w:highlight w:val="none"/>
          <w:lang w:val="en-US" w:eastAsia="zh-CN"/>
        </w:rPr>
        <w:t xml:space="preserve"> </w:t>
      </w:r>
      <w:r>
        <w:rPr>
          <w:rFonts w:hint="eastAsia" w:ascii="宋体" w:hAnsi="宋体" w:cs="宋体"/>
          <w:color w:val="auto"/>
          <w:kern w:val="0"/>
          <w:sz w:val="24"/>
          <w:szCs w:val="24"/>
          <w:highlight w:val="none"/>
          <w:lang w:eastAsia="zh-CN"/>
        </w:rPr>
        <w:t>冯先生</w:t>
      </w:r>
      <w:r>
        <w:rPr>
          <w:rFonts w:hint="eastAsia" w:ascii="宋体" w:hAnsi="宋体" w:cs="宋体"/>
          <w:color w:val="auto"/>
          <w:kern w:val="0"/>
          <w:sz w:val="24"/>
          <w:szCs w:val="24"/>
          <w:highlight w:val="none"/>
        </w:rPr>
        <w:t xml:space="preserve">       联系电话：</w:t>
      </w:r>
      <w:r>
        <w:rPr>
          <w:rFonts w:hint="eastAsia" w:ascii="宋体" w:hAnsi="宋体" w:cs="宋体"/>
          <w:color w:val="auto"/>
          <w:kern w:val="0"/>
          <w:sz w:val="24"/>
          <w:szCs w:val="24"/>
          <w:highlight w:val="none"/>
          <w:lang w:val="en-US" w:eastAsia="zh-CN"/>
        </w:rPr>
        <w:t>13438969538</w:t>
      </w:r>
    </w:p>
    <w:p>
      <w:pPr>
        <w:widowControl/>
        <w:spacing w:line="465" w:lineRule="atLeast"/>
        <w:ind w:left="424" w:leftChars="202"/>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rPr>
        <w:t xml:space="preserve">5.业务情况咨询人： </w:t>
      </w:r>
      <w:r>
        <w:rPr>
          <w:rFonts w:hint="eastAsia" w:ascii="宋体" w:hAnsi="宋体" w:cs="宋体"/>
          <w:color w:val="auto"/>
          <w:kern w:val="0"/>
          <w:sz w:val="24"/>
          <w:szCs w:val="24"/>
          <w:lang w:eastAsia="zh-CN"/>
        </w:rPr>
        <w:t>童</w:t>
      </w:r>
      <w:r>
        <w:rPr>
          <w:rFonts w:hint="eastAsia" w:ascii="宋体" w:hAnsi="宋体" w:cs="宋体"/>
          <w:color w:val="auto"/>
          <w:kern w:val="0"/>
          <w:sz w:val="24"/>
          <w:szCs w:val="24"/>
        </w:rPr>
        <w:t>先生       联系电话：</w:t>
      </w:r>
      <w:r>
        <w:rPr>
          <w:rFonts w:hint="eastAsia" w:ascii="宋体" w:hAnsi="宋体" w:cs="宋体"/>
          <w:color w:val="auto"/>
          <w:kern w:val="0"/>
          <w:sz w:val="24"/>
          <w:szCs w:val="24"/>
          <w:lang w:val="en-US" w:eastAsia="zh-CN"/>
        </w:rPr>
        <w:t>15308193182</w:t>
      </w:r>
    </w:p>
    <w:p>
      <w:pPr>
        <w:widowControl/>
        <w:spacing w:line="465" w:lineRule="atLeast"/>
        <w:ind w:left="424" w:leftChars="202"/>
        <w:jc w:val="left"/>
        <w:rPr>
          <w:rFonts w:hint="default" w:ascii="宋体" w:hAnsi="宋体" w:cs="宋体" w:eastAsiaTheme="minorEastAsia"/>
          <w:color w:val="auto"/>
          <w:kern w:val="0"/>
          <w:sz w:val="24"/>
          <w:szCs w:val="24"/>
          <w:lang w:val="en-US" w:eastAsia="zh-CN"/>
        </w:rPr>
      </w:pPr>
      <w:r>
        <w:rPr>
          <w:rFonts w:hint="eastAsia" w:ascii="宋体" w:hAnsi="宋体" w:cs="宋体"/>
          <w:color w:val="auto"/>
          <w:kern w:val="0"/>
          <w:sz w:val="24"/>
          <w:szCs w:val="24"/>
          <w:lang w:val="en-US" w:eastAsia="zh-CN"/>
        </w:rPr>
        <w:t>6.</w:t>
      </w:r>
      <w:r>
        <w:rPr>
          <w:rFonts w:hint="eastAsia" w:ascii="宋体" w:hAnsi="宋体" w:cs="宋体"/>
          <w:color w:val="auto"/>
          <w:kern w:val="0"/>
          <w:sz w:val="24"/>
          <w:szCs w:val="24"/>
        </w:rPr>
        <w:t xml:space="preserve">采购单位监督人： </w:t>
      </w:r>
      <w:r>
        <w:rPr>
          <w:rFonts w:hint="eastAsia" w:ascii="宋体" w:hAnsi="宋体" w:cs="宋体"/>
          <w:color w:val="auto"/>
          <w:kern w:val="0"/>
          <w:sz w:val="24"/>
          <w:szCs w:val="24"/>
          <w:lang w:eastAsia="zh-CN"/>
        </w:rPr>
        <w:t>余女士</w:t>
      </w:r>
      <w:r>
        <w:rPr>
          <w:rFonts w:hint="eastAsia" w:ascii="宋体" w:hAnsi="宋体" w:cs="宋体"/>
          <w:color w:val="auto"/>
          <w:kern w:val="0"/>
          <w:sz w:val="24"/>
          <w:szCs w:val="24"/>
        </w:rPr>
        <w:t>    联系电话：</w:t>
      </w:r>
      <w:r>
        <w:rPr>
          <w:rFonts w:hint="eastAsia" w:ascii="宋体" w:hAnsi="宋体" w:cs="宋体"/>
          <w:color w:val="auto"/>
          <w:kern w:val="0"/>
          <w:sz w:val="24"/>
          <w:szCs w:val="24"/>
          <w:lang w:val="en-US" w:eastAsia="zh-CN"/>
        </w:rPr>
        <w:t>13568842997</w:t>
      </w:r>
    </w:p>
    <w:p>
      <w:pPr>
        <w:spacing w:line="440" w:lineRule="exact"/>
        <w:ind w:left="424" w:leftChars="202"/>
        <w:jc w:val="left"/>
        <w:rPr>
          <w:rFonts w:hint="eastAsia"/>
          <w:color w:val="auto"/>
          <w:spacing w:val="8"/>
          <w:sz w:val="24"/>
          <w:szCs w:val="24"/>
        </w:rPr>
      </w:pPr>
      <w:r>
        <w:rPr>
          <w:rFonts w:hint="eastAsia" w:ascii="宋体" w:hAnsi="宋体"/>
          <w:bCs/>
          <w:color w:val="auto"/>
          <w:sz w:val="24"/>
          <w:szCs w:val="24"/>
        </w:rPr>
        <w:t>7</w:t>
      </w:r>
      <w:r>
        <w:rPr>
          <w:rFonts w:hint="eastAsia" w:ascii="宋体" w:hAnsi="宋体"/>
          <w:color w:val="auto"/>
          <w:sz w:val="24"/>
          <w:szCs w:val="24"/>
        </w:rPr>
        <w:t>.响应文件必须在递交响应文件截止时间前送达询价地点。</w:t>
      </w:r>
      <w:r>
        <w:rPr>
          <w:color w:val="auto"/>
          <w:spacing w:val="8"/>
          <w:sz w:val="24"/>
          <w:szCs w:val="24"/>
        </w:rPr>
        <w:t>逾期送达的、未送达指定地点的或者不按照</w:t>
      </w:r>
      <w:r>
        <w:rPr>
          <w:rFonts w:hint="eastAsia"/>
          <w:color w:val="auto"/>
          <w:spacing w:val="8"/>
          <w:sz w:val="24"/>
          <w:szCs w:val="24"/>
        </w:rPr>
        <w:t>询价采购</w:t>
      </w:r>
      <w:r>
        <w:rPr>
          <w:color w:val="auto"/>
          <w:spacing w:val="8"/>
          <w:sz w:val="24"/>
          <w:szCs w:val="24"/>
        </w:rPr>
        <w:t>文件要求密封的</w:t>
      </w:r>
      <w:r>
        <w:rPr>
          <w:rFonts w:hint="eastAsia" w:ascii="宋体" w:hAnsi="宋体"/>
          <w:color w:val="auto"/>
          <w:sz w:val="24"/>
          <w:szCs w:val="24"/>
        </w:rPr>
        <w:t>响应文件</w:t>
      </w:r>
      <w:r>
        <w:rPr>
          <w:color w:val="auto"/>
          <w:spacing w:val="8"/>
          <w:sz w:val="24"/>
          <w:szCs w:val="24"/>
        </w:rPr>
        <w:t>，</w:t>
      </w:r>
      <w:r>
        <w:rPr>
          <w:rFonts w:hint="eastAsia" w:ascii="宋体" w:hAnsi="宋体"/>
          <w:color w:val="auto"/>
          <w:sz w:val="24"/>
          <w:szCs w:val="24"/>
        </w:rPr>
        <w:t>采购人</w:t>
      </w:r>
      <w:r>
        <w:rPr>
          <w:color w:val="auto"/>
          <w:spacing w:val="8"/>
          <w:sz w:val="24"/>
          <w:szCs w:val="24"/>
        </w:rPr>
        <w:t>将予以拒收</w:t>
      </w:r>
      <w:r>
        <w:rPr>
          <w:rFonts w:hint="eastAsia"/>
          <w:color w:val="auto"/>
          <w:spacing w:val="8"/>
          <w:sz w:val="24"/>
          <w:szCs w:val="24"/>
        </w:rPr>
        <w:t>。</w:t>
      </w:r>
    </w:p>
    <w:p>
      <w:pPr>
        <w:spacing w:line="500" w:lineRule="exact"/>
        <w:ind w:firstLine="6000" w:firstLineChars="2500"/>
        <w:jc w:val="both"/>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rPr>
        <w:t>都江堰光明光电材料有限责任公司</w:t>
      </w:r>
    </w:p>
    <w:p>
      <w:pPr>
        <w:pStyle w:val="13"/>
        <w:shd w:val="clear" w:color="auto" w:fill="FFFFFF"/>
        <w:spacing w:before="0" w:beforeAutospacing="0" w:after="0" w:afterAutospacing="0" w:line="360" w:lineRule="auto"/>
        <w:ind w:left="-426" w:leftChars="-204" w:right="172" w:hanging="2"/>
        <w:jc w:val="right"/>
        <w:rPr>
          <w:rFonts w:asciiTheme="minorEastAsia" w:hAnsiTheme="minorEastAsia" w:eastAsiaTheme="minorEastAsia"/>
          <w:b w:val="0"/>
          <w:bCs w:val="0"/>
          <w:color w:val="auto"/>
          <w:u w:val="none"/>
        </w:rPr>
      </w:pPr>
      <w:r>
        <w:rPr>
          <w:rFonts w:hint="eastAsia" w:asciiTheme="minorEastAsia" w:hAnsiTheme="minorEastAsia" w:eastAsiaTheme="minorEastAsia"/>
          <w:color w:val="auto"/>
        </w:rPr>
        <w:t>                   </w:t>
      </w:r>
      <w:r>
        <w:rPr>
          <w:rFonts w:hint="eastAsia" w:asciiTheme="minorEastAsia" w:hAnsiTheme="minorEastAsia" w:eastAsiaTheme="minorEastAsia"/>
          <w:b w:val="0"/>
          <w:bCs w:val="0"/>
          <w:color w:val="auto"/>
          <w:u w:val="none"/>
        </w:rPr>
        <w:t> 2022年</w:t>
      </w:r>
      <w:r>
        <w:rPr>
          <w:rFonts w:hint="eastAsia" w:asciiTheme="minorEastAsia" w:hAnsiTheme="minorEastAsia" w:eastAsiaTheme="minorEastAsia"/>
          <w:b w:val="0"/>
          <w:bCs w:val="0"/>
          <w:color w:val="auto"/>
          <w:u w:val="none"/>
          <w:lang w:val="en-US" w:eastAsia="zh-CN"/>
        </w:rPr>
        <w:t>7</w:t>
      </w:r>
      <w:r>
        <w:rPr>
          <w:rFonts w:hint="eastAsia" w:asciiTheme="minorEastAsia" w:hAnsiTheme="minorEastAsia" w:eastAsiaTheme="minorEastAsia"/>
          <w:b w:val="0"/>
          <w:bCs w:val="0"/>
          <w:color w:val="auto"/>
          <w:u w:val="none"/>
        </w:rPr>
        <w:t>月</w:t>
      </w:r>
      <w:r>
        <w:rPr>
          <w:rFonts w:hint="eastAsia" w:asciiTheme="minorEastAsia" w:hAnsiTheme="minorEastAsia" w:eastAsiaTheme="minorEastAsia"/>
          <w:b w:val="0"/>
          <w:bCs w:val="0"/>
          <w:color w:val="auto"/>
          <w:u w:val="none"/>
          <w:lang w:val="en-US" w:eastAsia="zh-CN"/>
        </w:rPr>
        <w:t>8</w:t>
      </w:r>
      <w:r>
        <w:rPr>
          <w:rFonts w:hint="eastAsia" w:asciiTheme="minorEastAsia" w:hAnsiTheme="minorEastAsia" w:eastAsiaTheme="minorEastAsia"/>
          <w:b w:val="0"/>
          <w:bCs w:val="0"/>
          <w:color w:val="auto"/>
          <w:u w:val="none"/>
        </w:rPr>
        <w:t>日</w:t>
      </w:r>
    </w:p>
    <w:p>
      <w:pPr>
        <w:pStyle w:val="2"/>
        <w:keepNext w:val="0"/>
        <w:keepLines w:val="0"/>
        <w:spacing w:before="0" w:after="0" w:line="440" w:lineRule="exact"/>
        <w:ind w:firstLine="3253" w:firstLineChars="900"/>
        <w:rPr>
          <w:rFonts w:hint="eastAsia"/>
          <w:color w:val="auto"/>
          <w:sz w:val="36"/>
          <w:szCs w:val="36"/>
        </w:rPr>
      </w:pPr>
    </w:p>
    <w:p>
      <w:pPr>
        <w:pStyle w:val="2"/>
        <w:keepNext w:val="0"/>
        <w:keepLines w:val="0"/>
        <w:spacing w:before="0" w:after="0" w:line="440" w:lineRule="exact"/>
        <w:ind w:firstLine="3253" w:firstLineChars="900"/>
        <w:rPr>
          <w:color w:val="000000" w:themeColor="text1"/>
          <w:sz w:val="36"/>
          <w:szCs w:val="36"/>
          <w14:textFill>
            <w14:solidFill>
              <w14:schemeClr w14:val="tx1"/>
            </w14:solidFill>
          </w14:textFill>
        </w:rPr>
      </w:pPr>
      <w:r>
        <w:rPr>
          <w:rFonts w:hint="eastAsia"/>
          <w:color w:val="000000" w:themeColor="text1"/>
          <w:sz w:val="36"/>
          <w:szCs w:val="36"/>
          <w14:textFill>
            <w14:solidFill>
              <w14:schemeClr w14:val="tx1"/>
            </w14:solidFill>
          </w14:textFill>
        </w:rPr>
        <w:t>第二章  供应商须知</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一、供应商须知附表</w:t>
      </w:r>
    </w:p>
    <w:tbl>
      <w:tblPr>
        <w:tblStyle w:val="14"/>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23"/>
        <w:gridCol w:w="607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1013" w:type="dxa"/>
            <w:vAlign w:val="center"/>
          </w:tcPr>
          <w:p>
            <w:pPr>
              <w:pStyle w:val="28"/>
              <w:ind w:left="9"/>
              <w:jc w:val="center"/>
              <w:rPr>
                <w:b/>
                <w:color w:val="000000" w:themeColor="text1"/>
                <w:lang w:val="zh-CN"/>
                <w14:textFill>
                  <w14:solidFill>
                    <w14:schemeClr w14:val="tx1"/>
                  </w14:solidFill>
                </w14:textFill>
              </w:rPr>
            </w:pPr>
            <w:r>
              <w:rPr>
                <w:rFonts w:hint="eastAsia"/>
                <w:b/>
                <w:color w:val="000000" w:themeColor="text1"/>
                <w:lang w:val="zh-CN"/>
                <w14:textFill>
                  <w14:solidFill>
                    <w14:schemeClr w14:val="tx1"/>
                  </w14:solidFill>
                </w14:textFill>
              </w:rPr>
              <w:t>序号</w:t>
            </w:r>
            <w:r>
              <w:rPr>
                <w:b/>
                <w:color w:val="000000" w:themeColor="text1"/>
                <w:lang w:val="zh-CN"/>
                <w14:textFill>
                  <w14:solidFill>
                    <w14:schemeClr w14:val="tx1"/>
                  </w14:solidFill>
                </w14:textFill>
              </w:rPr>
              <w:t xml:space="preserve"> </w:t>
            </w:r>
          </w:p>
        </w:tc>
        <w:tc>
          <w:tcPr>
            <w:tcW w:w="2423" w:type="dxa"/>
            <w:vAlign w:val="center"/>
          </w:tcPr>
          <w:p>
            <w:pPr>
              <w:pStyle w:val="28"/>
              <w:ind w:left="38"/>
              <w:jc w:val="center"/>
              <w:rPr>
                <w:b/>
                <w:color w:val="000000" w:themeColor="text1"/>
                <w:lang w:val="zh-CN"/>
                <w14:textFill>
                  <w14:solidFill>
                    <w14:schemeClr w14:val="tx1"/>
                  </w14:solidFill>
                </w14:textFill>
              </w:rPr>
            </w:pPr>
            <w:r>
              <w:rPr>
                <w:rFonts w:hint="eastAsia"/>
                <w:b/>
                <w:color w:val="000000" w:themeColor="text1"/>
                <w:lang w:val="zh-CN"/>
                <w14:textFill>
                  <w14:solidFill>
                    <w14:schemeClr w14:val="tx1"/>
                  </w14:solidFill>
                </w14:textFill>
              </w:rPr>
              <w:t>应知事项</w:t>
            </w:r>
            <w:r>
              <w:rPr>
                <w:b/>
                <w:color w:val="000000" w:themeColor="text1"/>
                <w:lang w:val="zh-CN"/>
                <w14:textFill>
                  <w14:solidFill>
                    <w14:schemeClr w14:val="tx1"/>
                  </w14:solidFill>
                </w14:textFill>
              </w:rPr>
              <w:t xml:space="preserve"> </w:t>
            </w:r>
          </w:p>
        </w:tc>
        <w:tc>
          <w:tcPr>
            <w:tcW w:w="6070" w:type="dxa"/>
            <w:vAlign w:val="center"/>
          </w:tcPr>
          <w:p>
            <w:pPr>
              <w:pStyle w:val="28"/>
              <w:jc w:val="center"/>
              <w:rPr>
                <w:b/>
                <w:color w:val="000000" w:themeColor="text1"/>
                <w:lang w:val="zh-CN"/>
                <w14:textFill>
                  <w14:solidFill>
                    <w14:schemeClr w14:val="tx1"/>
                  </w14:solidFill>
                </w14:textFill>
              </w:rPr>
            </w:pPr>
            <w:r>
              <w:rPr>
                <w:rFonts w:hint="eastAsia"/>
                <w:b/>
                <w:color w:val="000000" w:themeColor="text1"/>
                <w:lang w:val="zh-CN"/>
                <w14:textFill>
                  <w14:solidFill>
                    <w14:schemeClr w14:val="tx1"/>
                  </w14:solidFill>
                </w14:textFill>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4" w:hRule="exact"/>
          <w:jc w:val="center"/>
        </w:trPr>
        <w:tc>
          <w:tcPr>
            <w:tcW w:w="1013" w:type="dxa"/>
            <w:vAlign w:val="center"/>
          </w:tcPr>
          <w:p>
            <w:pPr>
              <w:pStyle w:val="28"/>
              <w:ind w:right="230"/>
              <w:jc w:val="center"/>
              <w:rPr>
                <w:rFonts w:hint="eastAsia" w:eastAsia="宋体" w:cs="Courier New"/>
                <w:color w:val="000000" w:themeColor="text1"/>
                <w:lang w:val="zh-CN" w:eastAsia="zh-CN"/>
                <w14:textFill>
                  <w14:solidFill>
                    <w14:schemeClr w14:val="tx1"/>
                  </w14:solidFill>
                </w14:textFill>
              </w:rPr>
            </w:pPr>
            <w:r>
              <w:rPr>
                <w:rFonts w:hint="eastAsia" w:cs="Courier New"/>
                <w:color w:val="000000" w:themeColor="text1"/>
                <w:lang w:val="en-US" w:eastAsia="zh-CN"/>
                <w14:textFill>
                  <w14:solidFill>
                    <w14:schemeClr w14:val="tx1"/>
                  </w14:solidFill>
                </w14:textFill>
              </w:rPr>
              <w:t>1</w:t>
            </w:r>
          </w:p>
        </w:tc>
        <w:tc>
          <w:tcPr>
            <w:tcW w:w="2423" w:type="dxa"/>
            <w:vAlign w:val="center"/>
          </w:tcPr>
          <w:p>
            <w:pPr>
              <w:pStyle w:val="28"/>
              <w:ind w:left="38"/>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联合体询价</w:t>
            </w:r>
          </w:p>
        </w:tc>
        <w:tc>
          <w:tcPr>
            <w:tcW w:w="6070" w:type="dxa"/>
            <w:vAlign w:val="center"/>
          </w:tcPr>
          <w:p>
            <w:pPr>
              <w:pStyle w:val="28"/>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不接受联合体询价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941" w:hRule="exact"/>
          <w:jc w:val="center"/>
        </w:trPr>
        <w:tc>
          <w:tcPr>
            <w:tcW w:w="1013" w:type="dxa"/>
            <w:vAlign w:val="center"/>
          </w:tcPr>
          <w:p>
            <w:pPr>
              <w:pStyle w:val="28"/>
              <w:ind w:right="230"/>
              <w:jc w:val="center"/>
              <w:rPr>
                <w:rFonts w:hint="eastAsia" w:eastAsia="宋体" w:cs="Courier New"/>
                <w:color w:val="000000" w:themeColor="text1"/>
                <w:lang w:val="zh-CN" w:eastAsia="zh-CN"/>
                <w14:textFill>
                  <w14:solidFill>
                    <w14:schemeClr w14:val="tx1"/>
                  </w14:solidFill>
                </w14:textFill>
              </w:rPr>
            </w:pPr>
            <w:r>
              <w:rPr>
                <w:rFonts w:hint="eastAsia" w:cs="Courier New"/>
                <w:color w:val="000000" w:themeColor="text1"/>
                <w:lang w:val="en-US" w:eastAsia="zh-CN"/>
                <w14:textFill>
                  <w14:solidFill>
                    <w14:schemeClr w14:val="tx1"/>
                  </w14:solidFill>
                </w14:textFill>
              </w:rPr>
              <w:t>2</w:t>
            </w:r>
          </w:p>
        </w:tc>
        <w:tc>
          <w:tcPr>
            <w:tcW w:w="2423" w:type="dxa"/>
            <w:vAlign w:val="center"/>
          </w:tcPr>
          <w:p>
            <w:pPr>
              <w:autoSpaceDE w:val="0"/>
              <w:autoSpaceDN w:val="0"/>
              <w:adjustRightInd w:val="0"/>
              <w:rPr>
                <w:rFonts w:ascii="宋体" w:hAnsi="宋体" w:cs="仿宋_GB2312"/>
                <w:color w:val="000000" w:themeColor="text1"/>
                <w:kern w:val="0"/>
                <w:sz w:val="24"/>
                <w14:textFill>
                  <w14:solidFill>
                    <w14:schemeClr w14:val="tx1"/>
                  </w14:solidFill>
                </w14:textFill>
              </w:rPr>
            </w:pPr>
            <w:r>
              <w:rPr>
                <w:rFonts w:hint="eastAsia" w:ascii="宋体" w:hAnsi="宋体" w:cs="仿宋_GB2312"/>
                <w:color w:val="000000" w:themeColor="text1"/>
                <w:kern w:val="0"/>
                <w:sz w:val="24"/>
                <w14:textFill>
                  <w14:solidFill>
                    <w14:schemeClr w14:val="tx1"/>
                  </w14:solidFill>
                </w14:textFill>
              </w:rPr>
              <w:t>供应商资质条件、能力和信誉</w:t>
            </w:r>
          </w:p>
        </w:tc>
        <w:tc>
          <w:tcPr>
            <w:tcW w:w="6070" w:type="dxa"/>
            <w:vAlign w:val="center"/>
          </w:tcPr>
          <w:p>
            <w:pPr>
              <w:spacing w:line="440" w:lineRule="exact"/>
              <w:ind w:left="210" w:hanging="210" w:hangingChars="100"/>
              <w:jc w:val="left"/>
              <w:rPr>
                <w:rFonts w:ascii="宋体" w:hAnsi="宋体"/>
                <w:color w:val="000000" w:themeColor="text1"/>
                <w:sz w:val="24"/>
                <w:szCs w:val="24"/>
                <w14:textFill>
                  <w14:solidFill>
                    <w14:schemeClr w14:val="tx1"/>
                  </w14:solidFill>
                </w14:textFill>
              </w:rPr>
            </w:pPr>
            <w:r>
              <w:rPr>
                <w:rFonts w:hint="eastAsia" w:hAnsi="宋体"/>
              </w:rPr>
              <w:t>1</w:t>
            </w:r>
            <w:r>
              <w:rPr>
                <w:rFonts w:hint="eastAsia" w:ascii="宋体" w:hAnsi="宋体"/>
                <w:color w:val="000000" w:themeColor="text1"/>
                <w:sz w:val="24"/>
                <w:szCs w:val="24"/>
                <w14:textFill>
                  <w14:solidFill>
                    <w14:schemeClr w14:val="tx1"/>
                  </w14:solidFill>
                </w14:textFill>
              </w:rPr>
              <w:t>.提供在有效期内营业执照副本复印件（营业执照有效期要完全覆盖本次询价的有效期）；</w:t>
            </w:r>
          </w:p>
          <w:p>
            <w:pPr>
              <w:snapToGrid w:val="0"/>
              <w:spacing w:line="360" w:lineRule="auto"/>
              <w:ind w:left="240" w:hanging="240" w:hangingChars="1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lang w:val="en-US" w:eastAsia="zh-CN"/>
                <w14:textFill>
                  <w14:solidFill>
                    <w14:schemeClr w14:val="tx1"/>
                  </w14:solidFill>
                </w14:textFill>
              </w:rPr>
              <w:t>供应能力</w:t>
            </w:r>
            <w:r>
              <w:rPr>
                <w:rFonts w:hint="eastAsia" w:ascii="宋体" w:hAnsi="宋体"/>
                <w:color w:val="000000" w:themeColor="text1"/>
                <w:sz w:val="24"/>
                <w:szCs w:val="24"/>
                <w14:textFill>
                  <w14:solidFill>
                    <w14:schemeClr w14:val="tx1"/>
                  </w14:solidFill>
                </w14:textFill>
              </w:rPr>
              <w:t>：具有</w:t>
            </w:r>
            <w:r>
              <w:rPr>
                <w:rFonts w:hint="eastAsia" w:ascii="宋体" w:hAnsi="宋体"/>
                <w:color w:val="000000" w:themeColor="text1"/>
                <w:sz w:val="24"/>
                <w:szCs w:val="24"/>
                <w:lang w:val="en-US" w:eastAsia="zh-CN"/>
                <w14:textFill>
                  <w14:solidFill>
                    <w14:schemeClr w14:val="tx1"/>
                  </w14:solidFill>
                </w14:textFill>
              </w:rPr>
              <w:t>光学玻璃退火</w:t>
            </w:r>
            <w:r>
              <w:rPr>
                <w:rFonts w:hint="eastAsia" w:ascii="宋体" w:hAnsi="宋体"/>
                <w:color w:val="000000" w:themeColor="text1"/>
                <w:sz w:val="24"/>
                <w:szCs w:val="24"/>
                <w14:textFill>
                  <w14:solidFill>
                    <w14:schemeClr w14:val="tx1"/>
                  </w14:solidFill>
                </w14:textFill>
              </w:rPr>
              <w:t>网带炉供货及安装经验案例。</w:t>
            </w:r>
          </w:p>
          <w:p>
            <w:pPr>
              <w:spacing w:after="120" w:line="440" w:lineRule="exact"/>
              <w:jc w:val="left"/>
              <w:rPr>
                <w:rFonts w:ascii="宋体" w:hAnsi="宋体"/>
                <w:b/>
                <w:bCs/>
                <w:sz w:val="24"/>
              </w:rPr>
            </w:pPr>
          </w:p>
          <w:p>
            <w:pPr>
              <w:pStyle w:val="31"/>
              <w:jc w:val="both"/>
              <w:rPr>
                <w:rFonts w:hAnsi="宋体"/>
                <w:color w:val="FF0000"/>
              </w:rPr>
            </w:pPr>
          </w:p>
          <w:p>
            <w:pPr>
              <w:pStyle w:val="31"/>
              <w:jc w:val="both"/>
              <w:rPr>
                <w:rFonts w:hAnsi="宋体"/>
                <w:color w:val="000000" w:themeColor="text1"/>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91"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4</w:t>
            </w:r>
          </w:p>
        </w:tc>
        <w:tc>
          <w:tcPr>
            <w:tcW w:w="2423" w:type="dxa"/>
            <w:vAlign w:val="center"/>
          </w:tcPr>
          <w:p>
            <w:pPr>
              <w:pStyle w:val="28"/>
              <w:ind w:left="38" w:leftChars="0"/>
              <w:rPr>
                <w:rFonts w:ascii="宋体" w:hAnsi="宋体" w:cs="仿宋_GB2312"/>
                <w:color w:val="000000" w:themeColor="text1"/>
                <w:kern w:val="0"/>
                <w:sz w:val="24"/>
                <w14:textFill>
                  <w14:solidFill>
                    <w14:schemeClr w14:val="tx1"/>
                  </w14:solidFill>
                </w14:textFill>
              </w:rPr>
            </w:pPr>
            <w:r>
              <w:rPr>
                <w:rFonts w:hint="eastAsia"/>
                <w:lang w:val="zh-CN"/>
              </w:rPr>
              <w:t>最高限价</w:t>
            </w:r>
          </w:p>
        </w:tc>
        <w:tc>
          <w:tcPr>
            <w:tcW w:w="6070" w:type="dxa"/>
            <w:vAlign w:val="center"/>
          </w:tcPr>
          <w:p>
            <w:pPr>
              <w:pStyle w:val="28"/>
              <w:jc w:val="both"/>
              <w:rPr>
                <w:rFonts w:cs="仿宋_GB2312"/>
                <w:color w:val="000000" w:themeColor="text1"/>
                <w14:textFill>
                  <w14:solidFill>
                    <w14:schemeClr w14:val="tx1"/>
                  </w14:solidFill>
                </w14:textFill>
              </w:rPr>
            </w:pPr>
            <w:r>
              <w:rPr>
                <w:rFonts w:hint="eastAsia"/>
              </w:rPr>
              <w:t>本项目不设置最高限价条款</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10"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5</w:t>
            </w:r>
          </w:p>
        </w:tc>
        <w:tc>
          <w:tcPr>
            <w:tcW w:w="2423" w:type="dxa"/>
            <w:vAlign w:val="center"/>
          </w:tcPr>
          <w:p>
            <w:pPr>
              <w:autoSpaceDE w:val="0"/>
              <w:autoSpaceDN w:val="0"/>
              <w:adjustRightInd w:val="0"/>
              <w:rPr>
                <w:rFonts w:ascii="宋体" w:hAnsi="宋体" w:cs="仿宋_GB2312"/>
                <w:color w:val="000000" w:themeColor="text1"/>
                <w:kern w:val="0"/>
                <w:sz w:val="24"/>
                <w14:textFill>
                  <w14:solidFill>
                    <w14:schemeClr w14:val="tx1"/>
                  </w14:solidFill>
                </w14:textFill>
              </w:rPr>
            </w:pPr>
            <w:r>
              <w:rPr>
                <w:rFonts w:hint="eastAsia" w:ascii="宋体" w:hAnsi="宋体" w:cs="仿宋_GB2312"/>
                <w:color w:val="000000" w:themeColor="text1"/>
                <w:kern w:val="0"/>
                <w:sz w:val="24"/>
                <w14:textFill>
                  <w14:solidFill>
                    <w14:schemeClr w14:val="tx1"/>
                  </w14:solidFill>
                </w14:textFill>
              </w:rPr>
              <w:t>是否退还报价文件</w:t>
            </w:r>
          </w:p>
        </w:tc>
        <w:tc>
          <w:tcPr>
            <w:tcW w:w="6070" w:type="dxa"/>
            <w:vAlign w:val="center"/>
          </w:tcPr>
          <w:p>
            <w:pPr>
              <w:pStyle w:val="31"/>
              <w:jc w:val="both"/>
              <w:rPr>
                <w:rFonts w:hAnsi="宋体" w:cs="仿宋_GB2312"/>
                <w:color w:val="000000" w:themeColor="text1"/>
                <w14:textFill>
                  <w14:solidFill>
                    <w14:schemeClr w14:val="tx1"/>
                  </w14:solidFill>
                </w14:textFill>
              </w:rPr>
            </w:pPr>
            <w:r>
              <w:rPr>
                <w:rFonts w:hint="eastAsia" w:hAnsi="宋体" w:cs="仿宋_GB2312"/>
                <w:color w:val="000000" w:themeColor="text1"/>
                <w14:textFill>
                  <w14:solidFill>
                    <w14:schemeClr w14:val="tx1"/>
                  </w14:solidFill>
                </w14:textFill>
              </w:rPr>
              <w:t>否</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64"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6</w:t>
            </w:r>
          </w:p>
        </w:tc>
        <w:tc>
          <w:tcPr>
            <w:tcW w:w="2423" w:type="dxa"/>
            <w:vAlign w:val="center"/>
          </w:tcPr>
          <w:p>
            <w:pPr>
              <w:autoSpaceDE w:val="0"/>
              <w:autoSpaceDN w:val="0"/>
              <w:snapToGrid w:val="0"/>
              <w:textAlignment w:val="bottom"/>
              <w:rPr>
                <w:rFonts w:ascii="宋体" w:hAnsi="宋体" w:cs="仿宋_GB2312"/>
                <w:color w:val="000000" w:themeColor="text1"/>
                <w:kern w:val="0"/>
                <w:sz w:val="24"/>
                <w14:textFill>
                  <w14:solidFill>
                    <w14:schemeClr w14:val="tx1"/>
                  </w14:solidFill>
                </w14:textFill>
              </w:rPr>
            </w:pPr>
            <w:r>
              <w:rPr>
                <w:rFonts w:hint="eastAsia" w:ascii="宋体" w:hAnsi="宋体" w:cs="仿宋_GB2312"/>
                <w:color w:val="000000" w:themeColor="text1"/>
                <w:kern w:val="0"/>
                <w:sz w:val="24"/>
                <w14:textFill>
                  <w14:solidFill>
                    <w14:schemeClr w14:val="tx1"/>
                  </w14:solidFill>
                </w14:textFill>
              </w:rPr>
              <w:t>响应文件组成</w:t>
            </w:r>
          </w:p>
        </w:tc>
        <w:tc>
          <w:tcPr>
            <w:tcW w:w="6070" w:type="dxa"/>
            <w:vAlign w:val="center"/>
          </w:tcPr>
          <w:p>
            <w:pPr>
              <w:autoSpaceDE w:val="0"/>
              <w:autoSpaceDN w:val="0"/>
              <w:snapToGrid w:val="0"/>
              <w:textAlignment w:val="bottom"/>
              <w:rPr>
                <w:rFonts w:ascii="宋体" w:hAnsi="宋体" w:cs="仿宋_GB2312"/>
                <w:color w:val="000000" w:themeColor="text1"/>
                <w:kern w:val="0"/>
                <w:sz w:val="24"/>
                <w14:textFill>
                  <w14:solidFill>
                    <w14:schemeClr w14:val="tx1"/>
                  </w14:solidFill>
                </w14:textFill>
              </w:rPr>
            </w:pPr>
            <w:r>
              <w:rPr>
                <w:rFonts w:hint="eastAsia" w:ascii="宋体" w:hAnsi="宋体" w:cs="仿宋_GB2312"/>
                <w:color w:val="000000" w:themeColor="text1"/>
                <w:kern w:val="0"/>
                <w:sz w:val="24"/>
                <w14:textFill>
                  <w14:solidFill>
                    <w14:schemeClr w14:val="tx1"/>
                  </w14:solidFill>
                </w14:textFill>
              </w:rPr>
              <w:t>响应文件由正本1份；副本1份组成。</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830"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7</w:t>
            </w:r>
          </w:p>
        </w:tc>
        <w:tc>
          <w:tcPr>
            <w:tcW w:w="2423" w:type="dxa"/>
            <w:vAlign w:val="center"/>
          </w:tcPr>
          <w:p>
            <w:pPr>
              <w:pStyle w:val="28"/>
              <w:ind w:left="38"/>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封面注明</w:t>
            </w:r>
          </w:p>
        </w:tc>
        <w:tc>
          <w:tcPr>
            <w:tcW w:w="6070" w:type="dxa"/>
            <w:vAlign w:val="center"/>
          </w:tcPr>
          <w:p>
            <w:pPr>
              <w:pStyle w:val="30"/>
              <w:snapToGrid w:val="0"/>
              <w:ind w:right="3278"/>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项目编号：</w:t>
            </w:r>
          </w:p>
          <w:p>
            <w:pPr>
              <w:pStyle w:val="30"/>
              <w:snapToGrid w:val="0"/>
              <w:ind w:left="1200" w:hanging="1200" w:hangingChars="500"/>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项目名称：</w:t>
            </w:r>
            <w:r>
              <w:rPr>
                <w:rFonts w:hint="eastAsia" w:asciiTheme="minorEastAsia" w:hAnsiTheme="minorEastAsia"/>
                <w:color w:val="000000" w:themeColor="text1"/>
                <w:sz w:val="24"/>
                <w:szCs w:val="24"/>
                <w:lang w:eastAsia="zh-CN"/>
                <w14:textFill>
                  <w14:solidFill>
                    <w14:schemeClr w14:val="tx1"/>
                  </w14:solidFill>
                </w14:textFill>
              </w:rPr>
              <w:t>网带式退火炉项目</w:t>
            </w:r>
            <w:r>
              <w:rPr>
                <w:rFonts w:hint="eastAsia"/>
                <w:bCs/>
                <w:color w:val="000000" w:themeColor="text1"/>
                <w:sz w:val="24"/>
                <w:lang w:eastAsia="zh-CN"/>
                <w14:textFill>
                  <w14:solidFill>
                    <w14:schemeClr w14:val="tx1"/>
                  </w14:solidFill>
                </w14:textFill>
              </w:rPr>
              <w:t>采购</w:t>
            </w:r>
            <w:r>
              <w:rPr>
                <w:rFonts w:hint="eastAsia"/>
                <w:color w:val="000000" w:themeColor="text1"/>
                <w:sz w:val="24"/>
                <w:szCs w:val="32"/>
                <w:lang w:eastAsia="zh-CN"/>
                <w14:textFill>
                  <w14:solidFill>
                    <w14:schemeClr w14:val="tx1"/>
                  </w14:solidFill>
                </w14:textFill>
              </w:rPr>
              <w:t>项目</w:t>
            </w:r>
          </w:p>
          <w:p>
            <w:pPr>
              <w:pStyle w:val="30"/>
              <w:snapToGrid w:val="0"/>
              <w:ind w:right="3278"/>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供应商名称：</w:t>
            </w:r>
          </w:p>
          <w:p>
            <w:pPr>
              <w:pStyle w:val="30"/>
              <w:snapToGrid w:val="0"/>
              <w:ind w:right="3278"/>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联系人:</w:t>
            </w:r>
          </w:p>
          <w:p>
            <w:pPr>
              <w:pStyle w:val="30"/>
              <w:snapToGrid w:val="0"/>
              <w:ind w:right="3278"/>
              <w:rPr>
                <w:color w:val="000000" w:themeColor="text1"/>
                <w:sz w:val="24"/>
                <w:szCs w:val="24"/>
                <w:lang w:val="zh-CN"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联系方式:</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3"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8</w:t>
            </w:r>
          </w:p>
        </w:tc>
        <w:tc>
          <w:tcPr>
            <w:tcW w:w="2423" w:type="dxa"/>
            <w:vAlign w:val="center"/>
          </w:tcPr>
          <w:p>
            <w:pPr>
              <w:pStyle w:val="28"/>
              <w:ind w:left="38"/>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递交响应文件地点</w:t>
            </w:r>
          </w:p>
        </w:tc>
        <w:tc>
          <w:tcPr>
            <w:tcW w:w="6070" w:type="dxa"/>
            <w:vAlign w:val="center"/>
          </w:tcPr>
          <w:p>
            <w:pPr>
              <w:pStyle w:val="30"/>
              <w:snapToGrid w:val="0"/>
              <w:ind w:right="-25"/>
              <w:jc w:val="both"/>
              <w:rPr>
                <w:color w:val="000000" w:themeColor="text1"/>
                <w:sz w:val="24"/>
                <w:szCs w:val="24"/>
                <w:lang w:val="zh-CN" w:eastAsia="zh-CN"/>
                <w14:textFill>
                  <w14:solidFill>
                    <w14:schemeClr w14:val="tx1"/>
                  </w14:solidFill>
                </w14:textFill>
              </w:rPr>
            </w:pPr>
            <w:r>
              <w:rPr>
                <w:rFonts w:hint="eastAsia" w:ascii="宋体" w:hAnsi="宋体"/>
                <w:bCs/>
                <w:color w:val="auto"/>
                <w:sz w:val="24"/>
                <w:szCs w:val="24"/>
                <w:u w:val="none"/>
                <w:lang w:eastAsia="zh-CN"/>
              </w:rPr>
              <w:t>都江堰市蒲阳镇光泰路</w:t>
            </w:r>
            <w:r>
              <w:rPr>
                <w:rFonts w:hint="eastAsia" w:ascii="宋体" w:hAnsi="宋体"/>
                <w:bCs/>
                <w:color w:val="auto"/>
                <w:sz w:val="24"/>
                <w:szCs w:val="24"/>
                <w:u w:val="none"/>
                <w:lang w:val="en-US" w:eastAsia="zh-CN"/>
              </w:rPr>
              <w:t>10号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3"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9</w:t>
            </w:r>
          </w:p>
        </w:tc>
        <w:tc>
          <w:tcPr>
            <w:tcW w:w="2423" w:type="dxa"/>
            <w:vAlign w:val="center"/>
          </w:tcPr>
          <w:p>
            <w:pPr>
              <w:pStyle w:val="28"/>
              <w:ind w:left="38"/>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评审办法</w:t>
            </w:r>
          </w:p>
        </w:tc>
        <w:tc>
          <w:tcPr>
            <w:tcW w:w="6070" w:type="dxa"/>
            <w:vAlign w:val="center"/>
          </w:tcPr>
          <w:p>
            <w:pPr>
              <w:pStyle w:val="30"/>
              <w:snapToGrid w:val="0"/>
              <w:ind w:right="3278"/>
              <w:jc w:val="both"/>
              <w:rPr>
                <w:color w:val="000000" w:themeColor="text1"/>
                <w:sz w:val="24"/>
                <w:szCs w:val="24"/>
                <w:lang w:val="zh-CN"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综合评分法</w:t>
            </w:r>
          </w:p>
        </w:tc>
      </w:tr>
    </w:tbl>
    <w:p>
      <w:pPr>
        <w:pStyle w:val="3"/>
        <w:spacing w:before="0" w:after="0" w:line="440" w:lineRule="exact"/>
        <w:ind w:firstLine="482" w:firstLineChars="200"/>
        <w:rPr>
          <w:bCs w:val="0"/>
          <w:color w:val="000000" w:themeColor="text1"/>
          <w:sz w:val="24"/>
          <w:szCs w:val="24"/>
          <w14:textFill>
            <w14:solidFill>
              <w14:schemeClr w14:val="tx1"/>
            </w14:solidFill>
          </w14:textFill>
        </w:rPr>
      </w:pPr>
      <w:r>
        <w:rPr>
          <w:rFonts w:hint="eastAsia"/>
          <w:bCs w:val="0"/>
          <w:color w:val="000000" w:themeColor="text1"/>
          <w:sz w:val="24"/>
          <w:szCs w:val="24"/>
          <w14:textFill>
            <w14:solidFill>
              <w14:schemeClr w14:val="tx1"/>
            </w14:solidFill>
          </w14:textFill>
        </w:rPr>
        <w:t>二、总  则</w:t>
      </w:r>
    </w:p>
    <w:p>
      <w:pPr>
        <w:pStyle w:val="4"/>
        <w:keepNext w:val="0"/>
        <w:keepLines w:val="0"/>
        <w:spacing w:before="0" w:after="0" w:line="440" w:lineRule="exact"/>
        <w:ind w:firstLine="482"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适用范围</w:t>
      </w:r>
    </w:p>
    <w:p>
      <w:pPr>
        <w:tabs>
          <w:tab w:val="left" w:pos="766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 本询价采购文件仅适用于本次询价所叙述货物的采购。</w:t>
      </w:r>
    </w:p>
    <w:p>
      <w:pPr>
        <w:tabs>
          <w:tab w:val="left" w:pos="7665"/>
        </w:tabs>
        <w:spacing w:line="440" w:lineRule="exact"/>
        <w:ind w:firstLine="480" w:firstLineChars="200"/>
        <w:rPr>
          <w:rFonts w:ascii="宋体" w:hAnsi="宋体"/>
          <w:color w:val="FF0000"/>
          <w:sz w:val="24"/>
        </w:rPr>
      </w:pPr>
      <w:r>
        <w:rPr>
          <w:rFonts w:hint="eastAsia" w:ascii="宋体" w:hAnsi="宋体"/>
          <w:color w:val="000000" w:themeColor="text1"/>
          <w:sz w:val="24"/>
          <w14:textFill>
            <w14:solidFill>
              <w14:schemeClr w14:val="tx1"/>
            </w14:solidFill>
          </w14:textFill>
        </w:rPr>
        <w:t>1.2 本询价采购文件的解释权归采购人所有。</w:t>
      </w:r>
    </w:p>
    <w:p>
      <w:pPr>
        <w:pStyle w:val="4"/>
        <w:keepNext w:val="0"/>
        <w:keepLines w:val="0"/>
        <w:spacing w:before="0" w:after="0" w:line="440" w:lineRule="exact"/>
        <w:ind w:firstLine="482"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采购主体</w:t>
      </w:r>
    </w:p>
    <w:p>
      <w:pPr>
        <w:spacing w:line="500" w:lineRule="exact"/>
        <w:ind w:firstLine="480" w:firstLineChars="200"/>
        <w:jc w:val="both"/>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1本次询价的采购人是</w:t>
      </w:r>
      <w:r>
        <w:rPr>
          <w:rFonts w:hint="eastAsia" w:asciiTheme="minorEastAsia" w:hAnsiTheme="minorEastAsia" w:eastAsiaTheme="minorEastAsia" w:cstheme="minorEastAsia"/>
          <w:b/>
          <w:bCs/>
          <w:color w:val="auto"/>
          <w:sz w:val="24"/>
          <w:szCs w:val="24"/>
          <w:u w:val="single"/>
        </w:rPr>
        <w:t>都江堰光明光电材料有限责任公司</w:t>
      </w:r>
    </w:p>
    <w:p>
      <w:pPr>
        <w:pStyle w:val="7"/>
        <w:spacing w:line="440" w:lineRule="exact"/>
        <w:ind w:firstLine="482" w:firstLineChars="200"/>
        <w:rPr>
          <w:rFonts w:ascii="宋体" w:hAnsi="宋体"/>
          <w:b/>
          <w:bCs/>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3.</w:t>
      </w:r>
      <w:r>
        <w:rPr>
          <w:rFonts w:hint="eastAsia" w:ascii="宋体" w:hAnsi="宋体"/>
          <w:b/>
          <w:bCs/>
          <w:color w:val="000000" w:themeColor="text1"/>
          <w:sz w:val="24"/>
          <w:szCs w:val="24"/>
          <w14:textFill>
            <w14:solidFill>
              <w14:schemeClr w14:val="tx1"/>
            </w14:solidFill>
          </w14:textFill>
        </w:rPr>
        <w:t>知识产权</w:t>
      </w:r>
    </w:p>
    <w:p>
      <w:pPr>
        <w:pStyle w:val="7"/>
        <w:spacing w:line="440" w:lineRule="exac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pStyle w:val="7"/>
        <w:spacing w:line="440" w:lineRule="exac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除非询价采购文件特别规定，采购人享有本项目实施过程中产生的知识成果及知识产权。</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 xml:space="preserve"> 如采用供应商所不拥有的知识产权，则在报价中必须包括合法获取该知识产权的相关费用。 </w:t>
      </w:r>
    </w:p>
    <w:p>
      <w:pPr>
        <w:pStyle w:val="3"/>
        <w:spacing w:before="0" w:after="0" w:line="440" w:lineRule="exact"/>
        <w:ind w:firstLine="361" w:firstLineChars="150"/>
        <w:rPr>
          <w:bCs w:val="0"/>
          <w:color w:val="000000" w:themeColor="text1"/>
          <w:sz w:val="24"/>
          <w:szCs w:val="24"/>
          <w14:textFill>
            <w14:solidFill>
              <w14:schemeClr w14:val="tx1"/>
            </w14:solidFill>
          </w14:textFill>
        </w:rPr>
      </w:pPr>
      <w:r>
        <w:rPr>
          <w:rFonts w:hint="eastAsia"/>
          <w:bCs w:val="0"/>
          <w:color w:val="000000" w:themeColor="text1"/>
          <w:sz w:val="24"/>
          <w:szCs w:val="24"/>
          <w14:textFill>
            <w14:solidFill>
              <w14:schemeClr w14:val="tx1"/>
            </w14:solidFill>
          </w14:textFill>
        </w:rPr>
        <w:t>三、询价采购文件</w:t>
      </w:r>
    </w:p>
    <w:p>
      <w:pPr>
        <w:pStyle w:val="3"/>
        <w:spacing w:before="0" w:after="0" w:line="440" w:lineRule="exact"/>
        <w:ind w:firstLine="361" w:firstLineChars="1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1．询价采购文件的构成</w:t>
      </w:r>
    </w:p>
    <w:p>
      <w:pPr>
        <w:pStyle w:val="3"/>
        <w:spacing w:before="0" w:after="0" w:line="440" w:lineRule="exact"/>
        <w:ind w:firstLine="360" w:firstLineChars="15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1</w:t>
      </w:r>
      <w:r>
        <w:rPr>
          <w:b w:val="0"/>
          <w:bCs w:val="0"/>
          <w:color w:val="000000" w:themeColor="text1"/>
          <w:sz w:val="24"/>
          <w:szCs w:val="24"/>
          <w14:textFill>
            <w14:solidFill>
              <w14:schemeClr w14:val="tx1"/>
            </w14:solidFill>
          </w14:textFill>
        </w:rPr>
        <w:t>.</w:t>
      </w:r>
      <w:r>
        <w:rPr>
          <w:rFonts w:hint="eastAsia"/>
          <w:b w:val="0"/>
          <w:color w:val="000000" w:themeColor="text1"/>
          <w:sz w:val="24"/>
          <w:szCs w:val="24"/>
          <w14:textFill>
            <w14:solidFill>
              <w14:schemeClr w14:val="tx1"/>
            </w14:solidFill>
          </w14:textFill>
        </w:rPr>
        <w:t>1 询价采购文件是供应商准备响应文件和参加询价采购活动的依据。询价采购文件用以阐明询价项目所需的资质、技术、服务及报价等要求、询价程序、有关规定和注意事项以及合同主要条款等。</w:t>
      </w:r>
    </w:p>
    <w:p>
      <w:pPr>
        <w:pStyle w:val="3"/>
        <w:spacing w:before="0" w:after="0" w:line="440" w:lineRule="exact"/>
        <w:ind w:firstLine="361" w:firstLineChars="150"/>
        <w:rPr>
          <w:b w:val="0"/>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w:t>
      </w:r>
      <w:r>
        <w:rPr>
          <w:rFonts w:hint="eastAsia"/>
          <w:b w:val="0"/>
          <w:bCs w:val="0"/>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2 </w:t>
      </w:r>
      <w:r>
        <w:rPr>
          <w:rFonts w:hint="eastAsia"/>
          <w:b w:val="0"/>
          <w:color w:val="000000" w:themeColor="text1"/>
          <w:sz w:val="24"/>
          <w:szCs w:val="24"/>
          <w14:textFill>
            <w14:solidFill>
              <w14:schemeClr w14:val="tx1"/>
            </w14:solidFill>
          </w14:textFill>
        </w:rPr>
        <w:t>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pPr>
        <w:pStyle w:val="3"/>
        <w:spacing w:before="0" w:after="0" w:line="440" w:lineRule="exact"/>
        <w:ind w:firstLine="361" w:firstLineChars="1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 询价采购文件的澄清和修改</w:t>
      </w:r>
    </w:p>
    <w:p>
      <w:pPr>
        <w:pStyle w:val="3"/>
        <w:spacing w:before="0" w:after="0" w:line="440" w:lineRule="exact"/>
        <w:ind w:firstLine="360" w:firstLineChars="15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2.1 在递交响应文件截止时间前，采购人可以对询价采购文件进行澄清或者修改。</w:t>
      </w:r>
    </w:p>
    <w:p>
      <w:pPr>
        <w:pStyle w:val="3"/>
        <w:spacing w:before="0" w:after="0" w:line="440" w:lineRule="exact"/>
        <w:ind w:firstLine="361" w:firstLineChars="150"/>
        <w:rPr>
          <w:b w:val="0"/>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2.2 </w:t>
      </w:r>
      <w:r>
        <w:rPr>
          <w:rFonts w:hint="eastAsia"/>
          <w:b w:val="0"/>
          <w:color w:val="000000" w:themeColor="text1"/>
          <w:sz w:val="24"/>
          <w:szCs w:val="24"/>
          <w14:textFill>
            <w14:solidFill>
              <w14:schemeClr w14:val="tx1"/>
            </w14:solidFill>
          </w14:textFill>
        </w:rPr>
        <w:t>采购人对已发出的询价采购文件进行澄清或者修改，应当以书面形式将澄清或者修改的内容在</w:t>
      </w:r>
      <w:r>
        <w:rPr>
          <w:rFonts w:hint="eastAsia"/>
          <w:color w:val="000000" w:themeColor="text1"/>
          <w:sz w:val="24"/>
          <w:szCs w:val="24"/>
          <w14:textFill>
            <w14:solidFill>
              <w14:schemeClr w14:val="tx1"/>
            </w14:solidFill>
          </w14:textFill>
        </w:rPr>
        <w:t>成都光明光电股份有限公司官网（http://www.cdgmgd.com）</w:t>
      </w:r>
      <w:r>
        <w:rPr>
          <w:rFonts w:hint="eastAsia"/>
          <w:b w:val="0"/>
          <w:color w:val="000000" w:themeColor="text1"/>
          <w:sz w:val="24"/>
          <w:szCs w:val="24"/>
          <w14:textFill>
            <w14:solidFill>
              <w14:schemeClr w14:val="tx1"/>
            </w14:solidFill>
          </w14:textFill>
        </w:rPr>
        <w:t>发布更正公告。该澄清或者修改的内容为询价采购文件的组成部分，澄清或者修改的内容可能影响响应文件编制的，采购人应当在提交响应文件截止之日3个工作日前；不足上述时间的，应当顺延递交响应文件的截止时间。</w:t>
      </w:r>
    </w:p>
    <w:p>
      <w:pPr>
        <w:tabs>
          <w:tab w:val="left" w:pos="720"/>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2.3供应商认为采购人需要对询价采购文件进行澄清或者修改的，可以在提交响应文件截止之日5个</w:t>
      </w:r>
      <w:r>
        <w:rPr>
          <w:rFonts w:hint="eastAsia" w:ascii="宋体" w:hAnsi="宋体" w:cs="宋体"/>
          <w:color w:val="000000" w:themeColor="text1"/>
          <w:sz w:val="24"/>
          <w14:textFill>
            <w14:solidFill>
              <w14:schemeClr w14:val="tx1"/>
            </w14:solidFill>
          </w14:textFill>
        </w:rPr>
        <w:t>工作日</w:t>
      </w:r>
      <w:r>
        <w:rPr>
          <w:rFonts w:hint="eastAsia" w:ascii="宋体" w:hAnsi="宋体"/>
          <w:color w:val="000000" w:themeColor="text1"/>
          <w:sz w:val="24"/>
          <w14:textFill>
            <w14:solidFill>
              <w14:schemeClr w14:val="tx1"/>
            </w14:solidFill>
          </w14:textFill>
        </w:rPr>
        <w:t>前以书面形式向采购人提出申请，由采购人决定是否采纳供应商的申请事项。</w:t>
      </w:r>
    </w:p>
    <w:p>
      <w:pPr>
        <w:pStyle w:val="3"/>
        <w:spacing w:before="0" w:after="0" w:line="440" w:lineRule="exact"/>
        <w:ind w:firstLine="482" w:firstLineChars="200"/>
        <w:rPr>
          <w:bCs w:val="0"/>
          <w:color w:val="000000" w:themeColor="text1"/>
          <w:sz w:val="24"/>
          <w:szCs w:val="24"/>
          <w14:textFill>
            <w14:solidFill>
              <w14:schemeClr w14:val="tx1"/>
            </w14:solidFill>
          </w14:textFill>
        </w:rPr>
      </w:pPr>
      <w:r>
        <w:rPr>
          <w:rFonts w:hint="eastAsia"/>
          <w:bCs w:val="0"/>
          <w:color w:val="000000" w:themeColor="text1"/>
          <w:sz w:val="24"/>
          <w:szCs w:val="24"/>
          <w14:textFill>
            <w14:solidFill>
              <w14:schemeClr w14:val="tx1"/>
            </w14:solidFill>
          </w14:textFill>
        </w:rPr>
        <w:t>四、响应文件</w:t>
      </w:r>
    </w:p>
    <w:p>
      <w:pPr>
        <w:pStyle w:val="4"/>
        <w:keepNext w:val="0"/>
        <w:keepLines w:val="0"/>
        <w:spacing w:before="0" w:after="0" w:line="440" w:lineRule="exact"/>
        <w:ind w:firstLine="482"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1.响应文件的组成</w:t>
      </w:r>
    </w:p>
    <w:p>
      <w:pPr>
        <w:spacing w:line="440" w:lineRule="exact"/>
        <w:ind w:left="2" w:leftChars="1"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供应商应按照询价采购文件的规定和要求编制响应文件。供应商在成交后将成交项目的非主体、非关键性工作分包他人完成的，应当在响应文件中载明或询价过程中澄清。</w:t>
      </w:r>
    </w:p>
    <w:p>
      <w:pPr>
        <w:pStyle w:val="4"/>
        <w:keepNext w:val="0"/>
        <w:keepLines w:val="0"/>
        <w:spacing w:before="0" w:after="0" w:line="440" w:lineRule="exact"/>
        <w:ind w:firstLine="482" w:firstLineChars="200"/>
        <w:rPr>
          <w:rFonts w:ascii="宋体" w:hAnsi="宋体"/>
          <w:bCs w:val="0"/>
          <w:color w:val="000000" w:themeColor="text1"/>
          <w:sz w:val="24"/>
          <w:szCs w:val="24"/>
          <w14:textFill>
            <w14:solidFill>
              <w14:schemeClr w14:val="tx1"/>
            </w14:solidFill>
          </w14:textFill>
        </w:rPr>
      </w:pPr>
      <w:r>
        <w:rPr>
          <w:rFonts w:hint="eastAsia" w:ascii="宋体" w:hAnsi="宋体"/>
          <w:bCs w:val="0"/>
          <w:color w:val="000000" w:themeColor="text1"/>
          <w:sz w:val="24"/>
          <w:szCs w:val="24"/>
          <w14:textFill>
            <w14:solidFill>
              <w14:schemeClr w14:val="tx1"/>
            </w14:solidFill>
          </w14:textFill>
        </w:rPr>
        <w:t>2.响应文件的语言</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2.1 供应商提交的响应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2.2 翻译的中文资料与外文资料如果出现差异和矛盾，以中文为准。但不能故意错误翻译，否则，供应商的响应文件将作为无效处理。</w:t>
      </w:r>
    </w:p>
    <w:p>
      <w:pPr>
        <w:pStyle w:val="4"/>
        <w:keepNext w:val="0"/>
        <w:keepLines w:val="0"/>
        <w:spacing w:before="0" w:after="0" w:line="440" w:lineRule="exact"/>
        <w:ind w:firstLine="482"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3．计量单位</w:t>
      </w:r>
    </w:p>
    <w:p>
      <w:pPr>
        <w:spacing w:line="440" w:lineRule="exact"/>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除询价采购文件中另有规定外，本次采购项目所有合同项下的报价均采用国家法定的计量单位。</w:t>
      </w:r>
    </w:p>
    <w:p>
      <w:pPr>
        <w:spacing w:line="440" w:lineRule="exact"/>
        <w:ind w:firstLine="470" w:firstLineChars="195"/>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 xml:space="preserve">4. </w:t>
      </w:r>
      <w:r>
        <w:rPr>
          <w:rFonts w:hint="eastAsia" w:ascii="宋体" w:hAnsi="宋体"/>
          <w:b/>
          <w:color w:val="000000" w:themeColor="text1"/>
          <w:sz w:val="24"/>
          <w14:textFill>
            <w14:solidFill>
              <w14:schemeClr w14:val="tx1"/>
            </w14:solidFill>
          </w14:textFill>
        </w:rPr>
        <w:t>报价</w:t>
      </w:r>
      <w:r>
        <w:rPr>
          <w:rFonts w:hint="eastAsia" w:ascii="宋体" w:hAnsi="宋体"/>
          <w:b/>
          <w:bCs/>
          <w:color w:val="000000" w:themeColor="text1"/>
          <w:sz w:val="24"/>
          <w14:textFill>
            <w14:solidFill>
              <w14:schemeClr w14:val="tx1"/>
            </w14:solidFill>
          </w14:textFill>
        </w:rPr>
        <w:t>货币</w:t>
      </w:r>
    </w:p>
    <w:p>
      <w:pPr>
        <w:spacing w:line="440" w:lineRule="exact"/>
        <w:ind w:firstLine="468" w:firstLineChars="195"/>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本次询价项目的</w:t>
      </w:r>
      <w:r>
        <w:rPr>
          <w:rFonts w:hint="eastAsia" w:ascii="宋体" w:hAnsi="宋体"/>
          <w:color w:val="000000" w:themeColor="text1"/>
          <w:sz w:val="24"/>
          <w14:textFill>
            <w14:solidFill>
              <w14:schemeClr w14:val="tx1"/>
            </w14:solidFill>
          </w14:textFill>
        </w:rPr>
        <w:t>报价货币为</w:t>
      </w:r>
      <w:r>
        <w:rPr>
          <w:rFonts w:hint="eastAsia" w:ascii="宋体" w:hAnsi="宋体"/>
          <w:bCs/>
          <w:color w:val="000000" w:themeColor="text1"/>
          <w:sz w:val="24"/>
          <w14:textFill>
            <w14:solidFill>
              <w14:schemeClr w14:val="tx1"/>
            </w14:solidFill>
          </w14:textFill>
        </w:rPr>
        <w:t>人民币，报价以询价采购文件约定为准。</w:t>
      </w:r>
    </w:p>
    <w:p>
      <w:pPr>
        <w:spacing w:line="440" w:lineRule="exact"/>
        <w:ind w:left="2" w:leftChars="1"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5.响应文件格式</w:t>
      </w:r>
    </w:p>
    <w:p>
      <w:pPr>
        <w:spacing w:line="440" w:lineRule="exact"/>
        <w:ind w:left="2" w:leftChars="1"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5.1 供应商应执行询价采购文件第四章的规定要求。</w:t>
      </w:r>
    </w:p>
    <w:p>
      <w:pPr>
        <w:spacing w:line="440" w:lineRule="exact"/>
        <w:ind w:left="2" w:leftChars="1"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5.2 对于没有格式要求的询价采购文件由供应商自行编写。</w:t>
      </w:r>
    </w:p>
    <w:p>
      <w:pPr>
        <w:spacing w:line="440" w:lineRule="exact"/>
        <w:ind w:firstLine="472" w:firstLineChars="196"/>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6.响应文件的编制和签署</w:t>
      </w:r>
    </w:p>
    <w:p>
      <w:pPr>
        <w:spacing w:line="440" w:lineRule="exact"/>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6.1参加询价的供应商应按照询价采购文件的要求，准备响应文件。</w:t>
      </w:r>
    </w:p>
    <w:p>
      <w:pPr>
        <w:spacing w:line="440" w:lineRule="exact"/>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6.2纸质报价文件</w:t>
      </w:r>
      <w:r>
        <w:rPr>
          <w:rFonts w:hint="eastAsia" w:ascii="宋体" w:hAnsi="宋体"/>
          <w:color w:val="000000" w:themeColor="text1"/>
          <w:sz w:val="24"/>
          <w:u w:val="single"/>
          <w14:textFill>
            <w14:solidFill>
              <w14:schemeClr w14:val="tx1"/>
            </w14:solidFill>
          </w14:textFill>
        </w:rPr>
        <w:t xml:space="preserve"> 1  </w:t>
      </w:r>
      <w:r>
        <w:rPr>
          <w:rFonts w:hint="eastAsia" w:ascii="宋体" w:hAnsi="宋体"/>
          <w:color w:val="000000" w:themeColor="text1"/>
          <w:sz w:val="24"/>
          <w14:textFill>
            <w14:solidFill>
              <w14:schemeClr w14:val="tx1"/>
            </w14:solidFill>
          </w14:textFill>
        </w:rPr>
        <w:t xml:space="preserve"> 份，</w:t>
      </w:r>
      <w:r>
        <w:rPr>
          <w:rFonts w:hint="eastAsia" w:ascii="宋体" w:hAnsi="宋体" w:cs="仿宋_GB2312"/>
          <w:color w:val="000000" w:themeColor="text1"/>
          <w:kern w:val="0"/>
          <w:sz w:val="24"/>
          <w14:textFill>
            <w14:solidFill>
              <w14:schemeClr w14:val="tx1"/>
            </w14:solidFill>
          </w14:textFill>
        </w:rPr>
        <w:t>由正本</w:t>
      </w:r>
      <w:r>
        <w:rPr>
          <w:rFonts w:hint="eastAsia" w:ascii="宋体" w:hAnsi="宋体" w:cs="仿宋_GB2312"/>
          <w:color w:val="000000" w:themeColor="text1"/>
          <w:kern w:val="0"/>
          <w:sz w:val="24"/>
          <w:u w:val="single"/>
          <w14:textFill>
            <w14:solidFill>
              <w14:schemeClr w14:val="tx1"/>
            </w14:solidFill>
          </w14:textFill>
        </w:rPr>
        <w:t xml:space="preserve"> 1  </w:t>
      </w:r>
      <w:r>
        <w:rPr>
          <w:rFonts w:hint="eastAsia" w:ascii="宋体" w:hAnsi="宋体" w:cs="仿宋_GB2312"/>
          <w:color w:val="000000" w:themeColor="text1"/>
          <w:kern w:val="0"/>
          <w:sz w:val="24"/>
          <w14:textFill>
            <w14:solidFill>
              <w14:schemeClr w14:val="tx1"/>
            </w14:solidFill>
          </w14:textFill>
        </w:rPr>
        <w:t>份；副本</w:t>
      </w:r>
      <w:r>
        <w:rPr>
          <w:rFonts w:hint="eastAsia" w:ascii="宋体" w:hAnsi="宋体" w:cs="仿宋_GB2312"/>
          <w:color w:val="000000" w:themeColor="text1"/>
          <w:kern w:val="0"/>
          <w:sz w:val="24"/>
          <w:u w:val="single"/>
          <w14:textFill>
            <w14:solidFill>
              <w14:schemeClr w14:val="tx1"/>
            </w14:solidFill>
          </w14:textFill>
        </w:rPr>
        <w:t xml:space="preserve"> 1  </w:t>
      </w:r>
      <w:r>
        <w:rPr>
          <w:rFonts w:hint="eastAsia" w:ascii="宋体" w:hAnsi="宋体" w:cs="仿宋_GB2312"/>
          <w:color w:val="000000" w:themeColor="text1"/>
          <w:kern w:val="0"/>
          <w:sz w:val="24"/>
          <w14:textFill>
            <w14:solidFill>
              <w14:schemeClr w14:val="tx1"/>
            </w14:solidFill>
          </w14:textFill>
        </w:rPr>
        <w:t>份组成</w:t>
      </w:r>
      <w:r>
        <w:rPr>
          <w:rFonts w:hint="eastAsia" w:ascii="宋体" w:hAnsi="宋体"/>
          <w:color w:val="000000" w:themeColor="text1"/>
          <w:sz w:val="24"/>
          <w14:textFill>
            <w14:solidFill>
              <w14:schemeClr w14:val="tx1"/>
            </w14:solidFill>
          </w14:textFill>
        </w:rPr>
        <w:t>。</w:t>
      </w:r>
    </w:p>
    <w:p>
      <w:pPr>
        <w:spacing w:line="440" w:lineRule="exact"/>
        <w:ind w:firstLine="470" w:firstLineChars="196"/>
        <w:rPr>
          <w:rFonts w:ascii="宋体" w:hAnsi="宋体"/>
          <w:b/>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6.3响应文件需进行密封（封面注明项目编号、项目名称、供应商名称、联系人和联系方式），</w:t>
      </w:r>
      <w:r>
        <w:rPr>
          <w:rFonts w:hint="eastAsia" w:ascii="宋体" w:hAnsi="宋体"/>
          <w:b/>
          <w:color w:val="000000" w:themeColor="text1"/>
          <w:sz w:val="24"/>
          <w14:textFill>
            <w14:solidFill>
              <w14:schemeClr w14:val="tx1"/>
            </w14:solidFill>
          </w14:textFill>
        </w:rPr>
        <w:t>在询价截止时间前递交到指定询价地点。</w:t>
      </w:r>
    </w:p>
    <w:p>
      <w:pPr>
        <w:tabs>
          <w:tab w:val="left" w:pos="1095"/>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6.4响应文件的打印和书写应清楚工整，任何行间插字、涂改或增删，必须由供应商的法定代表人或其授权代表签字并盖供应商公章。字迹潦草、表达不清或可能导致非唯一理解的响应文件可能被视为无效。</w:t>
      </w:r>
    </w:p>
    <w:p>
      <w:pPr>
        <w:tabs>
          <w:tab w:val="left" w:pos="1080"/>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6.5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pPr>
        <w:tabs>
          <w:tab w:val="left" w:pos="1080"/>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6.6响应文件需要逐页编目编码。</w:t>
      </w:r>
    </w:p>
    <w:p>
      <w:pPr>
        <w:tabs>
          <w:tab w:val="left" w:pos="1080"/>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6.7响应文件应根据询价采购文件的要求制作，签署、盖章。</w:t>
      </w:r>
    </w:p>
    <w:p>
      <w:pPr>
        <w:tabs>
          <w:tab w:val="left" w:pos="1080"/>
        </w:tabs>
        <w:spacing w:line="440" w:lineRule="exact"/>
        <w:ind w:firstLine="463" w:firstLineChars="19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7.响应文件的递交</w:t>
      </w:r>
    </w:p>
    <w:p>
      <w:pPr>
        <w:tabs>
          <w:tab w:val="left" w:pos="1080"/>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7.1供应商应在询价采购文件规定的提交响应文件截止时间前，将响应文件密封后送达询价地点，现场递交响应文件。在规定的递交响应文件截止时间后送达的响应文件，为无效响应文件，不予接收。</w:t>
      </w:r>
    </w:p>
    <w:p>
      <w:pPr>
        <w:tabs>
          <w:tab w:val="left" w:pos="1080"/>
        </w:tabs>
        <w:spacing w:line="440" w:lineRule="exact"/>
        <w:ind w:firstLine="460" w:firstLineChars="192"/>
        <w:rPr>
          <w:rFonts w:ascii="宋体" w:hAnsi="宋体"/>
          <w:b/>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7.2</w:t>
      </w:r>
      <w:r>
        <w:rPr>
          <w:rFonts w:hint="eastAsia" w:ascii="宋体" w:hAnsi="宋体"/>
          <w:b/>
          <w:color w:val="000000" w:themeColor="text1"/>
          <w:sz w:val="24"/>
          <w14:textFill>
            <w14:solidFill>
              <w14:schemeClr w14:val="tx1"/>
            </w14:solidFill>
          </w14:textFill>
        </w:rPr>
        <w:t>本次采购可以接收邮寄的响应文件（响应文件应先密封后再装入快递袋），但因邮寄导致报价截止时间以后收到的响应文件，响应文件将被拒收。</w:t>
      </w:r>
    </w:p>
    <w:p>
      <w:pPr>
        <w:tabs>
          <w:tab w:val="left" w:pos="1080"/>
        </w:tabs>
        <w:spacing w:line="440" w:lineRule="exact"/>
        <w:ind w:firstLine="463" w:firstLineChars="19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8.响应文件的修改和撤回</w:t>
      </w:r>
    </w:p>
    <w:p>
      <w:pPr>
        <w:pStyle w:val="5"/>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adjustRightInd w:val="0"/>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8.2响应文件中报价如果出现下列不一致的，可按以下原则进行修改：</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大写金额和小写金额不一致的，以大写金额为准</w:t>
      </w:r>
      <w:r>
        <w:rPr>
          <w:rFonts w:hint="eastAsia" w:ascii="宋体" w:hAnsi="宋体"/>
          <w:color w:val="000000" w:themeColor="text1"/>
          <w:sz w:val="24"/>
          <w14:textFill>
            <w14:solidFill>
              <w14:schemeClr w14:val="tx1"/>
            </w14:solidFill>
          </w14:textFill>
        </w:rPr>
        <w:t>，但大写金额文字存在错误的，应当先对大写金额的文字错误进行澄清、说明或者更正，再行修正。</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hint="eastAsia" w:ascii="宋体" w:hAnsi="宋体" w:cs="宋体"/>
          <w:color w:val="000000" w:themeColor="text1"/>
          <w:kern w:val="0"/>
          <w:sz w:val="24"/>
          <w14:textFill>
            <w14:solidFill>
              <w14:schemeClr w14:val="tx1"/>
            </w14:solidFill>
          </w14:textFill>
        </w:rPr>
        <w:t>总价金额与按单价汇总金额不一致的，以单价金额计算结果为准，</w:t>
      </w:r>
      <w:r>
        <w:rPr>
          <w:rFonts w:hint="eastAsia" w:ascii="宋体" w:hAnsi="宋体"/>
          <w:color w:val="000000" w:themeColor="text1"/>
          <w:sz w:val="24"/>
          <w14:textFill>
            <w14:solidFill>
              <w14:schemeClr w14:val="tx1"/>
            </w14:solidFill>
          </w14:textFill>
        </w:rPr>
        <w:t>但</w:t>
      </w:r>
      <w:r>
        <w:rPr>
          <w:rFonts w:hint="eastAsia" w:ascii="宋体" w:hAnsi="宋体" w:cs="宋体"/>
          <w:color w:val="000000" w:themeColor="text1"/>
          <w:kern w:val="0"/>
          <w:sz w:val="24"/>
          <w14:textFill>
            <w14:solidFill>
              <w14:schemeClr w14:val="tx1"/>
            </w14:solidFill>
          </w14:textFill>
        </w:rPr>
        <w:t>单价或者单价汇总金额存在数字或者</w:t>
      </w:r>
      <w:r>
        <w:rPr>
          <w:rFonts w:hint="eastAsia" w:ascii="宋体" w:hAnsi="宋体"/>
          <w:color w:val="000000" w:themeColor="text1"/>
          <w:sz w:val="24"/>
          <w14:textFill>
            <w14:solidFill>
              <w14:schemeClr w14:val="tx1"/>
            </w14:solidFill>
          </w14:textFill>
        </w:rPr>
        <w:t>文字错误的，应当先对</w:t>
      </w:r>
      <w:r>
        <w:rPr>
          <w:rFonts w:hint="eastAsia" w:ascii="宋体" w:hAnsi="宋体" w:cs="宋体"/>
          <w:color w:val="000000" w:themeColor="text1"/>
          <w:kern w:val="0"/>
          <w:sz w:val="24"/>
          <w14:textFill>
            <w14:solidFill>
              <w14:schemeClr w14:val="tx1"/>
            </w14:solidFill>
          </w14:textFill>
        </w:rPr>
        <w:t>数字或者</w:t>
      </w:r>
      <w:r>
        <w:rPr>
          <w:rFonts w:hint="eastAsia" w:ascii="宋体" w:hAnsi="宋体"/>
          <w:color w:val="000000" w:themeColor="text1"/>
          <w:sz w:val="24"/>
          <w14:textFill>
            <w14:solidFill>
              <w14:schemeClr w14:val="tx1"/>
            </w14:solidFill>
          </w14:textFill>
        </w:rPr>
        <w:t>文字错误进行澄清、说明或者更正，再行修正。</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（3）单价金额小数点</w:t>
      </w:r>
      <w:r>
        <w:rPr>
          <w:rFonts w:hint="eastAsia" w:ascii="宋体" w:hAnsi="宋体" w:cs="宋体"/>
          <w:color w:val="000000" w:themeColor="text1"/>
          <w:kern w:val="0"/>
          <w:sz w:val="24"/>
          <w14:textFill>
            <w14:solidFill>
              <w14:schemeClr w14:val="tx1"/>
            </w14:solidFill>
          </w14:textFill>
        </w:rPr>
        <w:t>或者百分比有明显错位的</w:t>
      </w:r>
      <w:r>
        <w:rPr>
          <w:rFonts w:hint="eastAsia" w:ascii="宋体" w:hAnsi="宋体"/>
          <w:color w:val="000000" w:themeColor="text1"/>
          <w:sz w:val="24"/>
          <w14:textFill>
            <w14:solidFill>
              <w14:schemeClr w14:val="tx1"/>
            </w14:solidFill>
          </w14:textFill>
        </w:rPr>
        <w:t>，以总价为准，修正单价。</w:t>
      </w:r>
    </w:p>
    <w:p>
      <w:pPr>
        <w:spacing w:line="44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8.3 供应商对其提交的响应文件的真实性、合法性承担法律责任。</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五、询价及评审过程</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询价评审小组的组建及评审工作按照本文件第五章的规定进行。</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六、成交事项</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1.供应商确认通知单为签订采购合同的依据之一，是合同的有效组成部分。</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2.供应商成交后，拒绝领取供应商确认通知单的，采购人将于成交供应商确定之日起5个工作日内发出供应商确认通知单。</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3.供应商确认通知单对采购人和成交人均具有法律效力。供应商确认通知单发出后，采购人改变成交结果，或者成交人无正当理由放弃成交的，应当承担相应的法律责任。</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4.采购人确定成交供应商过程中，发现成交候选供应商有下列情形之一的，应当不予确定其为成交供应商：</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（1）发现成交候选供应商存在禁止参加本项目采购活动的违法行为的；</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（2）成交候选供应商因不可抗力，不能继续参加采购活动；</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（3）成交候选供应商低于成本价竞争；</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（4）成交候选供应商提供虚假材料；</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（5）成交候选供应商恶意串通。</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成交候选供应商有本条情形之一的，采购人可以确定后一位成交候选供应商为成交供应商，依次类推或重新组织采购。</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七、合同事项</w:t>
      </w:r>
      <w:bookmarkStart w:id="0" w:name="_Toc209847069"/>
      <w:bookmarkStart w:id="1" w:name="_Toc101338364"/>
      <w:bookmarkStart w:id="2" w:name="_Toc430773927"/>
      <w:bookmarkStart w:id="3" w:name="_Toc101174151"/>
      <w:bookmarkStart w:id="4" w:name="_Toc101250646"/>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1.签订合同</w:t>
      </w:r>
      <w:bookmarkEnd w:id="0"/>
      <w:bookmarkEnd w:id="1"/>
      <w:bookmarkEnd w:id="2"/>
      <w:bookmarkEnd w:id="3"/>
      <w:bookmarkEnd w:id="4"/>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1.1 成交供应商应在供应商确认通知单发出之日起三日内与采购人签订采购合同。由于成交供应商的原因逾期未与采购人签订采购合同的，将视为放弃成交，取消其成交资格并将按相关规定进行处理。</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 询价文件、成交供应商的响应文件及双方确认的澄清文件等，均为有法律约束力的经济合同的组成部分。</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1.4 成交供应商因不可抗力原因不能履行采购合同或放弃成交的，采购人可以与排在成交供应商之后第一位的成交候选人签订采购合同，以此类推。</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 询价采购文件、成交供应商提交的响应文件、询价中的报价、成交供应商承诺书、供应商确认通知单等均称为有法律约束力的合同组成内容。</w:t>
      </w:r>
    </w:p>
    <w:p>
      <w:pPr>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2.合同转包</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成交供应商转包的，视同拒绝履行采购合同义务，将依法追究法律责任。</w:t>
      </w:r>
    </w:p>
    <w:p>
      <w:pPr>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3.履行合同</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3.1 成交供应商与采购人签订合同后，合同双方应严格执行合同条款，履行合同规定的义务，保证合同的顺利完成。</w:t>
      </w:r>
    </w:p>
    <w:p>
      <w:pPr>
        <w:spacing w:line="440" w:lineRule="exact"/>
        <w:ind w:firstLine="480"/>
        <w:rPr>
          <w:rFonts w:ascii="宋体" w:hAnsi="宋体"/>
          <w:b/>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3.2 在合同履行过程中，如发生合同纠纷，合同双方应按照《合同法》的有关规定进行处理。</w:t>
      </w:r>
    </w:p>
    <w:p>
      <w:pPr>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4.验收</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本项目采购人将严格按照相关法律法规、制度规定、询价采购文件以及采购合同的要求进行验收。</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八、询价纪律要求</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供应商参加本项目询价不得有下列情形：</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（1）提供虚假材料谋取成交；</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（2）采取不正当手段诋毁、排挤其他供应商；</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（3）与采购人、采购代理机构、或其他供应商恶意串通；</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（4）向采购人、采购代理机构、询价小组成员行贿或者提供其他不正当利益；</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（5）在询价过程中与采购人、采购代理机构进行协商；</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（6）成交后无正当理由拒不与采购人签订采购合同；</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（7）未按照询价文件确定的事项签订采购合同；</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（8）将采购合同转包或者违规分包；</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（9）提供假冒伪劣产品；</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（10）擅自变更、中止或者终止采购合同；</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（11）法律法规规定的其他情形。</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供应商有上述情形的，按照规定追究法律责任，具备（1）-（10）条情形之一的，同时将取消被确认为成交供应商的资格或者认定成交无效。</w:t>
      </w:r>
    </w:p>
    <w:p>
      <w:pPr>
        <w:tabs>
          <w:tab w:val="left" w:pos="851"/>
        </w:tabs>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九、质疑和投诉</w:t>
      </w:r>
    </w:p>
    <w:p>
      <w:pPr>
        <w:tabs>
          <w:tab w:val="left" w:pos="1095"/>
        </w:tabs>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1. 询价采购的质疑</w:t>
      </w:r>
    </w:p>
    <w:p>
      <w:pPr>
        <w:tabs>
          <w:tab w:val="left" w:pos="1095"/>
        </w:tabs>
        <w:spacing w:line="440" w:lineRule="exact"/>
        <w:ind w:firstLine="480" w:firstLineChars="200"/>
        <w:rPr>
          <w:rFonts w:ascii="宋体" w:hAnsi="宋体"/>
          <w:color w:val="000000" w:themeColor="text1"/>
          <w:sz w:val="24"/>
          <w:lang w:val="zh-CN"/>
          <w14:textFill>
            <w14:solidFill>
              <w14:schemeClr w14:val="tx1"/>
            </w14:solidFill>
          </w14:textFill>
        </w:rPr>
      </w:pPr>
      <w:r>
        <w:rPr>
          <w:rFonts w:hint="eastAsia" w:ascii="宋体" w:hAnsi="宋体"/>
          <w:color w:val="000000" w:themeColor="text1"/>
          <w:sz w:val="24"/>
          <w14:textFill>
            <w14:solidFill>
              <w14:schemeClr w14:val="tx1"/>
            </w14:solidFill>
          </w14:textFill>
        </w:rPr>
        <w:t>1.1供应商对采购活动的质疑需以书面的形式向采购人提出。</w:t>
      </w:r>
      <w:r>
        <w:rPr>
          <w:rFonts w:hint="eastAsia" w:ascii="宋体" w:hAnsi="宋体"/>
          <w:color w:val="000000" w:themeColor="text1"/>
          <w:sz w:val="24"/>
          <w:lang w:val="zh-CN"/>
          <w14:textFill>
            <w14:solidFill>
              <w14:schemeClr w14:val="tx1"/>
            </w14:solidFill>
          </w14:textFill>
        </w:rPr>
        <w:t>质疑不得超出询价文件、询价过程、询价结果的范围。</w:t>
      </w:r>
    </w:p>
    <w:p>
      <w:pPr>
        <w:tabs>
          <w:tab w:val="left" w:pos="1095"/>
        </w:tabs>
        <w:spacing w:line="440" w:lineRule="exact"/>
        <w:ind w:firstLine="480" w:firstLineChars="200"/>
        <w:rPr>
          <w:rFonts w:ascii="宋体" w:hAnsi="宋体"/>
          <w:color w:val="000000" w:themeColor="text1"/>
          <w:sz w:val="24"/>
          <w:lang w:val="zh-CN"/>
          <w14:textFill>
            <w14:solidFill>
              <w14:schemeClr w14:val="tx1"/>
            </w14:solidFill>
          </w14:textFill>
        </w:rPr>
      </w:pPr>
      <w:r>
        <w:rPr>
          <w:rFonts w:hint="eastAsia" w:ascii="宋体" w:hAnsi="宋体"/>
          <w:color w:val="000000" w:themeColor="text1"/>
          <w:sz w:val="24"/>
          <w:lang w:val="zh-CN"/>
          <w14:textFill>
            <w14:solidFill>
              <w14:schemeClr w14:val="tx1"/>
            </w14:solidFill>
          </w14:textFill>
        </w:rPr>
        <w:t>1.2询价采购提出质疑期限的计算：</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（1）对采购文件提出质疑的，质疑期限按收到采购文件或采购公告之日起，递交响应文件截止之日止计算。</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（2）对采购过程提出质疑的，质疑期限按采购文件或采购公告发出之日起，采购程序环节结束之日止计算。</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（3）对成交结果提出质疑的，质疑期限按成交结果公示之日起，成交结果公告期限届满之日止计算。</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zh-CN"/>
          <w14:textFill>
            <w14:solidFill>
              <w14:schemeClr w14:val="tx1"/>
            </w14:solidFill>
          </w14:textFill>
        </w:rPr>
        <w:t>1.3质疑函</w:t>
      </w:r>
      <w:r>
        <w:rPr>
          <w:rFonts w:hint="eastAsia" w:ascii="宋体" w:hAnsi="宋体"/>
          <w:color w:val="000000" w:themeColor="text1"/>
          <w:sz w:val="24"/>
          <w14:textFill>
            <w14:solidFill>
              <w14:schemeClr w14:val="tx1"/>
            </w14:solidFill>
          </w14:textFill>
        </w:rPr>
        <w:t>应当但不限于包括下列内容：</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（1）质疑人的姓名或者名称、住所、联系方式及相关证明；</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（2）被质疑人的名称、住所、联系方式；</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（3）具体的质疑事项、事实根据和法律依据。</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1.4采购人需签收书面的质疑函</w:t>
      </w:r>
      <w:r>
        <w:rPr>
          <w:rFonts w:hint="eastAsia" w:ascii="宋体" w:hAnsi="宋体"/>
          <w:color w:val="000000" w:themeColor="text1"/>
          <w:sz w:val="24"/>
          <w:lang w:val="zh-CN"/>
          <w14:textFill>
            <w14:solidFill>
              <w14:schemeClr w14:val="tx1"/>
            </w14:solidFill>
          </w14:textFill>
        </w:rPr>
        <w:t>，并在三个工作日内答复供应商的质疑。</w:t>
      </w:r>
    </w:p>
    <w:p>
      <w:pPr>
        <w:tabs>
          <w:tab w:val="left" w:pos="1095"/>
        </w:tabs>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 询价采购的投诉</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2.1质疑供应商对采购业务部门、采购代理机构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   </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2.2投诉书应当但不限于包括下列内容：</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（1）投诉人的姓名或者名称、住所、联系方式及相关证明；</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（2）被投诉人的名称、住所、联系方式；</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（3）具体的投诉事项、事实根据和法律依据；</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（4）质疑和质疑答复情况及相关证明材料。</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投诉人为自然人的，应当由本人签字。投诉人为法人的，应当由其法定代表人签字盖章并加盖公章。投诉人为其他组织的，应当由其主要负责人签字盖章并加盖公章。</w:t>
      </w:r>
    </w:p>
    <w:p>
      <w:pPr>
        <w:tabs>
          <w:tab w:val="left" w:pos="1095"/>
        </w:tabs>
        <w:spacing w:line="440" w:lineRule="exact"/>
        <w:ind w:firstLine="480" w:firstLineChars="200"/>
        <w:rPr>
          <w:rFonts w:ascii="宋体" w:hAnsi="宋体"/>
          <w:b/>
          <w:color w:val="auto"/>
          <w:sz w:val="24"/>
          <w:u w:val="single"/>
        </w:rPr>
      </w:pPr>
      <w:r>
        <w:rPr>
          <w:rFonts w:hint="eastAsia" w:ascii="宋体" w:hAnsi="宋体"/>
          <w:color w:val="000000" w:themeColor="text1"/>
          <w:sz w:val="24"/>
          <w14:textFill>
            <w14:solidFill>
              <w14:schemeClr w14:val="tx1"/>
            </w14:solidFill>
          </w14:textFill>
        </w:rPr>
        <w:t>2.3投诉的处理由采购人负责答复。投诉处理部门为</w:t>
      </w:r>
      <w:r>
        <w:rPr>
          <w:rFonts w:hint="eastAsia" w:ascii="宋体" w:hAnsi="宋体"/>
          <w:b/>
          <w:color w:val="auto"/>
          <w:sz w:val="24"/>
          <w:u w:val="single"/>
          <w:lang w:eastAsia="zh-CN"/>
        </w:rPr>
        <w:t>都江堰光明光电材料有限责任公司</w:t>
      </w:r>
      <w:r>
        <w:rPr>
          <w:rFonts w:hint="eastAsia" w:ascii="宋体" w:hAnsi="宋体"/>
          <w:b/>
          <w:color w:val="auto"/>
          <w:sz w:val="24"/>
          <w:u w:val="single"/>
        </w:rPr>
        <w:t>党支部纪检委员，联系人：</w:t>
      </w:r>
      <w:r>
        <w:rPr>
          <w:rFonts w:hint="eastAsia" w:ascii="宋体" w:hAnsi="宋体"/>
          <w:b/>
          <w:color w:val="auto"/>
          <w:sz w:val="24"/>
          <w:u w:val="single"/>
          <w:lang w:eastAsia="zh-CN"/>
        </w:rPr>
        <w:t>余华</w:t>
      </w:r>
      <w:r>
        <w:rPr>
          <w:rFonts w:hint="eastAsia" w:ascii="宋体" w:hAnsi="宋体"/>
          <w:b/>
          <w:color w:val="auto"/>
          <w:sz w:val="24"/>
          <w:u w:val="single"/>
        </w:rPr>
        <w:t xml:space="preserve"> ，联系电话：028-</w:t>
      </w:r>
      <w:r>
        <w:rPr>
          <w:rFonts w:hint="eastAsia" w:ascii="宋体" w:hAnsi="宋体"/>
          <w:b/>
          <w:color w:val="auto"/>
          <w:sz w:val="24"/>
          <w:u w:val="single"/>
          <w:lang w:val="en-US" w:eastAsia="zh-CN"/>
        </w:rPr>
        <w:t>87117177</w:t>
      </w:r>
      <w:r>
        <w:rPr>
          <w:rFonts w:hint="eastAsia" w:ascii="宋体" w:hAnsi="宋体"/>
          <w:b/>
          <w:color w:val="auto"/>
          <w:sz w:val="24"/>
          <w:u w:val="single"/>
        </w:rPr>
        <w:t>。</w:t>
      </w:r>
    </w:p>
    <w:p>
      <w:pPr>
        <w:tabs>
          <w:tab w:val="left" w:pos="851"/>
        </w:tabs>
        <w:spacing w:line="440" w:lineRule="exact"/>
        <w:ind w:firstLine="723" w:firstLineChars="200"/>
        <w:rPr>
          <w:rFonts w:ascii="宋体" w:hAnsi="宋体"/>
          <w:b/>
          <w:color w:val="auto"/>
          <w:sz w:val="36"/>
          <w:szCs w:val="36"/>
        </w:rPr>
      </w:pPr>
      <w:r>
        <w:rPr>
          <w:rFonts w:hint="eastAsia" w:ascii="宋体" w:hAnsi="宋体"/>
          <w:b/>
          <w:color w:val="auto"/>
          <w:sz w:val="36"/>
          <w:szCs w:val="36"/>
        </w:rPr>
        <w:t>第三章  采购项目技术、服务及其他商务要求</w:t>
      </w:r>
    </w:p>
    <w:p>
      <w:pPr>
        <w:adjustRightInd w:val="0"/>
        <w:snapToGrid w:val="0"/>
        <w:spacing w:line="440" w:lineRule="exact"/>
        <w:ind w:right="399" w:rightChars="190" w:firstLine="482" w:firstLineChars="200"/>
        <w:rPr>
          <w:rFonts w:ascii="宋体" w:hAnsi="宋体"/>
          <w:b/>
          <w:color w:val="auto"/>
          <w:sz w:val="24"/>
        </w:rPr>
      </w:pPr>
      <w:r>
        <w:rPr>
          <w:rFonts w:hint="eastAsia" w:ascii="宋体" w:hAnsi="宋体"/>
          <w:b/>
          <w:color w:val="auto"/>
          <w:sz w:val="24"/>
        </w:rPr>
        <w:t>(一)、商务要求</w:t>
      </w:r>
    </w:p>
    <w:p>
      <w:pPr>
        <w:snapToGrid w:val="0"/>
        <w:spacing w:line="440" w:lineRule="exact"/>
        <w:ind w:firstLine="482" w:firstLineChars="200"/>
        <w:textAlignment w:val="baseline"/>
        <w:rPr>
          <w:rFonts w:ascii="宋体" w:hAnsi="宋体"/>
          <w:b/>
          <w:bCs/>
          <w:color w:val="auto"/>
          <w:sz w:val="24"/>
        </w:rPr>
      </w:pPr>
      <w:r>
        <w:rPr>
          <w:rFonts w:hint="eastAsia" w:ascii="宋体" w:hAnsi="宋体"/>
          <w:b/>
          <w:bCs/>
          <w:color w:val="auto"/>
          <w:sz w:val="24"/>
        </w:rPr>
        <w:t>1.交货期及地点：</w:t>
      </w:r>
    </w:p>
    <w:p>
      <w:pPr>
        <w:spacing w:line="440" w:lineRule="exact"/>
        <w:ind w:firstLine="480" w:firstLineChars="200"/>
        <w:jc w:val="left"/>
        <w:rPr>
          <w:rFonts w:ascii="宋体" w:hAnsi="宋体"/>
          <w:color w:val="auto"/>
          <w:sz w:val="24"/>
        </w:rPr>
      </w:pPr>
      <w:r>
        <w:rPr>
          <w:rFonts w:hint="eastAsia" w:ascii="宋体" w:hAnsi="宋体"/>
          <w:bCs/>
          <w:color w:val="auto"/>
          <w:sz w:val="24"/>
        </w:rPr>
        <w:t>1.1</w:t>
      </w:r>
      <w:r>
        <w:rPr>
          <w:rFonts w:ascii="宋体" w:hAnsi="宋体"/>
          <w:color w:val="auto"/>
          <w:sz w:val="24"/>
        </w:rPr>
        <w:t>交</w:t>
      </w:r>
      <w:r>
        <w:rPr>
          <w:rFonts w:ascii="宋体" w:hAnsi="宋体"/>
          <w:color w:val="auto"/>
          <w:spacing w:val="-3"/>
          <w:sz w:val="24"/>
        </w:rPr>
        <w:t>货</w:t>
      </w:r>
      <w:r>
        <w:rPr>
          <w:rFonts w:ascii="宋体" w:hAnsi="宋体"/>
          <w:color w:val="auto"/>
          <w:sz w:val="24"/>
        </w:rPr>
        <w:t>地</w:t>
      </w:r>
      <w:r>
        <w:rPr>
          <w:rFonts w:ascii="宋体" w:hAnsi="宋体"/>
          <w:color w:val="auto"/>
          <w:spacing w:val="-3"/>
          <w:sz w:val="24"/>
        </w:rPr>
        <w:t>点</w:t>
      </w:r>
      <w:r>
        <w:rPr>
          <w:rFonts w:hint="eastAsia" w:ascii="宋体" w:hAnsi="宋体"/>
          <w:color w:val="auto"/>
          <w:sz w:val="24"/>
        </w:rPr>
        <w:t>：</w:t>
      </w:r>
      <w:r>
        <w:rPr>
          <w:rFonts w:hint="eastAsia" w:ascii="宋体" w:hAnsi="宋体"/>
          <w:bCs/>
          <w:color w:val="auto"/>
          <w:sz w:val="24"/>
          <w:lang w:eastAsia="zh-CN"/>
        </w:rPr>
        <w:t>都江堰市蒲阳镇光泰路</w:t>
      </w:r>
      <w:r>
        <w:rPr>
          <w:rFonts w:hint="eastAsia" w:ascii="宋体" w:hAnsi="宋体"/>
          <w:bCs/>
          <w:color w:val="auto"/>
          <w:sz w:val="24"/>
          <w:lang w:val="en-US" w:eastAsia="zh-CN"/>
        </w:rPr>
        <w:t>10号</w:t>
      </w:r>
      <w:r>
        <w:rPr>
          <w:rFonts w:hint="eastAsia" w:ascii="宋体" w:hAnsi="宋体"/>
          <w:color w:val="auto"/>
          <w:sz w:val="24"/>
        </w:rPr>
        <w:t>；</w:t>
      </w:r>
    </w:p>
    <w:p>
      <w:pPr>
        <w:spacing w:line="440" w:lineRule="exact"/>
        <w:ind w:firstLine="480" w:firstLineChars="200"/>
        <w:jc w:val="left"/>
        <w:rPr>
          <w:rFonts w:ascii="宋体" w:hAnsi="宋体"/>
          <w:color w:val="auto"/>
          <w:sz w:val="24"/>
        </w:rPr>
      </w:pPr>
      <w:r>
        <w:rPr>
          <w:rFonts w:hint="eastAsia" w:ascii="宋体" w:hAnsi="宋体"/>
          <w:color w:val="auto"/>
          <w:sz w:val="24"/>
        </w:rPr>
        <w:t>1.2</w:t>
      </w:r>
      <w:r>
        <w:rPr>
          <w:rFonts w:ascii="宋体" w:hAnsi="宋体"/>
          <w:color w:val="auto"/>
          <w:sz w:val="24"/>
        </w:rPr>
        <w:t>交</w:t>
      </w:r>
      <w:r>
        <w:rPr>
          <w:rFonts w:ascii="宋体" w:hAnsi="宋体"/>
          <w:color w:val="auto"/>
          <w:spacing w:val="-3"/>
          <w:sz w:val="24"/>
        </w:rPr>
        <w:t>货</w:t>
      </w:r>
      <w:r>
        <w:rPr>
          <w:rFonts w:hint="eastAsia" w:ascii="宋体" w:hAnsi="宋体"/>
          <w:color w:val="auto"/>
          <w:sz w:val="24"/>
        </w:rPr>
        <w:t>期：合同签订后</w:t>
      </w:r>
      <w:r>
        <w:rPr>
          <w:rFonts w:hint="eastAsia" w:ascii="宋体" w:hAnsi="宋体"/>
          <w:color w:val="auto"/>
          <w:sz w:val="24"/>
          <w:lang w:val="en-US" w:eastAsia="zh-CN"/>
        </w:rPr>
        <w:t>30</w:t>
      </w:r>
      <w:r>
        <w:rPr>
          <w:rFonts w:hint="eastAsia" w:ascii="宋体" w:hAnsi="宋体"/>
          <w:color w:val="auto"/>
          <w:sz w:val="24"/>
        </w:rPr>
        <w:t>天内交货并安装调试完毕。</w:t>
      </w:r>
    </w:p>
    <w:p>
      <w:pPr>
        <w:spacing w:line="440" w:lineRule="exact"/>
        <w:ind w:firstLine="480" w:firstLineChars="200"/>
        <w:rPr>
          <w:rFonts w:ascii="宋体" w:hAnsi="宋体"/>
          <w:b/>
          <w:bCs/>
          <w:color w:val="auto"/>
          <w:sz w:val="24"/>
        </w:rPr>
      </w:pPr>
      <w:r>
        <w:rPr>
          <w:rFonts w:hint="eastAsia"/>
          <w:color w:val="auto"/>
          <w:sz w:val="24"/>
        </w:rPr>
        <w:t>*</w:t>
      </w:r>
      <w:r>
        <w:rPr>
          <w:rFonts w:hint="eastAsia" w:ascii="宋体" w:hAnsi="宋体"/>
          <w:b/>
          <w:bCs/>
          <w:color w:val="auto"/>
          <w:sz w:val="24"/>
        </w:rPr>
        <w:t>2.付款方法和条件</w:t>
      </w:r>
    </w:p>
    <w:p>
      <w:pPr>
        <w:spacing w:line="360" w:lineRule="auto"/>
        <w:ind w:firstLine="480" w:firstLineChars="200"/>
        <w:rPr>
          <w:rFonts w:ascii="宋体" w:hAnsi="宋体" w:cs="宋体"/>
          <w:color w:val="auto"/>
          <w:sz w:val="24"/>
        </w:rPr>
      </w:pPr>
      <w:r>
        <w:rPr>
          <w:rFonts w:hint="eastAsia" w:ascii="宋体" w:hAnsi="宋体" w:cs="宋体"/>
          <w:color w:val="auto"/>
          <w:sz w:val="24"/>
        </w:rPr>
        <w:t>2.1</w:t>
      </w:r>
      <w:r>
        <w:rPr>
          <w:rFonts w:hint="eastAsia" w:ascii="宋体" w:hAnsi="宋体" w:eastAsia="宋体" w:cs="宋体"/>
          <w:color w:val="auto"/>
          <w:sz w:val="24"/>
        </w:rPr>
        <w:t>合同签订后</w:t>
      </w:r>
      <w:r>
        <w:rPr>
          <w:rFonts w:hint="eastAsia" w:ascii="宋体" w:hAnsi="宋体" w:cs="宋体"/>
          <w:color w:val="auto"/>
          <w:sz w:val="24"/>
        </w:rPr>
        <w:t>三</w:t>
      </w:r>
      <w:r>
        <w:rPr>
          <w:rFonts w:hint="eastAsia" w:ascii="宋体" w:hAnsi="宋体" w:eastAsia="宋体" w:cs="宋体"/>
          <w:color w:val="auto"/>
          <w:sz w:val="24"/>
        </w:rPr>
        <w:t xml:space="preserve">个工作日内支付合同总额的30% </w:t>
      </w:r>
      <w:r>
        <w:rPr>
          <w:rFonts w:hint="eastAsia" w:ascii="宋体" w:hAnsi="宋体" w:cs="宋体"/>
          <w:color w:val="auto"/>
          <w:sz w:val="24"/>
        </w:rPr>
        <w:t>；</w:t>
      </w:r>
    </w:p>
    <w:p>
      <w:pPr>
        <w:spacing w:line="288" w:lineRule="auto"/>
        <w:ind w:left="849" w:leftChars="227" w:hanging="372" w:hangingChars="155"/>
        <w:rPr>
          <w:rFonts w:ascii="宋体" w:hAnsi="宋体" w:cs="宋体"/>
          <w:color w:val="auto"/>
          <w:sz w:val="24"/>
        </w:rPr>
      </w:pPr>
      <w:r>
        <w:rPr>
          <w:rFonts w:hint="eastAsia" w:ascii="宋体" w:hAnsi="宋体" w:cs="宋体"/>
          <w:color w:val="auto"/>
          <w:sz w:val="24"/>
        </w:rPr>
        <w:t>2.2竣工验收合格且竣工资料提交完毕、</w:t>
      </w:r>
      <w:r>
        <w:rPr>
          <w:rFonts w:hint="eastAsia" w:ascii="宋体" w:hAnsi="宋体" w:eastAsia="宋体" w:cs="宋体"/>
          <w:color w:val="auto"/>
          <w:sz w:val="24"/>
        </w:rPr>
        <w:t>达到技术要求，</w:t>
      </w:r>
      <w:r>
        <w:rPr>
          <w:rFonts w:hint="eastAsia" w:ascii="宋体" w:hAnsi="宋体" w:cs="宋体"/>
          <w:color w:val="auto"/>
          <w:sz w:val="24"/>
        </w:rPr>
        <w:t>乙方</w:t>
      </w:r>
      <w:r>
        <w:rPr>
          <w:rFonts w:hint="eastAsia" w:ascii="宋体" w:hAnsi="宋体" w:eastAsia="宋体" w:cs="宋体"/>
          <w:color w:val="auto"/>
          <w:sz w:val="24"/>
        </w:rPr>
        <w:t>开具13%增值税发票</w:t>
      </w:r>
      <w:r>
        <w:rPr>
          <w:rFonts w:hint="eastAsia" w:ascii="宋体" w:hAnsi="宋体" w:cs="宋体"/>
          <w:color w:val="auto"/>
          <w:sz w:val="24"/>
        </w:rPr>
        <w:t>，甲方</w:t>
      </w:r>
      <w:r>
        <w:rPr>
          <w:rFonts w:hint="eastAsia" w:ascii="宋体" w:hAnsi="宋体" w:cs="宋体"/>
          <w:color w:val="auto"/>
          <w:sz w:val="24"/>
          <w:lang w:eastAsia="zh-CN"/>
        </w:rPr>
        <w:t>三个月</w:t>
      </w:r>
      <w:r>
        <w:rPr>
          <w:rFonts w:hint="eastAsia" w:ascii="宋体" w:hAnsi="宋体" w:eastAsia="宋体" w:cs="宋体"/>
          <w:color w:val="auto"/>
          <w:sz w:val="24"/>
        </w:rPr>
        <w:t xml:space="preserve">内支付合同总额的60% </w:t>
      </w:r>
      <w:r>
        <w:rPr>
          <w:rFonts w:hint="eastAsia" w:ascii="宋体" w:hAnsi="宋体" w:cs="宋体"/>
          <w:color w:val="auto"/>
          <w:sz w:val="24"/>
        </w:rPr>
        <w:t>；</w:t>
      </w:r>
    </w:p>
    <w:p>
      <w:pPr>
        <w:spacing w:line="360" w:lineRule="auto"/>
        <w:ind w:firstLine="480" w:firstLineChars="200"/>
        <w:rPr>
          <w:rFonts w:ascii="宋体" w:hAnsi="宋体" w:cs="宋体"/>
          <w:sz w:val="24"/>
        </w:rPr>
      </w:pPr>
      <w:r>
        <w:rPr>
          <w:rFonts w:hint="eastAsia" w:ascii="宋体" w:hAnsi="宋体" w:cs="宋体"/>
          <w:sz w:val="24"/>
        </w:rPr>
        <w:t>2.3剩余10%作为质量保证金。</w:t>
      </w:r>
      <w:r>
        <w:rPr>
          <w:rFonts w:hint="eastAsia" w:ascii="宋体" w:hAnsi="宋体" w:eastAsia="宋体" w:cs="宋体"/>
          <w:sz w:val="24"/>
        </w:rPr>
        <w:t>验收合格之日起计算满</w:t>
      </w:r>
      <w:r>
        <w:rPr>
          <w:rFonts w:hint="eastAsia" w:ascii="宋体" w:hAnsi="宋体" w:cs="宋体"/>
          <w:sz w:val="24"/>
          <w:u w:val="single"/>
        </w:rPr>
        <w:t>壹年</w:t>
      </w:r>
      <w:r>
        <w:rPr>
          <w:rFonts w:hint="eastAsia" w:ascii="宋体" w:hAnsi="宋体" w:cs="宋体"/>
          <w:sz w:val="24"/>
        </w:rPr>
        <w:t>满且无质量争议甲方向乙方无息支付</w:t>
      </w:r>
      <w:r>
        <w:rPr>
          <w:rFonts w:hint="eastAsia" w:ascii="宋体" w:hAnsi="宋体" w:cs="宋体"/>
          <w:sz w:val="24"/>
          <w:u w:val="single"/>
        </w:rPr>
        <w:t>10%</w:t>
      </w:r>
      <w:r>
        <w:rPr>
          <w:rFonts w:hint="eastAsia" w:ascii="宋体" w:hAnsi="宋体" w:cs="宋体"/>
          <w:sz w:val="24"/>
        </w:rPr>
        <w:t>质量保证金；</w:t>
      </w:r>
    </w:p>
    <w:p>
      <w:pPr>
        <w:spacing w:line="440" w:lineRule="exact"/>
        <w:ind w:firstLine="482" w:firstLineChars="200"/>
        <w:rPr>
          <w:rFonts w:ascii="宋体" w:hAnsi="宋体"/>
          <w:b/>
          <w:sz w:val="24"/>
        </w:rPr>
      </w:pPr>
      <w:r>
        <w:rPr>
          <w:rFonts w:hint="eastAsia" w:ascii="宋体" w:hAnsi="宋体"/>
          <w:b/>
          <w:sz w:val="24"/>
        </w:rPr>
        <w:t>3.售后要求</w:t>
      </w:r>
    </w:p>
    <w:p>
      <w:pPr>
        <w:spacing w:line="460" w:lineRule="exact"/>
        <w:ind w:right="-73" w:firstLine="470" w:firstLineChars="196"/>
        <w:rPr>
          <w:rFonts w:ascii="宋体" w:hAnsi="宋体"/>
          <w:sz w:val="24"/>
        </w:rPr>
      </w:pPr>
      <w:r>
        <w:rPr>
          <w:rFonts w:hint="eastAsia" w:ascii="宋体" w:hAnsi="宋体"/>
          <w:sz w:val="24"/>
        </w:rPr>
        <w:t>3.1验收通过之日起对货物免费保修</w:t>
      </w:r>
      <w:r>
        <w:rPr>
          <w:rFonts w:ascii="宋体" w:hAnsi="宋体"/>
          <w:sz w:val="24"/>
          <w:u w:val="single"/>
        </w:rPr>
        <w:t xml:space="preserve">  1  </w:t>
      </w:r>
      <w:r>
        <w:rPr>
          <w:rFonts w:hint="eastAsia" w:ascii="宋体" w:hAnsi="宋体"/>
          <w:sz w:val="24"/>
        </w:rPr>
        <w:t>年。在质保期内供应商对产品质量实行三包，因设备配置或制造质量问题而引起的故障，供应商应在</w:t>
      </w:r>
      <w:r>
        <w:rPr>
          <w:rFonts w:hint="eastAsia" w:ascii="宋体" w:hAnsi="宋体"/>
          <w:sz w:val="24"/>
          <w:u w:val="single"/>
        </w:rPr>
        <w:t>36</w:t>
      </w:r>
      <w:r>
        <w:rPr>
          <w:rFonts w:hint="eastAsia" w:ascii="宋体" w:hAnsi="宋体"/>
          <w:sz w:val="24"/>
        </w:rPr>
        <w:t>小时内立即予以免费维修或更换，由此引起的一切费用由供应商承担。</w:t>
      </w:r>
    </w:p>
    <w:p>
      <w:pPr>
        <w:spacing w:line="460" w:lineRule="exact"/>
        <w:ind w:right="-73" w:firstLine="470" w:firstLineChars="196"/>
        <w:rPr>
          <w:rFonts w:ascii="宋体" w:hAnsi="宋体"/>
          <w:sz w:val="24"/>
        </w:rPr>
      </w:pPr>
      <w:r>
        <w:rPr>
          <w:rFonts w:hint="eastAsia" w:ascii="宋体" w:hAnsi="宋体"/>
          <w:sz w:val="24"/>
        </w:rPr>
        <w:t>3.2技术支持响应时间。一般问题</w:t>
      </w:r>
      <w:r>
        <w:rPr>
          <w:rFonts w:ascii="宋体" w:hAnsi="宋体"/>
          <w:sz w:val="24"/>
          <w:u w:val="single"/>
        </w:rPr>
        <w:t xml:space="preserve">  4  </w:t>
      </w:r>
      <w:r>
        <w:rPr>
          <w:rFonts w:hint="eastAsia" w:ascii="宋体" w:hAnsi="宋体"/>
          <w:sz w:val="24"/>
        </w:rPr>
        <w:t>小时内电话支持，难点、重点问题</w:t>
      </w:r>
      <w:r>
        <w:rPr>
          <w:rFonts w:ascii="宋体" w:hAnsi="宋体"/>
          <w:sz w:val="24"/>
          <w:u w:val="single"/>
        </w:rPr>
        <w:t xml:space="preserve">  3  </w:t>
      </w:r>
      <w:r>
        <w:rPr>
          <w:rFonts w:hint="eastAsia" w:ascii="宋体" w:hAnsi="宋体"/>
          <w:sz w:val="24"/>
        </w:rPr>
        <w:t>天内现场解决，质保期内相关费用由供应商承担，质保期满后供应商收取成本费。</w:t>
      </w:r>
    </w:p>
    <w:p>
      <w:pPr>
        <w:spacing w:line="460" w:lineRule="exact"/>
        <w:ind w:right="-73" w:firstLine="470" w:firstLineChars="196"/>
        <w:rPr>
          <w:rFonts w:ascii="宋体" w:hAnsi="宋体"/>
          <w:sz w:val="24"/>
        </w:rPr>
      </w:pPr>
      <w:r>
        <w:rPr>
          <w:rFonts w:hint="eastAsia" w:ascii="新宋体" w:hAnsi="新宋体" w:eastAsia="新宋体"/>
          <w:sz w:val="24"/>
          <w:szCs w:val="24"/>
        </w:rPr>
        <w:t>3.3在质保期内工程质量发生问题，供应应积极配合采购人进行整改且采购人有权要求质保期从整改之日起重新计算。</w:t>
      </w:r>
    </w:p>
    <w:p>
      <w:pPr>
        <w:spacing w:line="440" w:lineRule="exact"/>
        <w:ind w:firstLine="482" w:firstLineChars="200"/>
        <w:rPr>
          <w:rFonts w:ascii="宋体" w:hAnsi="宋体"/>
          <w:b/>
          <w:bCs/>
          <w:color w:val="000000" w:themeColor="text1"/>
          <w:sz w:val="24"/>
          <w14:textFill>
            <w14:solidFill>
              <w14:schemeClr w14:val="tx1"/>
            </w14:solidFill>
          </w14:textFill>
        </w:rPr>
      </w:pPr>
    </w:p>
    <w:p>
      <w:pPr>
        <w:spacing w:line="600" w:lineRule="exact"/>
        <w:ind w:firstLine="482" w:firstLineChars="200"/>
        <w:rPr>
          <w:rFonts w:ascii="宋体" w:hAnsi="宋体" w:eastAsia="宋体" w:cs="宋体"/>
          <w:b/>
          <w:sz w:val="28"/>
          <w:szCs w:val="28"/>
        </w:rPr>
      </w:pPr>
      <w:r>
        <w:rPr>
          <w:rFonts w:hint="eastAsia" w:ascii="宋体" w:hAnsi="宋体"/>
          <w:b/>
          <w:bCs/>
          <w:sz w:val="24"/>
        </w:rPr>
        <w:t>(二)、</w:t>
      </w:r>
      <w:r>
        <w:rPr>
          <w:rFonts w:hint="eastAsia" w:ascii="宋体" w:hAnsi="宋体" w:cs="宋体"/>
          <w:b/>
          <w:sz w:val="28"/>
          <w:szCs w:val="28"/>
        </w:rPr>
        <w:t>技术要求如下：</w:t>
      </w:r>
    </w:p>
    <w:p>
      <w:pPr>
        <w:pStyle w:val="6"/>
        <w:outlineLvl w:val="0"/>
        <w:rPr>
          <w:rFonts w:hint="eastAsia"/>
          <w:b/>
          <w:bCs/>
          <w:sz w:val="28"/>
          <w:szCs w:val="28"/>
        </w:rPr>
      </w:pPr>
      <w:r>
        <w:rPr>
          <w:rFonts w:hint="eastAsia"/>
          <w:b/>
          <w:bCs/>
          <w:sz w:val="28"/>
          <w:szCs w:val="28"/>
        </w:rPr>
        <w:t>一、设计简述</w:t>
      </w:r>
    </w:p>
    <w:p>
      <w:pPr>
        <w:spacing w:line="480" w:lineRule="exact"/>
        <w:ind w:firstLine="241" w:firstLineChars="100"/>
        <w:rPr>
          <w:rFonts w:hint="eastAsia"/>
          <w:b/>
          <w:bCs/>
          <w:sz w:val="24"/>
        </w:rPr>
      </w:pPr>
      <w:r>
        <w:rPr>
          <w:rFonts w:hint="eastAsia"/>
          <w:b/>
          <w:bCs/>
          <w:sz w:val="24"/>
        </w:rPr>
        <w:t>1. 网带式退火炉主要用途</w:t>
      </w:r>
    </w:p>
    <w:p>
      <w:pPr>
        <w:spacing w:line="480" w:lineRule="exact"/>
        <w:ind w:firstLine="720" w:firstLineChars="300"/>
        <w:rPr>
          <w:rFonts w:hint="eastAsia"/>
          <w:sz w:val="24"/>
        </w:rPr>
      </w:pPr>
      <w:r>
        <w:rPr>
          <w:rFonts w:hint="eastAsia"/>
          <w:sz w:val="24"/>
        </w:rPr>
        <w:t>此退火炉为非标定制设备主要用于：光学玻璃及其他特种玻璃的粗退火。</w:t>
      </w:r>
    </w:p>
    <w:p>
      <w:pPr>
        <w:numPr>
          <w:ilvl w:val="0"/>
          <w:numId w:val="1"/>
        </w:numPr>
        <w:spacing w:line="480" w:lineRule="exact"/>
        <w:ind w:firstLine="241" w:firstLineChars="100"/>
        <w:jc w:val="left"/>
        <w:rPr>
          <w:rFonts w:hint="eastAsia"/>
          <w:b/>
          <w:bCs/>
          <w:sz w:val="24"/>
        </w:rPr>
      </w:pPr>
      <w:r>
        <w:rPr>
          <w:rFonts w:hint="eastAsia"/>
          <w:b/>
          <w:bCs/>
          <w:sz w:val="24"/>
        </w:rPr>
        <w:t>网带式退火炉的结构选型</w:t>
      </w:r>
    </w:p>
    <w:p>
      <w:pPr>
        <w:numPr>
          <w:ilvl w:val="0"/>
          <w:numId w:val="2"/>
        </w:numPr>
        <w:spacing w:line="480" w:lineRule="exact"/>
        <w:ind w:firstLine="480" w:firstLineChars="200"/>
        <w:jc w:val="left"/>
        <w:rPr>
          <w:rFonts w:hint="eastAsia"/>
          <w:sz w:val="24"/>
        </w:rPr>
      </w:pPr>
      <w:r>
        <w:rPr>
          <w:rFonts w:hint="eastAsia"/>
          <w:sz w:val="24"/>
        </w:rPr>
        <w:t>退火炉设计结构为：网带外循环，炉膛内带不锈钢均热罩多温区精密退火炉</w:t>
      </w:r>
    </w:p>
    <w:p>
      <w:pPr>
        <w:pStyle w:val="6"/>
        <w:spacing w:line="480" w:lineRule="exact"/>
        <w:ind w:firstLine="422" w:firstLineChars="200"/>
        <w:rPr>
          <w:rFonts w:asciiTheme="minorEastAsia" w:hAnsiTheme="minorEastAsia" w:cstheme="minorEastAsia"/>
          <w:b/>
          <w:bCs/>
          <w:sz w:val="24"/>
          <w:u w:val="single"/>
        </w:rPr>
      </w:pPr>
      <w:r>
        <w:rPr>
          <w:rFonts w:ascii="Calibri" w:hAnsi="Calibri" w:cs="Calibri"/>
          <w:b/>
          <w:bCs/>
          <w:u w:val="single"/>
        </w:rPr>
        <w:t>②</w:t>
      </w:r>
      <w:r>
        <w:rPr>
          <w:rFonts w:hint="eastAsia" w:ascii="Calibri" w:hAnsi="Calibri" w:cs="Calibri"/>
          <w:b/>
          <w:bCs/>
          <w:sz w:val="24"/>
          <w:u w:val="single"/>
        </w:rPr>
        <w:t>炉体设计可调垫脚、可调范围±50mm</w:t>
      </w:r>
    </w:p>
    <w:p>
      <w:pPr>
        <w:numPr>
          <w:ilvl w:val="0"/>
          <w:numId w:val="1"/>
        </w:numPr>
        <w:spacing w:line="480" w:lineRule="exact"/>
        <w:ind w:firstLine="241" w:firstLineChars="100"/>
        <w:jc w:val="left"/>
        <w:rPr>
          <w:rFonts w:hint="eastAsia"/>
          <w:b/>
          <w:bCs/>
          <w:sz w:val="24"/>
        </w:rPr>
      </w:pPr>
      <w:r>
        <w:rPr>
          <w:rFonts w:hint="eastAsia"/>
          <w:b/>
          <w:bCs/>
          <w:sz w:val="24"/>
        </w:rPr>
        <w:t>设计要点</w:t>
      </w:r>
    </w:p>
    <w:p>
      <w:pPr>
        <w:numPr>
          <w:ilvl w:val="0"/>
          <w:numId w:val="3"/>
        </w:numPr>
        <w:spacing w:line="480" w:lineRule="exact"/>
        <w:ind w:firstLine="480" w:firstLineChars="200"/>
        <w:jc w:val="left"/>
        <w:rPr>
          <w:rFonts w:hint="eastAsia"/>
          <w:sz w:val="24"/>
        </w:rPr>
      </w:pPr>
      <w:r>
        <w:rPr>
          <w:rFonts w:hint="eastAsia"/>
          <w:sz w:val="24"/>
        </w:rPr>
        <w:t>结构：结构合理、运行稳定、安全可靠</w:t>
      </w:r>
    </w:p>
    <w:p>
      <w:pPr>
        <w:numPr>
          <w:ilvl w:val="0"/>
          <w:numId w:val="3"/>
        </w:numPr>
        <w:spacing w:line="480" w:lineRule="exact"/>
        <w:ind w:firstLine="480" w:firstLineChars="200"/>
        <w:jc w:val="left"/>
        <w:rPr>
          <w:rFonts w:hint="eastAsia"/>
          <w:sz w:val="24"/>
        </w:rPr>
      </w:pPr>
      <w:r>
        <w:rPr>
          <w:rFonts w:hint="eastAsia"/>
          <w:sz w:val="24"/>
        </w:rPr>
        <w:t>节能环保：采用新型节能保温材料实现低能耗、环保、无二次污染、无噪音</w:t>
      </w:r>
    </w:p>
    <w:p>
      <w:pPr>
        <w:numPr>
          <w:ilvl w:val="0"/>
          <w:numId w:val="3"/>
        </w:numPr>
        <w:spacing w:line="480" w:lineRule="exact"/>
        <w:ind w:firstLine="480" w:firstLineChars="200"/>
        <w:jc w:val="left"/>
        <w:rPr>
          <w:rFonts w:hint="eastAsia"/>
          <w:sz w:val="24"/>
        </w:rPr>
      </w:pPr>
      <w:r>
        <w:rPr>
          <w:rFonts w:hint="eastAsia"/>
          <w:sz w:val="24"/>
        </w:rPr>
        <w:t>温度：采用均热罩辐射加热、避免加热产生局部高温，提高炉膛温度均匀性</w:t>
      </w:r>
    </w:p>
    <w:p>
      <w:pPr>
        <w:numPr>
          <w:ilvl w:val="0"/>
          <w:numId w:val="3"/>
        </w:numPr>
        <w:spacing w:line="480" w:lineRule="exact"/>
        <w:ind w:firstLine="480" w:firstLineChars="200"/>
        <w:jc w:val="left"/>
        <w:rPr>
          <w:rFonts w:hint="eastAsia"/>
          <w:sz w:val="24"/>
        </w:rPr>
      </w:pPr>
      <w:r>
        <w:rPr>
          <w:rFonts w:hint="eastAsia"/>
          <w:sz w:val="24"/>
        </w:rPr>
        <w:t>电气材料：采用国内外知名品牌，确保设备长期稳定运行、低故障率</w:t>
      </w:r>
    </w:p>
    <w:p>
      <w:pPr>
        <w:numPr>
          <w:ilvl w:val="0"/>
          <w:numId w:val="3"/>
        </w:numPr>
        <w:spacing w:line="480" w:lineRule="exact"/>
        <w:ind w:firstLine="480" w:firstLineChars="200"/>
        <w:jc w:val="left"/>
        <w:rPr>
          <w:rFonts w:hint="eastAsia"/>
          <w:b/>
          <w:bCs/>
          <w:sz w:val="28"/>
          <w:szCs w:val="28"/>
        </w:rPr>
      </w:pPr>
      <w:r>
        <w:rPr>
          <w:rFonts w:hint="eastAsia"/>
          <w:sz w:val="24"/>
        </w:rPr>
        <w:t>外表：美观大方、工艺精湛、结构合理</w:t>
      </w:r>
    </w:p>
    <w:p>
      <w:pPr>
        <w:spacing w:line="480" w:lineRule="exact"/>
        <w:outlineLvl w:val="1"/>
        <w:rPr>
          <w:rFonts w:hint="eastAsia"/>
          <w:b/>
          <w:bCs/>
          <w:sz w:val="28"/>
          <w:szCs w:val="28"/>
        </w:rPr>
      </w:pPr>
      <w:bookmarkStart w:id="5" w:name="_Toc13202"/>
      <w:r>
        <w:rPr>
          <w:rFonts w:hint="eastAsia"/>
          <w:b/>
          <w:bCs/>
          <w:sz w:val="28"/>
          <w:szCs w:val="28"/>
        </w:rPr>
        <w:t>二、退火炉主要组成</w:t>
      </w:r>
      <w:bookmarkEnd w:id="5"/>
    </w:p>
    <w:p>
      <w:pPr>
        <w:numPr>
          <w:ilvl w:val="0"/>
          <w:numId w:val="4"/>
        </w:numPr>
        <w:spacing w:line="480" w:lineRule="exact"/>
        <w:jc w:val="left"/>
        <w:rPr>
          <w:rFonts w:hint="eastAsia"/>
          <w:sz w:val="24"/>
        </w:rPr>
      </w:pPr>
      <w:r>
        <w:rPr>
          <w:rFonts w:hint="eastAsia"/>
          <w:sz w:val="24"/>
        </w:rPr>
        <w:t>炉体主框架钢结构</w:t>
      </w:r>
    </w:p>
    <w:p>
      <w:pPr>
        <w:numPr>
          <w:ilvl w:val="0"/>
          <w:numId w:val="4"/>
        </w:numPr>
        <w:spacing w:line="480" w:lineRule="exact"/>
        <w:jc w:val="left"/>
        <w:rPr>
          <w:rFonts w:hint="eastAsia"/>
          <w:sz w:val="24"/>
        </w:rPr>
      </w:pPr>
      <w:r>
        <w:rPr>
          <w:rFonts w:hint="eastAsia"/>
          <w:sz w:val="24"/>
        </w:rPr>
        <w:t>网带传动机构</w:t>
      </w:r>
    </w:p>
    <w:p>
      <w:pPr>
        <w:numPr>
          <w:ilvl w:val="0"/>
          <w:numId w:val="4"/>
        </w:numPr>
        <w:spacing w:line="480" w:lineRule="exact"/>
        <w:jc w:val="left"/>
        <w:rPr>
          <w:rFonts w:hint="eastAsia"/>
          <w:sz w:val="24"/>
        </w:rPr>
      </w:pPr>
      <w:r>
        <w:rPr>
          <w:rFonts w:hint="eastAsia"/>
          <w:sz w:val="24"/>
        </w:rPr>
        <w:t>气动网带自动张紧</w:t>
      </w:r>
    </w:p>
    <w:p>
      <w:pPr>
        <w:numPr>
          <w:ilvl w:val="0"/>
          <w:numId w:val="4"/>
        </w:numPr>
        <w:spacing w:line="480" w:lineRule="exact"/>
        <w:jc w:val="left"/>
        <w:rPr>
          <w:rFonts w:hint="eastAsia"/>
          <w:sz w:val="24"/>
        </w:rPr>
      </w:pPr>
      <w:r>
        <w:rPr>
          <w:rFonts w:hint="eastAsia"/>
          <w:sz w:val="24"/>
        </w:rPr>
        <w:t>炉膛耐火与保温</w:t>
      </w:r>
    </w:p>
    <w:p>
      <w:pPr>
        <w:numPr>
          <w:ilvl w:val="0"/>
          <w:numId w:val="4"/>
        </w:numPr>
        <w:spacing w:line="480" w:lineRule="exact"/>
        <w:jc w:val="left"/>
        <w:rPr>
          <w:rFonts w:hint="eastAsia"/>
          <w:sz w:val="24"/>
        </w:rPr>
      </w:pPr>
      <w:r>
        <w:rPr>
          <w:rFonts w:hint="eastAsia"/>
          <w:sz w:val="24"/>
        </w:rPr>
        <w:t>电加热系统</w:t>
      </w:r>
    </w:p>
    <w:p>
      <w:pPr>
        <w:numPr>
          <w:ilvl w:val="0"/>
          <w:numId w:val="4"/>
        </w:numPr>
        <w:spacing w:line="480" w:lineRule="exact"/>
        <w:jc w:val="left"/>
        <w:rPr>
          <w:rFonts w:hint="eastAsia"/>
          <w:sz w:val="24"/>
        </w:rPr>
      </w:pPr>
      <w:r>
        <w:rPr>
          <w:rFonts w:hint="eastAsia"/>
          <w:sz w:val="24"/>
        </w:rPr>
        <w:t>炉膛不锈钢均热罩</w:t>
      </w:r>
    </w:p>
    <w:p>
      <w:pPr>
        <w:numPr>
          <w:ilvl w:val="0"/>
          <w:numId w:val="4"/>
        </w:numPr>
        <w:spacing w:line="480" w:lineRule="exact"/>
        <w:jc w:val="left"/>
        <w:rPr>
          <w:rFonts w:hint="eastAsia"/>
          <w:sz w:val="24"/>
        </w:rPr>
      </w:pPr>
      <w:r>
        <w:rPr>
          <w:rFonts w:hint="eastAsia"/>
          <w:sz w:val="24"/>
        </w:rPr>
        <w:t>温度及动力控制系统（动力控制系统</w:t>
      </w:r>
      <w:r>
        <w:rPr>
          <w:sz w:val="24"/>
        </w:rPr>
        <w:t>由甲方负责</w:t>
      </w:r>
      <w:r>
        <w:rPr>
          <w:rFonts w:hint="eastAsia"/>
          <w:sz w:val="24"/>
        </w:rPr>
        <w:t>）</w:t>
      </w:r>
    </w:p>
    <w:p>
      <w:pPr>
        <w:numPr>
          <w:ilvl w:val="0"/>
          <w:numId w:val="4"/>
        </w:numPr>
        <w:spacing w:line="480" w:lineRule="exact"/>
        <w:jc w:val="left"/>
        <w:rPr>
          <w:rFonts w:hint="eastAsia"/>
          <w:sz w:val="24"/>
        </w:rPr>
      </w:pPr>
      <w:r>
        <w:rPr>
          <w:rFonts w:hint="eastAsia"/>
          <w:sz w:val="24"/>
        </w:rPr>
        <w:t>炉头进料天井加热与传动辊水冷机构</w:t>
      </w:r>
    </w:p>
    <w:p>
      <w:pPr>
        <w:numPr>
          <w:ilvl w:val="0"/>
          <w:numId w:val="4"/>
        </w:numPr>
        <w:spacing w:line="480" w:lineRule="exact"/>
        <w:jc w:val="left"/>
        <w:rPr>
          <w:rFonts w:hint="eastAsia"/>
          <w:sz w:val="24"/>
        </w:rPr>
      </w:pPr>
      <w:r>
        <w:rPr>
          <w:rFonts w:hint="eastAsia"/>
          <w:sz w:val="24"/>
        </w:rPr>
        <w:t>炸切平台碎玻璃清理及观察装置</w:t>
      </w:r>
    </w:p>
    <w:p>
      <w:pPr>
        <w:spacing w:line="400" w:lineRule="exact"/>
        <w:outlineLvl w:val="1"/>
        <w:rPr>
          <w:rFonts w:hint="eastAsia"/>
          <w:b/>
          <w:bCs/>
          <w:sz w:val="28"/>
          <w:szCs w:val="28"/>
        </w:rPr>
      </w:pPr>
      <w:bookmarkStart w:id="6" w:name="_Toc9283"/>
      <w:r>
        <w:rPr>
          <w:rFonts w:hint="eastAsia"/>
          <w:b/>
          <w:bCs/>
          <w:sz w:val="28"/>
          <w:szCs w:val="28"/>
        </w:rPr>
        <w:t>三、退火炉设计参照标准</w:t>
      </w:r>
      <w:bookmarkEnd w:id="6"/>
    </w:p>
    <w:p>
      <w:pPr>
        <w:pStyle w:val="12"/>
        <w:widowControl/>
        <w:shd w:val="clear" w:color="auto" w:fill="FFFFFF"/>
        <w:spacing w:before="150" w:after="150" w:line="400" w:lineRule="exact"/>
        <w:rPr>
          <w:rFonts w:hint="default" w:cs="宋体"/>
          <w:shd w:val="clear" w:color="auto" w:fill="FFFFFF"/>
        </w:rPr>
      </w:pPr>
      <w:r>
        <w:rPr>
          <w:rFonts w:cs="宋体"/>
        </w:rPr>
        <w:t xml:space="preserve"> 1. </w:t>
      </w:r>
      <w:r>
        <w:rPr>
          <w:rFonts w:cs="宋体"/>
          <w:shd w:val="clear" w:color="auto" w:fill="FFFFFF"/>
        </w:rPr>
        <w:t>GB 50231-2009机械设备安装工程施工及验收通用规范</w:t>
      </w:r>
    </w:p>
    <w:p>
      <w:pPr>
        <w:pStyle w:val="12"/>
        <w:widowControl/>
        <w:shd w:val="clear" w:color="auto" w:fill="FFFFFF"/>
        <w:spacing w:before="150" w:after="150" w:line="400" w:lineRule="exact"/>
        <w:rPr>
          <w:rFonts w:hint="default" w:cs="宋体"/>
          <w:shd w:val="clear" w:color="auto" w:fill="FFFFFF"/>
        </w:rPr>
      </w:pPr>
      <w:r>
        <w:rPr>
          <w:rFonts w:cs="宋体"/>
          <w:shd w:val="clear" w:color="auto" w:fill="FFFFFF"/>
        </w:rPr>
        <w:t xml:space="preserve"> 2. JB/T7629-94 《耐火纤维炉衬的设计与安装规范》</w:t>
      </w:r>
    </w:p>
    <w:p>
      <w:pPr>
        <w:spacing w:line="400" w:lineRule="exact"/>
        <w:rPr>
          <w:rFonts w:hint="eastAsia"/>
          <w:sz w:val="24"/>
        </w:rPr>
      </w:pPr>
      <w:r>
        <w:rPr>
          <w:rFonts w:hint="eastAsia"/>
          <w:sz w:val="24"/>
        </w:rPr>
        <w:t xml:space="preserve"> 3. JB/DQ5071-92《筑炉手册》</w:t>
      </w:r>
    </w:p>
    <w:p>
      <w:pPr>
        <w:spacing w:line="480" w:lineRule="exact"/>
        <w:rPr>
          <w:rFonts w:hint="eastAsia"/>
          <w:sz w:val="24"/>
        </w:rPr>
      </w:pPr>
      <w:r>
        <w:rPr>
          <w:rFonts w:hint="eastAsia"/>
          <w:sz w:val="24"/>
        </w:rPr>
        <w:t>4. GB10067.1 电热装置基本技术条件第一部分通用部分</w:t>
      </w:r>
    </w:p>
    <w:p>
      <w:pPr>
        <w:spacing w:line="480" w:lineRule="exact"/>
        <w:rPr>
          <w:rFonts w:hint="eastAsia"/>
          <w:sz w:val="24"/>
        </w:rPr>
      </w:pPr>
      <w:r>
        <w:rPr>
          <w:rFonts w:hint="eastAsia"/>
          <w:sz w:val="24"/>
        </w:rPr>
        <w:t>5. BG10067.4 电热装置基本技术条件第四部分对电阻炉的特殊要求</w:t>
      </w:r>
    </w:p>
    <w:p>
      <w:pPr>
        <w:spacing w:line="480" w:lineRule="exact"/>
        <w:rPr>
          <w:rFonts w:hint="eastAsia"/>
          <w:sz w:val="24"/>
        </w:rPr>
      </w:pPr>
      <w:r>
        <w:rPr>
          <w:rFonts w:hint="eastAsia"/>
          <w:sz w:val="24"/>
        </w:rPr>
        <w:t>6. 5959.1 电热设备的安全第一部分通用要求</w:t>
      </w:r>
    </w:p>
    <w:p>
      <w:pPr>
        <w:spacing w:line="480" w:lineRule="exact"/>
        <w:rPr>
          <w:rFonts w:hint="eastAsia"/>
          <w:sz w:val="24"/>
        </w:rPr>
      </w:pPr>
      <w:r>
        <w:rPr>
          <w:rFonts w:hint="eastAsia"/>
          <w:sz w:val="24"/>
        </w:rPr>
        <w:t>7. 5959.4 电热设备的安全第四部分对电阻炉的特殊要求</w:t>
      </w:r>
    </w:p>
    <w:p>
      <w:pPr>
        <w:spacing w:line="480" w:lineRule="exact"/>
        <w:rPr>
          <w:rFonts w:hint="eastAsia"/>
          <w:sz w:val="24"/>
        </w:rPr>
      </w:pPr>
      <w:r>
        <w:rPr>
          <w:rFonts w:hint="eastAsia"/>
          <w:sz w:val="24"/>
        </w:rPr>
        <w:t>8. GB/T9452 热处理炉有效加热区测定方法</w:t>
      </w:r>
    </w:p>
    <w:p>
      <w:pPr>
        <w:spacing w:line="480" w:lineRule="exact"/>
        <w:rPr>
          <w:rFonts w:hint="eastAsia"/>
          <w:sz w:val="24"/>
        </w:rPr>
      </w:pPr>
      <w:r>
        <w:rPr>
          <w:rFonts w:hint="eastAsia"/>
          <w:sz w:val="24"/>
        </w:rPr>
        <w:t>9. BS EN 60947-5-5 -2017 低压开关柜与控制柜</w:t>
      </w:r>
    </w:p>
    <w:p>
      <w:pPr>
        <w:spacing w:line="480" w:lineRule="exact"/>
        <w:rPr>
          <w:rFonts w:hint="eastAsia"/>
          <w:sz w:val="24"/>
        </w:rPr>
      </w:pPr>
      <w:r>
        <w:rPr>
          <w:rFonts w:hint="eastAsia"/>
          <w:sz w:val="24"/>
        </w:rPr>
        <w:t xml:space="preserve">10. GB/T 16895低压电气装置 </w:t>
      </w:r>
    </w:p>
    <w:p>
      <w:pPr>
        <w:spacing w:line="480" w:lineRule="exact"/>
        <w:rPr>
          <w:rFonts w:hint="eastAsia"/>
          <w:sz w:val="24"/>
        </w:rPr>
      </w:pPr>
      <w:r>
        <w:rPr>
          <w:rFonts w:hint="eastAsia"/>
          <w:sz w:val="24"/>
        </w:rPr>
        <w:t>11. NF L65-211-197(R2008) 控制柜尺寸安装原则</w:t>
      </w:r>
    </w:p>
    <w:p>
      <w:pPr>
        <w:spacing w:line="480" w:lineRule="exact"/>
        <w:rPr>
          <w:rFonts w:hint="eastAsia"/>
          <w:sz w:val="24"/>
        </w:rPr>
      </w:pPr>
      <w:r>
        <w:rPr>
          <w:rFonts w:hint="eastAsia"/>
          <w:sz w:val="24"/>
        </w:rPr>
        <w:t>12. GB/T 7251. 8-2005 低压成套设备和控制设备</w:t>
      </w:r>
    </w:p>
    <w:p>
      <w:pPr>
        <w:spacing w:line="480" w:lineRule="exact"/>
        <w:rPr>
          <w:rFonts w:hint="eastAsia"/>
          <w:sz w:val="24"/>
        </w:rPr>
      </w:pPr>
      <w:r>
        <w:rPr>
          <w:rFonts w:hint="eastAsia"/>
          <w:sz w:val="24"/>
        </w:rPr>
        <w:t>13. AMS2750E 《高温测量》</w:t>
      </w:r>
    </w:p>
    <w:p>
      <w:pPr>
        <w:spacing w:line="480" w:lineRule="exact"/>
        <w:rPr>
          <w:rFonts w:hint="eastAsia"/>
          <w:sz w:val="24"/>
        </w:rPr>
      </w:pPr>
      <w:r>
        <w:rPr>
          <w:rFonts w:hint="eastAsia"/>
          <w:sz w:val="24"/>
        </w:rPr>
        <w:t>14. GB/T 31136-2014《 工业电阻炉温度控制柜》</w:t>
      </w:r>
    </w:p>
    <w:p>
      <w:pPr>
        <w:spacing w:line="480" w:lineRule="exact"/>
        <w:rPr>
          <w:rFonts w:hint="eastAsia"/>
          <w:b/>
          <w:bCs/>
          <w:sz w:val="30"/>
          <w:szCs w:val="30"/>
        </w:rPr>
      </w:pPr>
      <w:r>
        <w:rPr>
          <w:rFonts w:hint="eastAsia"/>
          <w:sz w:val="24"/>
        </w:rPr>
        <w:t>15. GB 50231-2009 《机械设备安装工厂施工及验收通用规范》</w:t>
      </w:r>
    </w:p>
    <w:p>
      <w:pPr>
        <w:spacing w:line="480" w:lineRule="exact"/>
        <w:outlineLvl w:val="1"/>
        <w:rPr>
          <w:rFonts w:hint="eastAsia"/>
          <w:sz w:val="28"/>
          <w:szCs w:val="28"/>
        </w:rPr>
      </w:pPr>
      <w:bookmarkStart w:id="7" w:name="_Toc31111"/>
      <w:r>
        <w:rPr>
          <w:rFonts w:hint="eastAsia"/>
          <w:b/>
          <w:bCs/>
          <w:sz w:val="28"/>
          <w:szCs w:val="28"/>
        </w:rPr>
        <w:t>四、主要技术参数</w:t>
      </w:r>
      <w:bookmarkEnd w:id="7"/>
      <w:r>
        <w:rPr>
          <w:rFonts w:hint="eastAsia"/>
          <w:b/>
          <w:bCs/>
          <w:sz w:val="24"/>
        </w:rPr>
        <w:tab/>
      </w:r>
    </w:p>
    <w:p>
      <w:pPr>
        <w:numPr>
          <w:ilvl w:val="0"/>
          <w:numId w:val="5"/>
        </w:numPr>
        <w:spacing w:line="440" w:lineRule="exact"/>
        <w:jc w:val="left"/>
        <w:rPr>
          <w:rFonts w:hint="eastAsia"/>
          <w:b/>
          <w:bCs/>
          <w:sz w:val="24"/>
          <w:u w:val="single"/>
        </w:rPr>
      </w:pPr>
      <w:r>
        <w:rPr>
          <w:rFonts w:hint="eastAsia" w:ascii="宋体" w:hAnsi="宋体" w:cs="仿宋_GB2312"/>
          <w:sz w:val="24"/>
          <w:szCs w:val="24"/>
        </w:rPr>
        <w:t>★</w:t>
      </w:r>
      <w:r>
        <w:rPr>
          <w:rFonts w:hint="eastAsia"/>
          <w:b/>
          <w:bCs/>
          <w:sz w:val="24"/>
          <w:u w:val="none"/>
        </w:rPr>
        <w:t xml:space="preserve">炉膛尺寸  </w:t>
      </w:r>
      <w:r>
        <w:rPr>
          <w:rFonts w:hint="eastAsia"/>
          <w:b/>
          <w:bCs/>
          <w:sz w:val="24"/>
          <w:u w:val="single"/>
        </w:rPr>
        <w:t>L</w:t>
      </w:r>
      <w:r>
        <w:rPr>
          <w:rFonts w:hint="eastAsia"/>
          <w:b/>
          <w:bCs/>
          <w:sz w:val="24"/>
          <w:u w:val="single"/>
          <w:lang w:val="en-US" w:eastAsia="zh-CN"/>
        </w:rPr>
        <w:t>300</w:t>
      </w:r>
      <w:r>
        <w:rPr>
          <w:rFonts w:hint="eastAsia"/>
          <w:b/>
          <w:bCs/>
          <w:sz w:val="24"/>
          <w:u w:val="single"/>
        </w:rPr>
        <w:t>00mm×W</w:t>
      </w:r>
      <w:r>
        <w:rPr>
          <w:rFonts w:hint="eastAsia"/>
          <w:b/>
          <w:bCs/>
          <w:sz w:val="24"/>
          <w:u w:val="single"/>
          <w:lang w:val="en-US" w:eastAsia="zh-CN"/>
        </w:rPr>
        <w:t>100</w:t>
      </w:r>
      <w:r>
        <w:rPr>
          <w:rFonts w:hint="eastAsia"/>
          <w:b/>
          <w:bCs/>
          <w:sz w:val="24"/>
          <w:u w:val="single"/>
        </w:rPr>
        <w:t>0mm×H3</w:t>
      </w:r>
      <w:r>
        <w:rPr>
          <w:rFonts w:hint="eastAsia"/>
          <w:b/>
          <w:bCs/>
          <w:sz w:val="24"/>
          <w:u w:val="single"/>
          <w:lang w:val="en-US" w:eastAsia="zh-CN"/>
        </w:rPr>
        <w:t>0</w:t>
      </w:r>
      <w:r>
        <w:rPr>
          <w:rFonts w:hint="eastAsia"/>
          <w:b/>
          <w:bCs/>
          <w:sz w:val="24"/>
          <w:u w:val="single"/>
        </w:rPr>
        <w:t xml:space="preserve">0mm </w:t>
      </w:r>
      <w:r>
        <w:rPr>
          <w:rFonts w:hint="eastAsia"/>
          <w:b/>
          <w:bCs/>
          <w:sz w:val="24"/>
          <w:u w:val="single"/>
          <w:lang w:val="en-US" w:eastAsia="zh-CN"/>
        </w:rPr>
        <w:t xml:space="preserve"> </w:t>
      </w:r>
    </w:p>
    <w:p>
      <w:pPr>
        <w:numPr>
          <w:ilvl w:val="0"/>
          <w:numId w:val="5"/>
        </w:numPr>
        <w:spacing w:line="440" w:lineRule="exact"/>
        <w:rPr>
          <w:rFonts w:hint="eastAsia"/>
          <w:sz w:val="24"/>
        </w:rPr>
      </w:pPr>
      <w:r>
        <w:rPr>
          <w:rFonts w:hint="eastAsia"/>
          <w:b/>
          <w:bCs/>
          <w:sz w:val="24"/>
        </w:rPr>
        <w:t xml:space="preserve">炉体外形尺寸  </w:t>
      </w:r>
      <w:r>
        <w:rPr>
          <w:rFonts w:hint="eastAsia"/>
          <w:b/>
          <w:bCs/>
          <w:sz w:val="24"/>
          <w:u w:val="single"/>
        </w:rPr>
        <w:t xml:space="preserve"> L25000mm×</w:t>
      </w:r>
      <w:r>
        <w:rPr>
          <w:rFonts w:hint="eastAsia"/>
          <w:b/>
          <w:bCs/>
          <w:sz w:val="24"/>
          <w:highlight w:val="yellow"/>
          <w:u w:val="single"/>
        </w:rPr>
        <w:t>W1</w:t>
      </w:r>
      <w:r>
        <w:rPr>
          <w:rFonts w:hint="eastAsia"/>
          <w:b/>
          <w:bCs/>
          <w:sz w:val="24"/>
          <w:highlight w:val="yellow"/>
          <w:u w:val="single"/>
          <w:lang w:val="en-US" w:eastAsia="zh-CN"/>
        </w:rPr>
        <w:t>8</w:t>
      </w:r>
      <w:r>
        <w:rPr>
          <w:rFonts w:hint="eastAsia"/>
          <w:b/>
          <w:bCs/>
          <w:sz w:val="24"/>
          <w:highlight w:val="yellow"/>
          <w:u w:val="single"/>
        </w:rPr>
        <w:t>00mm</w:t>
      </w:r>
      <w:r>
        <w:rPr>
          <w:rFonts w:hint="eastAsia"/>
          <w:b/>
          <w:bCs/>
          <w:sz w:val="24"/>
          <w:u w:val="single"/>
        </w:rPr>
        <w:t xml:space="preserve">×H1600mm </w:t>
      </w:r>
      <w:r>
        <w:rPr>
          <w:rFonts w:hint="eastAsia"/>
          <w:sz w:val="24"/>
        </w:rPr>
        <w:t>(其中炉尾炸切平台长</w:t>
      </w:r>
      <w:r>
        <w:rPr>
          <w:rFonts w:hint="eastAsia"/>
          <w:sz w:val="24"/>
          <w:lang w:val="en-US" w:eastAsia="zh-CN"/>
        </w:rPr>
        <w:t>30</w:t>
      </w:r>
      <w:r>
        <w:rPr>
          <w:rFonts w:hint="eastAsia"/>
          <w:sz w:val="24"/>
        </w:rPr>
        <w:t>00mm</w:t>
      </w:r>
      <w:r>
        <w:rPr>
          <w:rFonts w:hint="eastAsia"/>
          <w:sz w:val="24"/>
          <w:lang w:val="en-US" w:eastAsia="zh-CN"/>
        </w:rPr>
        <w:t>连</w:t>
      </w:r>
    </w:p>
    <w:p>
      <w:pPr>
        <w:numPr>
          <w:ilvl w:val="0"/>
          <w:numId w:val="0"/>
        </w:numPr>
        <w:spacing w:line="440" w:lineRule="exact"/>
        <w:ind w:firstLine="480" w:firstLineChars="200"/>
        <w:rPr>
          <w:rFonts w:hint="eastAsia"/>
          <w:sz w:val="24"/>
        </w:rPr>
      </w:pPr>
      <w:r>
        <w:rPr>
          <w:rFonts w:hint="eastAsia"/>
          <w:sz w:val="24"/>
        </w:rPr>
        <w:t>接</w:t>
      </w:r>
      <w:r>
        <w:rPr>
          <w:rFonts w:hint="eastAsia"/>
          <w:sz w:val="24"/>
          <w:lang w:val="en-US" w:eastAsia="zh-CN"/>
        </w:rPr>
        <w:t xml:space="preserve"> </w:t>
      </w:r>
      <w:r>
        <w:rPr>
          <w:rFonts w:hint="eastAsia"/>
          <w:sz w:val="24"/>
        </w:rPr>
        <w:t>炉长400mm）</w:t>
      </w:r>
    </w:p>
    <w:p>
      <w:pPr>
        <w:spacing w:line="440" w:lineRule="exact"/>
        <w:rPr>
          <w:rFonts w:hint="eastAsia"/>
          <w:sz w:val="24"/>
        </w:rPr>
      </w:pPr>
      <w:r>
        <w:rPr>
          <w:rFonts w:hint="eastAsia"/>
          <w:sz w:val="24"/>
        </w:rPr>
        <w:t>（3）退火炉传动方式</w:t>
      </w:r>
      <w:r>
        <w:rPr>
          <w:rFonts w:hint="eastAsia"/>
          <w:sz w:val="24"/>
          <w:u w:val="single"/>
        </w:rPr>
        <w:t>321不锈钢网带外循环；伺服电机调速</w:t>
      </w:r>
    </w:p>
    <w:p>
      <w:pPr>
        <w:spacing w:line="440" w:lineRule="exact"/>
        <w:rPr>
          <w:rFonts w:hint="eastAsia"/>
          <w:sz w:val="24"/>
        </w:rPr>
      </w:pPr>
      <w:r>
        <w:rPr>
          <w:rFonts w:hint="eastAsia"/>
          <w:sz w:val="24"/>
        </w:rPr>
        <w:t xml:space="preserve">（4）网带承载能力 </w:t>
      </w:r>
      <w:r>
        <w:rPr>
          <w:rFonts w:hint="eastAsia"/>
          <w:sz w:val="24"/>
          <w:u w:val="single"/>
        </w:rPr>
        <w:t xml:space="preserve">≥ </w:t>
      </w:r>
      <w:r>
        <w:rPr>
          <w:rFonts w:hint="eastAsia"/>
          <w:sz w:val="24"/>
          <w:u w:val="single"/>
          <w:lang w:val="en-US" w:eastAsia="zh-CN"/>
        </w:rPr>
        <w:t>5</w:t>
      </w:r>
      <w:r>
        <w:rPr>
          <w:rFonts w:hint="eastAsia"/>
          <w:sz w:val="24"/>
          <w:u w:val="single"/>
        </w:rPr>
        <w:t>00kg/</w:t>
      </w:r>
      <w:r>
        <w:rPr>
          <w:rFonts w:hint="eastAsia"/>
          <w:sz w:val="28"/>
          <w:szCs w:val="28"/>
          <w:u w:val="single"/>
        </w:rPr>
        <w:t>㎡</w:t>
      </w:r>
    </w:p>
    <w:p>
      <w:pPr>
        <w:spacing w:line="440" w:lineRule="exact"/>
        <w:rPr>
          <w:rFonts w:hint="eastAsia"/>
          <w:sz w:val="24"/>
        </w:rPr>
      </w:pPr>
      <w:r>
        <w:rPr>
          <w:rFonts w:hint="eastAsia"/>
          <w:sz w:val="24"/>
        </w:rPr>
        <w:t>（5）</w:t>
      </w:r>
      <w:r>
        <w:rPr>
          <w:rFonts w:hint="eastAsia" w:ascii="宋体" w:hAnsi="宋体" w:cs="仿宋_GB2312"/>
          <w:sz w:val="24"/>
          <w:szCs w:val="24"/>
        </w:rPr>
        <w:t>★</w:t>
      </w:r>
      <w:r>
        <w:rPr>
          <w:rFonts w:hint="eastAsia"/>
          <w:sz w:val="24"/>
        </w:rPr>
        <w:t xml:space="preserve">网带总负载 </w:t>
      </w:r>
      <w:r>
        <w:rPr>
          <w:rFonts w:hint="eastAsia"/>
          <w:sz w:val="24"/>
          <w:u w:val="single"/>
        </w:rPr>
        <w:t>≥</w:t>
      </w:r>
      <w:r>
        <w:rPr>
          <w:rFonts w:hint="eastAsia"/>
          <w:sz w:val="24"/>
          <w:u w:val="single"/>
          <w:lang w:val="en-US" w:eastAsia="zh-CN"/>
        </w:rPr>
        <w:t>1</w:t>
      </w:r>
      <w:r>
        <w:rPr>
          <w:rFonts w:hint="eastAsia"/>
          <w:sz w:val="24"/>
          <w:u w:val="single"/>
        </w:rPr>
        <w:t>5T</w:t>
      </w:r>
    </w:p>
    <w:p>
      <w:pPr>
        <w:spacing w:line="440" w:lineRule="exact"/>
        <w:rPr>
          <w:rFonts w:hint="eastAsia"/>
          <w:b/>
          <w:bCs/>
          <w:sz w:val="24"/>
          <w:u w:val="single"/>
        </w:rPr>
      </w:pPr>
      <w:r>
        <w:rPr>
          <w:rFonts w:hint="eastAsia"/>
          <w:b/>
          <w:bCs/>
          <w:sz w:val="24"/>
        </w:rPr>
        <w:t>（6）</w:t>
      </w:r>
      <w:r>
        <w:rPr>
          <w:rFonts w:hint="eastAsia" w:ascii="宋体" w:hAnsi="宋体" w:cs="仿宋_GB2312"/>
          <w:sz w:val="24"/>
          <w:szCs w:val="24"/>
        </w:rPr>
        <w:t>★</w:t>
      </w:r>
      <w:r>
        <w:rPr>
          <w:rFonts w:hint="eastAsia"/>
          <w:b/>
          <w:bCs/>
          <w:sz w:val="24"/>
        </w:rPr>
        <w:t xml:space="preserve">设计网带宽度 </w:t>
      </w:r>
      <w:r>
        <w:rPr>
          <w:rFonts w:hint="eastAsia"/>
          <w:b/>
          <w:bCs/>
          <w:sz w:val="24"/>
          <w:u w:val="single"/>
          <w:lang w:val="en-US" w:eastAsia="zh-CN"/>
        </w:rPr>
        <w:t>10</w:t>
      </w:r>
      <w:r>
        <w:rPr>
          <w:rFonts w:hint="eastAsia"/>
          <w:b/>
          <w:bCs/>
          <w:sz w:val="24"/>
          <w:u w:val="single"/>
        </w:rPr>
        <w:t>00mm</w:t>
      </w:r>
    </w:p>
    <w:p>
      <w:pPr>
        <w:spacing w:line="440" w:lineRule="exact"/>
        <w:rPr>
          <w:rFonts w:hint="eastAsia"/>
          <w:sz w:val="24"/>
          <w:u w:val="single"/>
        </w:rPr>
      </w:pPr>
      <w:r>
        <w:rPr>
          <w:rFonts w:hint="eastAsia"/>
          <w:sz w:val="24"/>
        </w:rPr>
        <w:t>（7）网带材质</w:t>
      </w:r>
      <w:r>
        <w:rPr>
          <w:rFonts w:hint="eastAsia"/>
          <w:sz w:val="24"/>
          <w:u w:val="single"/>
        </w:rPr>
        <w:t>SUS321耐热不锈钢 （1Cr18Ni9Ti）</w:t>
      </w:r>
    </w:p>
    <w:p>
      <w:pPr>
        <w:spacing w:line="440" w:lineRule="exact"/>
        <w:rPr>
          <w:rFonts w:hint="eastAsia"/>
          <w:sz w:val="24"/>
          <w:u w:val="single"/>
        </w:rPr>
      </w:pPr>
      <w:r>
        <w:rPr>
          <w:rFonts w:hint="eastAsia"/>
          <w:sz w:val="24"/>
        </w:rPr>
        <w:t>（8）网带规格</w:t>
      </w:r>
      <w:r>
        <w:rPr>
          <w:rFonts w:hint="eastAsia"/>
          <w:sz w:val="24"/>
          <w:u w:val="single"/>
        </w:rPr>
        <w:t>B2-9-18-3.6-3.0-600（mm）</w:t>
      </w:r>
    </w:p>
    <w:p>
      <w:pPr>
        <w:spacing w:line="440" w:lineRule="exact"/>
        <w:rPr>
          <w:rFonts w:hint="eastAsia"/>
          <w:sz w:val="24"/>
          <w:u w:val="single"/>
        </w:rPr>
      </w:pPr>
      <w:r>
        <w:rPr>
          <w:rFonts w:hint="eastAsia"/>
          <w:sz w:val="24"/>
        </w:rPr>
        <w:t>（9）设计网带上平面到地面高度</w:t>
      </w:r>
      <w:r>
        <w:rPr>
          <w:rFonts w:hint="eastAsia"/>
          <w:sz w:val="24"/>
          <w:u w:val="single"/>
        </w:rPr>
        <w:t>1000mm；有效调整范围±50mm</w:t>
      </w:r>
    </w:p>
    <w:p>
      <w:pPr>
        <w:spacing w:line="440" w:lineRule="exact"/>
        <w:rPr>
          <w:rFonts w:hint="eastAsia"/>
          <w:sz w:val="24"/>
          <w:u w:val="single"/>
        </w:rPr>
      </w:pPr>
      <w:r>
        <w:rPr>
          <w:rFonts w:hint="eastAsia"/>
          <w:sz w:val="24"/>
        </w:rPr>
        <w:t>（10）加热方式</w:t>
      </w:r>
      <w:r>
        <w:rPr>
          <w:rFonts w:hint="eastAsia"/>
          <w:sz w:val="24"/>
          <w:u w:val="single"/>
        </w:rPr>
        <w:t xml:space="preserve">SUS316L+SUS304不锈钢均热罩辐射加热 </w:t>
      </w:r>
    </w:p>
    <w:p>
      <w:pPr>
        <w:spacing w:line="440" w:lineRule="exact"/>
        <w:rPr>
          <w:rFonts w:hint="eastAsia"/>
          <w:sz w:val="24"/>
          <w:u w:val="single"/>
        </w:rPr>
      </w:pPr>
      <w:r>
        <w:rPr>
          <w:rFonts w:hint="eastAsia"/>
          <w:sz w:val="24"/>
        </w:rPr>
        <w:t>（11）加热元件布置方式</w:t>
      </w:r>
      <w:r>
        <w:rPr>
          <w:rFonts w:hint="eastAsia"/>
          <w:sz w:val="24"/>
          <w:u w:val="single"/>
        </w:rPr>
        <w:t xml:space="preserve"> 四面与三面结合</w:t>
      </w:r>
    </w:p>
    <w:p>
      <w:pPr>
        <w:spacing w:line="440" w:lineRule="exact"/>
        <w:rPr>
          <w:rFonts w:hint="eastAsia"/>
          <w:sz w:val="24"/>
          <w:u w:val="single"/>
        </w:rPr>
      </w:pPr>
      <w:r>
        <w:rPr>
          <w:rFonts w:hint="eastAsia"/>
          <w:sz w:val="24"/>
        </w:rPr>
        <w:t>（12）</w:t>
      </w:r>
      <w:r>
        <w:rPr>
          <w:rFonts w:hint="eastAsia" w:ascii="宋体" w:hAnsi="宋体" w:cs="仿宋_GB2312"/>
          <w:sz w:val="24"/>
          <w:szCs w:val="24"/>
        </w:rPr>
        <w:t>★</w:t>
      </w:r>
      <w:r>
        <w:rPr>
          <w:rFonts w:hint="eastAsia"/>
          <w:sz w:val="24"/>
        </w:rPr>
        <w:t xml:space="preserve">电热元件 </w:t>
      </w:r>
      <w:r>
        <w:rPr>
          <w:rFonts w:hint="eastAsia"/>
          <w:sz w:val="24"/>
          <w:u w:val="single"/>
        </w:rPr>
        <w:t xml:space="preserve"> Cr20Ni80镍铬电热合金丝 </w:t>
      </w:r>
    </w:p>
    <w:p>
      <w:pPr>
        <w:spacing w:line="440" w:lineRule="exact"/>
        <w:rPr>
          <w:rFonts w:hint="eastAsia"/>
          <w:sz w:val="24"/>
        </w:rPr>
      </w:pPr>
      <w:r>
        <w:rPr>
          <w:rFonts w:hint="eastAsia"/>
          <w:sz w:val="24"/>
        </w:rPr>
        <w:t xml:space="preserve">（13）电热元件固定方式 </w:t>
      </w:r>
      <w:r>
        <w:rPr>
          <w:rFonts w:hint="eastAsia"/>
          <w:sz w:val="24"/>
          <w:u w:val="single"/>
        </w:rPr>
        <w:t>刚玉穿丝板/透明石英管+高铝管</w:t>
      </w:r>
    </w:p>
    <w:p>
      <w:pPr>
        <w:tabs>
          <w:tab w:val="left" w:pos="220"/>
        </w:tabs>
        <w:spacing w:line="440" w:lineRule="exact"/>
        <w:rPr>
          <w:rFonts w:hint="eastAsia"/>
          <w:sz w:val="24"/>
        </w:rPr>
      </w:pPr>
      <w:r>
        <w:rPr>
          <w:rFonts w:hint="eastAsia"/>
          <w:sz w:val="24"/>
        </w:rPr>
        <w:t xml:space="preserve">（14）加热丝引出线接线方式 </w:t>
      </w:r>
      <w:r>
        <w:rPr>
          <w:rFonts w:hint="eastAsia"/>
          <w:sz w:val="24"/>
          <w:u w:val="single"/>
        </w:rPr>
        <w:t>异形绝缘陶瓷块</w:t>
      </w:r>
    </w:p>
    <w:p>
      <w:pPr>
        <w:tabs>
          <w:tab w:val="left" w:pos="0"/>
        </w:tabs>
        <w:spacing w:line="440" w:lineRule="exact"/>
        <w:rPr>
          <w:rFonts w:hint="eastAsia"/>
          <w:sz w:val="24"/>
        </w:rPr>
      </w:pPr>
      <w:r>
        <w:rPr>
          <w:rFonts w:hint="eastAsia"/>
          <w:b/>
          <w:bCs/>
          <w:sz w:val="24"/>
        </w:rPr>
        <w:t xml:space="preserve">（15）设计冷启动功率 </w:t>
      </w:r>
      <w:r>
        <w:rPr>
          <w:rFonts w:hint="eastAsia"/>
          <w:b/>
          <w:bCs/>
          <w:sz w:val="24"/>
          <w:u w:val="single"/>
        </w:rPr>
        <w:t>～</w:t>
      </w:r>
      <w:r>
        <w:rPr>
          <w:rFonts w:hint="eastAsia"/>
          <w:b/>
          <w:bCs/>
          <w:sz w:val="24"/>
          <w:u w:val="single"/>
          <w:lang w:val="en-US" w:eastAsia="zh-CN"/>
        </w:rPr>
        <w:t>45</w:t>
      </w:r>
      <w:r>
        <w:rPr>
          <w:rFonts w:hint="eastAsia"/>
          <w:b/>
          <w:bCs/>
          <w:sz w:val="24"/>
          <w:u w:val="single"/>
        </w:rPr>
        <w:t>0Kw/220V三相五线</w:t>
      </w:r>
      <w:r>
        <w:rPr>
          <w:rFonts w:hint="eastAsia"/>
          <w:sz w:val="24"/>
        </w:rPr>
        <w:t>（可调）</w:t>
      </w:r>
    </w:p>
    <w:p>
      <w:pPr>
        <w:tabs>
          <w:tab w:val="left" w:pos="0"/>
        </w:tabs>
        <w:spacing w:line="440" w:lineRule="exact"/>
        <w:rPr>
          <w:rFonts w:hint="eastAsia"/>
          <w:sz w:val="24"/>
        </w:rPr>
      </w:pPr>
      <w:r>
        <w:rPr>
          <w:rFonts w:hint="eastAsia"/>
          <w:sz w:val="24"/>
        </w:rPr>
        <w:t>（16）电源</w:t>
      </w:r>
      <w:r>
        <w:rPr>
          <w:rFonts w:hint="eastAsia"/>
          <w:sz w:val="24"/>
          <w:u w:val="single"/>
        </w:rPr>
        <w:t xml:space="preserve"> 380V/220V;50Hz 三相五线</w:t>
      </w:r>
    </w:p>
    <w:p>
      <w:pPr>
        <w:tabs>
          <w:tab w:val="left" w:pos="0"/>
        </w:tabs>
        <w:spacing w:line="440" w:lineRule="exact"/>
        <w:rPr>
          <w:rFonts w:hint="eastAsia"/>
          <w:sz w:val="24"/>
        </w:rPr>
      </w:pPr>
      <w:r>
        <w:rPr>
          <w:rFonts w:hint="eastAsia"/>
          <w:sz w:val="24"/>
        </w:rPr>
        <w:t>（17）</w:t>
      </w:r>
      <w:r>
        <w:rPr>
          <w:rFonts w:hint="eastAsia"/>
          <w:b/>
          <w:bCs/>
          <w:sz w:val="24"/>
        </w:rPr>
        <w:t>每温区的电源</w:t>
      </w:r>
      <w:r>
        <w:rPr>
          <w:rFonts w:hint="eastAsia"/>
          <w:b/>
          <w:bCs/>
          <w:sz w:val="24"/>
          <w:u w:val="single"/>
        </w:rPr>
        <w:t>220V/两项</w:t>
      </w:r>
    </w:p>
    <w:p>
      <w:pPr>
        <w:tabs>
          <w:tab w:val="left" w:pos="0"/>
        </w:tabs>
        <w:spacing w:line="440" w:lineRule="exact"/>
        <w:rPr>
          <w:rFonts w:hint="eastAsia"/>
          <w:sz w:val="24"/>
        </w:rPr>
      </w:pPr>
      <w:r>
        <w:rPr>
          <w:rFonts w:hint="eastAsia"/>
          <w:sz w:val="24"/>
        </w:rPr>
        <w:t xml:space="preserve">（18）设计最高使用温度 </w:t>
      </w:r>
      <w:r>
        <w:rPr>
          <w:rFonts w:hint="eastAsia"/>
          <w:sz w:val="24"/>
          <w:u w:val="single"/>
          <w:lang w:val="en-US" w:eastAsia="zh-CN"/>
        </w:rPr>
        <w:t>65</w:t>
      </w:r>
      <w:r>
        <w:rPr>
          <w:rFonts w:hint="eastAsia"/>
          <w:sz w:val="24"/>
          <w:u w:val="single"/>
        </w:rPr>
        <w:t xml:space="preserve">0℃ </w:t>
      </w:r>
    </w:p>
    <w:p>
      <w:pPr>
        <w:tabs>
          <w:tab w:val="left" w:pos="0"/>
        </w:tabs>
        <w:spacing w:line="440" w:lineRule="exact"/>
        <w:rPr>
          <w:rFonts w:hint="eastAsia"/>
          <w:sz w:val="24"/>
        </w:rPr>
      </w:pPr>
      <w:r>
        <w:rPr>
          <w:rFonts w:hint="eastAsia"/>
          <w:sz w:val="24"/>
        </w:rPr>
        <w:t xml:space="preserve">（19）常用工艺温度 </w:t>
      </w:r>
      <w:r>
        <w:rPr>
          <w:rFonts w:hint="eastAsia"/>
          <w:sz w:val="24"/>
          <w:u w:val="single"/>
          <w:lang w:val="en-US" w:eastAsia="zh-CN"/>
        </w:rPr>
        <w:t>60</w:t>
      </w:r>
      <w:r>
        <w:rPr>
          <w:rFonts w:hint="eastAsia"/>
          <w:sz w:val="24"/>
          <w:u w:val="single"/>
        </w:rPr>
        <w:t>0℃左右</w:t>
      </w:r>
    </w:p>
    <w:p>
      <w:pPr>
        <w:tabs>
          <w:tab w:val="left" w:pos="0"/>
        </w:tabs>
        <w:spacing w:line="440" w:lineRule="exact"/>
        <w:rPr>
          <w:rFonts w:hint="eastAsia"/>
          <w:sz w:val="24"/>
        </w:rPr>
      </w:pPr>
      <w:r>
        <w:rPr>
          <w:rFonts w:hint="eastAsia"/>
          <w:sz w:val="24"/>
        </w:rPr>
        <w:t xml:space="preserve">（20）热电偶型号 </w:t>
      </w:r>
      <w:r>
        <w:rPr>
          <w:rFonts w:hint="eastAsia"/>
          <w:sz w:val="24"/>
          <w:u w:val="single"/>
        </w:rPr>
        <w:t>K分度号（铠装型）</w:t>
      </w:r>
    </w:p>
    <w:p>
      <w:pPr>
        <w:tabs>
          <w:tab w:val="left" w:pos="0"/>
        </w:tabs>
        <w:spacing w:line="440" w:lineRule="exact"/>
        <w:rPr>
          <w:rFonts w:hint="eastAsia"/>
          <w:sz w:val="24"/>
        </w:rPr>
      </w:pPr>
      <w:r>
        <w:rPr>
          <w:rFonts w:hint="eastAsia"/>
          <w:sz w:val="24"/>
        </w:rPr>
        <w:t>（21）</w:t>
      </w:r>
      <w:r>
        <w:rPr>
          <w:rFonts w:hint="eastAsia" w:ascii="宋体" w:hAnsi="宋体" w:cs="仿宋_GB2312"/>
          <w:sz w:val="24"/>
          <w:szCs w:val="24"/>
        </w:rPr>
        <w:t>★</w:t>
      </w:r>
      <w:r>
        <w:rPr>
          <w:rFonts w:hint="eastAsia"/>
          <w:sz w:val="24"/>
        </w:rPr>
        <w:t xml:space="preserve">温场均匀性 </w:t>
      </w:r>
      <w:r>
        <w:rPr>
          <w:rFonts w:hint="eastAsia"/>
          <w:sz w:val="24"/>
          <w:u w:val="single"/>
        </w:rPr>
        <w:t xml:space="preserve"> ≤±</w:t>
      </w:r>
      <w:r>
        <w:rPr>
          <w:rFonts w:hint="eastAsia"/>
          <w:sz w:val="24"/>
          <w:u w:val="single"/>
          <w:lang w:val="en-US" w:eastAsia="zh-CN"/>
        </w:rPr>
        <w:t>3</w:t>
      </w:r>
      <w:r>
        <w:rPr>
          <w:rFonts w:hint="eastAsia"/>
          <w:sz w:val="24"/>
          <w:u w:val="single"/>
        </w:rPr>
        <w:t>℃ /区 （高温区及中温区空载均匀性）</w:t>
      </w:r>
    </w:p>
    <w:p>
      <w:pPr>
        <w:tabs>
          <w:tab w:val="left" w:pos="0"/>
        </w:tabs>
        <w:spacing w:line="440" w:lineRule="exact"/>
        <w:ind w:left="723" w:hanging="723" w:hangingChars="300"/>
        <w:rPr>
          <w:rFonts w:hint="eastAsia"/>
          <w:b/>
          <w:bCs/>
          <w:sz w:val="24"/>
        </w:rPr>
      </w:pPr>
      <w:r>
        <w:rPr>
          <w:rFonts w:hint="eastAsia"/>
          <w:b/>
          <w:bCs/>
          <w:sz w:val="24"/>
        </w:rPr>
        <w:t>（22）</w:t>
      </w:r>
      <w:r>
        <w:rPr>
          <w:rFonts w:hint="eastAsia" w:ascii="宋体" w:hAnsi="宋体" w:cs="仿宋_GB2312"/>
          <w:sz w:val="24"/>
          <w:szCs w:val="24"/>
        </w:rPr>
        <w:t>★</w:t>
      </w:r>
      <w:r>
        <w:rPr>
          <w:rFonts w:hint="eastAsia"/>
          <w:b/>
          <w:bCs/>
          <w:sz w:val="24"/>
          <w:u w:val="single"/>
        </w:rPr>
        <w:t>温度控制回路</w:t>
      </w:r>
      <w:r>
        <w:rPr>
          <w:rFonts w:hint="eastAsia"/>
          <w:b/>
          <w:bCs/>
          <w:sz w:val="24"/>
          <w:u w:val="single"/>
          <w:lang w:val="en-US" w:eastAsia="zh-CN"/>
        </w:rPr>
        <w:t>3</w:t>
      </w:r>
      <w:r>
        <w:rPr>
          <w:rFonts w:hint="eastAsia"/>
          <w:b/>
          <w:bCs/>
          <w:sz w:val="24"/>
          <w:u w:val="single"/>
        </w:rPr>
        <w:t>4个（连接炉</w:t>
      </w:r>
      <w:r>
        <w:rPr>
          <w:rFonts w:hint="eastAsia"/>
          <w:b/>
          <w:bCs/>
          <w:sz w:val="24"/>
          <w:u w:val="single"/>
          <w:lang w:val="en-US" w:eastAsia="zh-CN"/>
        </w:rPr>
        <w:t>2</w:t>
      </w:r>
      <w:r>
        <w:rPr>
          <w:rFonts w:hint="eastAsia"/>
          <w:b/>
          <w:bCs/>
          <w:sz w:val="24"/>
          <w:u w:val="single"/>
        </w:rPr>
        <w:t>个;退火炉</w:t>
      </w:r>
      <w:r>
        <w:rPr>
          <w:rFonts w:hint="eastAsia"/>
          <w:b/>
          <w:bCs/>
          <w:sz w:val="24"/>
          <w:u w:val="single"/>
          <w:lang w:val="en-US" w:eastAsia="zh-CN"/>
        </w:rPr>
        <w:t>30</w:t>
      </w:r>
      <w:r>
        <w:rPr>
          <w:rFonts w:hint="eastAsia"/>
          <w:b/>
          <w:bCs/>
          <w:sz w:val="24"/>
          <w:u w:val="single"/>
        </w:rPr>
        <w:t>个；网带外循环加热保温箱2个；回路电源220V;100A）</w:t>
      </w:r>
    </w:p>
    <w:p>
      <w:pPr>
        <w:tabs>
          <w:tab w:val="left" w:pos="0"/>
        </w:tabs>
        <w:spacing w:line="440" w:lineRule="exact"/>
        <w:rPr>
          <w:rFonts w:hint="eastAsia"/>
          <w:sz w:val="24"/>
          <w:u w:val="single"/>
        </w:rPr>
      </w:pPr>
      <w:r>
        <w:rPr>
          <w:rFonts w:hint="eastAsia"/>
          <w:sz w:val="24"/>
        </w:rPr>
        <w:t>（23）仪表模块功能：</w:t>
      </w:r>
      <w:r>
        <w:rPr>
          <w:rFonts w:hint="eastAsia"/>
          <w:sz w:val="24"/>
          <w:u w:val="single"/>
        </w:rPr>
        <w:t xml:space="preserve">温度控制模块具有输出耦合功能；具备RS-485和以态网通 </w:t>
      </w:r>
    </w:p>
    <w:p>
      <w:pPr>
        <w:tabs>
          <w:tab w:val="left" w:pos="0"/>
        </w:tabs>
        <w:spacing w:line="440" w:lineRule="exact"/>
        <w:ind w:left="210" w:leftChars="100" w:firstLine="480" w:firstLineChars="200"/>
        <w:rPr>
          <w:rFonts w:hint="eastAsia"/>
          <w:sz w:val="24"/>
          <w:u w:val="single"/>
        </w:rPr>
      </w:pPr>
      <w:r>
        <w:rPr>
          <w:rFonts w:hint="eastAsia"/>
          <w:sz w:val="24"/>
          <w:u w:val="single"/>
        </w:rPr>
        <w:t>信接口与上位机或人机界面</w:t>
      </w:r>
    </w:p>
    <w:p>
      <w:pPr>
        <w:tabs>
          <w:tab w:val="left" w:pos="0"/>
        </w:tabs>
        <w:spacing w:line="440" w:lineRule="exact"/>
        <w:rPr>
          <w:rFonts w:hint="eastAsia"/>
          <w:sz w:val="24"/>
        </w:rPr>
      </w:pPr>
      <w:r>
        <w:rPr>
          <w:rFonts w:hint="eastAsia"/>
          <w:sz w:val="24"/>
        </w:rPr>
        <w:t>（24）</w:t>
      </w:r>
      <w:r>
        <w:rPr>
          <w:rFonts w:hint="eastAsia" w:ascii="宋体" w:hAnsi="宋体" w:cs="仿宋_GB2312"/>
          <w:sz w:val="24"/>
          <w:szCs w:val="24"/>
        </w:rPr>
        <w:t>★</w:t>
      </w:r>
      <w:r>
        <w:rPr>
          <w:rFonts w:hint="eastAsia"/>
          <w:sz w:val="24"/>
        </w:rPr>
        <w:t>仪表控温精度</w:t>
      </w:r>
      <w:r>
        <w:rPr>
          <w:rFonts w:hint="eastAsia"/>
          <w:sz w:val="24"/>
          <w:u w:val="single"/>
        </w:rPr>
        <w:t xml:space="preserve"> ≤±0.3%℃</w:t>
      </w:r>
    </w:p>
    <w:p>
      <w:pPr>
        <w:tabs>
          <w:tab w:val="left" w:pos="0"/>
        </w:tabs>
        <w:spacing w:line="440" w:lineRule="exact"/>
        <w:rPr>
          <w:rFonts w:hint="eastAsia"/>
          <w:sz w:val="24"/>
        </w:rPr>
      </w:pPr>
      <w:r>
        <w:rPr>
          <w:rFonts w:hint="eastAsia"/>
          <w:sz w:val="24"/>
        </w:rPr>
        <w:t xml:space="preserve">（25）控温方式 </w:t>
      </w:r>
      <w:r>
        <w:rPr>
          <w:rFonts w:hint="eastAsia"/>
          <w:sz w:val="24"/>
          <w:u w:val="single"/>
        </w:rPr>
        <w:t xml:space="preserve"> PID控制智能系统；SCR调整器控制；具有多种控制/调节方式：</w:t>
      </w:r>
    </w:p>
    <w:p>
      <w:pPr>
        <w:tabs>
          <w:tab w:val="left" w:pos="0"/>
        </w:tabs>
        <w:spacing w:line="440" w:lineRule="exact"/>
        <w:ind w:left="210" w:leftChars="100"/>
        <w:rPr>
          <w:rFonts w:hint="eastAsia"/>
          <w:sz w:val="24"/>
        </w:rPr>
      </w:pPr>
      <w:r>
        <w:rPr>
          <w:rFonts w:hint="eastAsia"/>
          <w:sz w:val="24"/>
          <w:u w:val="single"/>
        </w:rPr>
        <w:t xml:space="preserve">开环、恒压、恒流、恒功率、调功（过零）等，调节精度±1%；可通过Profibus-DP或以态网通信接口与DCS系统对接 </w:t>
      </w:r>
    </w:p>
    <w:p>
      <w:pPr>
        <w:tabs>
          <w:tab w:val="left" w:pos="0"/>
        </w:tabs>
        <w:spacing w:line="440" w:lineRule="exact"/>
        <w:rPr>
          <w:rFonts w:hint="eastAsia"/>
          <w:sz w:val="24"/>
        </w:rPr>
      </w:pPr>
      <w:r>
        <w:rPr>
          <w:rFonts w:hint="eastAsia"/>
          <w:sz w:val="24"/>
        </w:rPr>
        <w:t>（26）网速调节方式</w:t>
      </w:r>
      <w:r>
        <w:rPr>
          <w:rFonts w:hint="eastAsia"/>
          <w:sz w:val="24"/>
          <w:u w:val="single"/>
        </w:rPr>
        <w:t xml:space="preserve"> 伺服调速电机 （西门子）+齿轮减速机（泰隆）</w:t>
      </w:r>
    </w:p>
    <w:p>
      <w:pPr>
        <w:tabs>
          <w:tab w:val="left" w:pos="0"/>
        </w:tabs>
        <w:spacing w:line="440" w:lineRule="exact"/>
        <w:rPr>
          <w:rFonts w:hint="eastAsia"/>
          <w:b/>
          <w:bCs/>
          <w:sz w:val="24"/>
        </w:rPr>
      </w:pPr>
      <w:r>
        <w:rPr>
          <w:rFonts w:hint="eastAsia"/>
          <w:b/>
          <w:bCs/>
          <w:sz w:val="24"/>
        </w:rPr>
        <w:t>（27）配套减速类型</w:t>
      </w:r>
      <w:r>
        <w:rPr>
          <w:rFonts w:hint="eastAsia"/>
          <w:b/>
          <w:bCs/>
          <w:sz w:val="24"/>
          <w:u w:val="single"/>
        </w:rPr>
        <w:t>齿轮减速机</w:t>
      </w:r>
    </w:p>
    <w:p>
      <w:pPr>
        <w:tabs>
          <w:tab w:val="left" w:pos="0"/>
        </w:tabs>
        <w:spacing w:line="440" w:lineRule="exact"/>
        <w:rPr>
          <w:rFonts w:hint="eastAsia"/>
          <w:b/>
          <w:bCs/>
          <w:color w:val="auto"/>
          <w:sz w:val="24"/>
          <w:u w:val="single"/>
        </w:rPr>
      </w:pPr>
      <w:r>
        <w:rPr>
          <w:rFonts w:hint="eastAsia"/>
          <w:b/>
          <w:bCs/>
          <w:color w:val="auto"/>
          <w:sz w:val="24"/>
        </w:rPr>
        <w:t>（28）</w:t>
      </w:r>
      <w:r>
        <w:rPr>
          <w:rFonts w:hint="eastAsia" w:ascii="宋体" w:hAnsi="宋体" w:cs="仿宋_GB2312"/>
          <w:color w:val="auto"/>
          <w:sz w:val="24"/>
          <w:szCs w:val="24"/>
        </w:rPr>
        <w:t>★</w:t>
      </w:r>
      <w:r>
        <w:rPr>
          <w:rFonts w:hint="eastAsia"/>
          <w:b/>
          <w:bCs/>
          <w:color w:val="auto"/>
          <w:sz w:val="24"/>
        </w:rPr>
        <w:t>网速调节范围</w:t>
      </w:r>
      <w:r>
        <w:rPr>
          <w:rFonts w:hint="eastAsia"/>
          <w:b/>
          <w:bCs/>
          <w:color w:val="auto"/>
          <w:sz w:val="24"/>
          <w:u w:val="single"/>
          <w:lang w:val="en-US" w:eastAsia="zh-CN"/>
        </w:rPr>
        <w:t>4</w:t>
      </w:r>
      <w:r>
        <w:rPr>
          <w:rFonts w:hint="eastAsia"/>
          <w:b/>
          <w:bCs/>
          <w:color w:val="auto"/>
          <w:sz w:val="24"/>
          <w:u w:val="single"/>
        </w:rPr>
        <w:t>-</w:t>
      </w:r>
      <w:r>
        <w:rPr>
          <w:rFonts w:hint="eastAsia"/>
          <w:b/>
          <w:bCs/>
          <w:color w:val="auto"/>
          <w:sz w:val="24"/>
          <w:u w:val="single"/>
          <w:lang w:val="en-US" w:eastAsia="zh-CN"/>
        </w:rPr>
        <w:t>4</w:t>
      </w:r>
      <w:r>
        <w:rPr>
          <w:rFonts w:hint="eastAsia"/>
          <w:b/>
          <w:bCs/>
          <w:color w:val="auto"/>
          <w:sz w:val="24"/>
          <w:u w:val="single"/>
        </w:rPr>
        <w:t>00mm/min可调</w:t>
      </w:r>
    </w:p>
    <w:p>
      <w:pPr>
        <w:tabs>
          <w:tab w:val="left" w:pos="0"/>
        </w:tabs>
        <w:spacing w:line="440" w:lineRule="exact"/>
        <w:rPr>
          <w:rFonts w:hint="eastAsia"/>
          <w:sz w:val="24"/>
          <w:u w:val="single"/>
        </w:rPr>
      </w:pPr>
      <w:r>
        <w:rPr>
          <w:rFonts w:hint="eastAsia"/>
          <w:sz w:val="24"/>
        </w:rPr>
        <w:t xml:space="preserve">（29）网带回转模式 </w:t>
      </w:r>
      <w:r>
        <w:rPr>
          <w:rFonts w:hint="eastAsia"/>
          <w:sz w:val="24"/>
          <w:u w:val="single"/>
        </w:rPr>
        <w:t xml:space="preserve"> 炉膛外部循环 </w:t>
      </w:r>
    </w:p>
    <w:p>
      <w:pPr>
        <w:tabs>
          <w:tab w:val="left" w:pos="0"/>
        </w:tabs>
        <w:spacing w:line="440" w:lineRule="exact"/>
        <w:rPr>
          <w:rFonts w:hint="eastAsia"/>
          <w:sz w:val="24"/>
          <w:u w:val="single"/>
        </w:rPr>
      </w:pPr>
      <w:r>
        <w:rPr>
          <w:rFonts w:hint="eastAsia"/>
          <w:sz w:val="24"/>
        </w:rPr>
        <w:t>（30）上轨道支撑方式</w:t>
      </w:r>
      <w:r>
        <w:rPr>
          <w:rFonts w:hint="eastAsia"/>
          <w:sz w:val="24"/>
          <w:u w:val="single"/>
        </w:rPr>
        <w:t xml:space="preserve"> 不锈钢板材折弯成型异形件组焊而成</w:t>
      </w:r>
    </w:p>
    <w:p>
      <w:pPr>
        <w:tabs>
          <w:tab w:val="left" w:pos="0"/>
        </w:tabs>
        <w:spacing w:line="440" w:lineRule="exact"/>
        <w:rPr>
          <w:rFonts w:hint="eastAsia"/>
          <w:sz w:val="24"/>
          <w:u w:val="single"/>
        </w:rPr>
      </w:pPr>
      <w:r>
        <w:rPr>
          <w:rFonts w:hint="eastAsia"/>
          <w:sz w:val="24"/>
        </w:rPr>
        <w:t xml:space="preserve">（31）下轨道支撑方式 </w:t>
      </w:r>
      <w:r>
        <w:rPr>
          <w:rFonts w:hint="eastAsia"/>
          <w:sz w:val="24"/>
          <w:u w:val="single"/>
        </w:rPr>
        <w:t>不锈钢滚轮条（</w:t>
      </w:r>
      <w:r>
        <w:rPr>
          <w:rFonts w:hint="eastAsia"/>
          <w:sz w:val="24"/>
          <w:u w:val="single"/>
          <w:lang w:val="en-US" w:eastAsia="zh-CN"/>
        </w:rPr>
        <w:t>5</w:t>
      </w:r>
      <w:r>
        <w:rPr>
          <w:rFonts w:hint="eastAsia"/>
          <w:sz w:val="24"/>
          <w:u w:val="single"/>
        </w:rPr>
        <w:t>排）</w:t>
      </w:r>
    </w:p>
    <w:p>
      <w:pPr>
        <w:tabs>
          <w:tab w:val="left" w:pos="0"/>
        </w:tabs>
        <w:spacing w:line="440" w:lineRule="exact"/>
        <w:rPr>
          <w:rFonts w:hint="eastAsia"/>
          <w:sz w:val="24"/>
          <w:u w:val="single"/>
        </w:rPr>
      </w:pPr>
      <w:r>
        <w:rPr>
          <w:rFonts w:hint="eastAsia"/>
          <w:sz w:val="24"/>
        </w:rPr>
        <w:t>（32）下轨道跑偏装置</w:t>
      </w:r>
      <w:r>
        <w:rPr>
          <w:rFonts w:hint="eastAsia"/>
          <w:sz w:val="24"/>
          <w:u w:val="single"/>
        </w:rPr>
        <w:t xml:space="preserve"> 安装螺栓滚子轴承（两侧）</w:t>
      </w:r>
    </w:p>
    <w:p>
      <w:pPr>
        <w:tabs>
          <w:tab w:val="left" w:pos="0"/>
        </w:tabs>
        <w:spacing w:line="440" w:lineRule="exact"/>
        <w:rPr>
          <w:rFonts w:hint="eastAsia"/>
          <w:sz w:val="24"/>
        </w:rPr>
      </w:pPr>
      <w:r>
        <w:rPr>
          <w:rFonts w:hint="eastAsia"/>
          <w:sz w:val="24"/>
        </w:rPr>
        <w:t xml:space="preserve">（33）网带设计 </w:t>
      </w:r>
      <w:r>
        <w:rPr>
          <w:rFonts w:hint="eastAsia"/>
          <w:sz w:val="24"/>
          <w:u w:val="single"/>
        </w:rPr>
        <w:t>气动张紧</w:t>
      </w:r>
    </w:p>
    <w:p>
      <w:pPr>
        <w:tabs>
          <w:tab w:val="left" w:pos="0"/>
        </w:tabs>
        <w:spacing w:line="440" w:lineRule="exact"/>
        <w:rPr>
          <w:rFonts w:hint="eastAsia"/>
          <w:sz w:val="24"/>
          <w:u w:val="single"/>
        </w:rPr>
      </w:pPr>
      <w:r>
        <w:rPr>
          <w:rFonts w:hint="eastAsia"/>
          <w:sz w:val="24"/>
        </w:rPr>
        <w:t>（34）炉衬耐火保温材料</w:t>
      </w:r>
      <w:r>
        <w:rPr>
          <w:rFonts w:hint="eastAsia"/>
          <w:sz w:val="24"/>
          <w:u w:val="single"/>
        </w:rPr>
        <w:t xml:space="preserve"> 1400℃陶瓷纤维板（烧结)+1260℃陶瓷纤维+1260℃陶瓷纤维毯</w:t>
      </w:r>
    </w:p>
    <w:p>
      <w:pPr>
        <w:tabs>
          <w:tab w:val="left" w:pos="0"/>
        </w:tabs>
        <w:spacing w:line="440" w:lineRule="exact"/>
        <w:rPr>
          <w:rFonts w:hint="eastAsia"/>
          <w:sz w:val="24"/>
          <w:u w:val="single"/>
        </w:rPr>
      </w:pPr>
      <w:r>
        <w:rPr>
          <w:rFonts w:hint="eastAsia"/>
          <w:sz w:val="24"/>
        </w:rPr>
        <w:t xml:space="preserve">（35）温区之间设有隔热板 </w:t>
      </w:r>
      <w:r>
        <w:rPr>
          <w:rFonts w:hint="eastAsia"/>
          <w:sz w:val="24"/>
          <w:u w:val="single"/>
        </w:rPr>
        <w:t>隔热板到网带上平面高度300mm</w:t>
      </w:r>
    </w:p>
    <w:p>
      <w:pPr>
        <w:tabs>
          <w:tab w:val="left" w:pos="0"/>
        </w:tabs>
        <w:spacing w:line="440" w:lineRule="exact"/>
        <w:rPr>
          <w:rFonts w:hint="eastAsia"/>
          <w:sz w:val="24"/>
          <w:u w:val="single"/>
        </w:rPr>
      </w:pPr>
      <w:r>
        <w:rPr>
          <w:rFonts w:hint="eastAsia"/>
          <w:sz w:val="24"/>
        </w:rPr>
        <w:t>（36）装饰表面温升</w:t>
      </w:r>
      <w:r>
        <w:rPr>
          <w:rFonts w:hint="eastAsia"/>
          <w:sz w:val="24"/>
          <w:u w:val="single"/>
        </w:rPr>
        <w:t xml:space="preserve"> ≤40℃</w:t>
      </w:r>
    </w:p>
    <w:p>
      <w:pPr>
        <w:tabs>
          <w:tab w:val="left" w:pos="0"/>
        </w:tabs>
        <w:spacing w:line="480" w:lineRule="exact"/>
        <w:rPr>
          <w:rFonts w:hint="eastAsia"/>
          <w:sz w:val="24"/>
          <w:u w:val="single"/>
        </w:rPr>
      </w:pPr>
      <w:r>
        <w:rPr>
          <w:rFonts w:hint="eastAsia"/>
          <w:sz w:val="24"/>
        </w:rPr>
        <w:t xml:space="preserve">（37）炉体外形结构 </w:t>
      </w:r>
      <w:r>
        <w:rPr>
          <w:rFonts w:hint="eastAsia"/>
          <w:sz w:val="24"/>
          <w:u w:val="single"/>
        </w:rPr>
        <w:t>模块拼装式</w:t>
      </w:r>
    </w:p>
    <w:p>
      <w:pPr>
        <w:spacing w:line="480" w:lineRule="exact"/>
        <w:outlineLvl w:val="1"/>
        <w:rPr>
          <w:rFonts w:hint="eastAsia"/>
          <w:b/>
          <w:bCs/>
          <w:sz w:val="28"/>
          <w:szCs w:val="28"/>
        </w:rPr>
      </w:pPr>
      <w:bookmarkStart w:id="8" w:name="_Toc7461"/>
      <w:r>
        <w:rPr>
          <w:rFonts w:hint="eastAsia"/>
          <w:b/>
          <w:bCs/>
          <w:color w:val="000000"/>
          <w:sz w:val="28"/>
          <w:szCs w:val="28"/>
        </w:rPr>
        <w:t>五、</w:t>
      </w:r>
      <w:r>
        <w:rPr>
          <w:rFonts w:hint="eastAsia"/>
          <w:b/>
          <w:bCs/>
          <w:sz w:val="28"/>
          <w:szCs w:val="28"/>
        </w:rPr>
        <w:t>退火炉电力、等供应</w:t>
      </w:r>
      <w:bookmarkEnd w:id="8"/>
    </w:p>
    <w:p>
      <w:pPr>
        <w:spacing w:line="480" w:lineRule="exact"/>
        <w:rPr>
          <w:rFonts w:hint="eastAsia"/>
          <w:sz w:val="24"/>
          <w:u w:val="single"/>
        </w:rPr>
      </w:pPr>
      <w:r>
        <w:rPr>
          <w:rFonts w:hint="eastAsia"/>
          <w:sz w:val="24"/>
        </w:rPr>
        <w:t xml:space="preserve"> 1）电源 </w:t>
      </w:r>
      <w:r>
        <w:rPr>
          <w:rFonts w:hint="eastAsia"/>
          <w:sz w:val="24"/>
          <w:u w:val="single"/>
        </w:rPr>
        <w:t xml:space="preserve"> 380/220V/50-60Hz 三相五线</w:t>
      </w:r>
    </w:p>
    <w:p>
      <w:pPr>
        <w:spacing w:line="480" w:lineRule="exact"/>
        <w:rPr>
          <w:rFonts w:hint="eastAsia"/>
          <w:sz w:val="24"/>
          <w:u w:val="single"/>
        </w:rPr>
      </w:pPr>
      <w:r>
        <w:rPr>
          <w:rFonts w:hint="eastAsia"/>
          <w:sz w:val="24"/>
        </w:rPr>
        <w:t xml:space="preserve"> 2）供电功率 </w:t>
      </w:r>
      <w:r>
        <w:rPr>
          <w:rFonts w:hint="eastAsia"/>
          <w:sz w:val="24"/>
          <w:u w:val="single"/>
        </w:rPr>
        <w:t xml:space="preserve"> ≥</w:t>
      </w:r>
      <w:r>
        <w:rPr>
          <w:rFonts w:hint="eastAsia"/>
          <w:sz w:val="24"/>
          <w:u w:val="single"/>
          <w:lang w:val="en-US" w:eastAsia="zh-CN"/>
        </w:rPr>
        <w:t>60</w:t>
      </w:r>
      <w:r>
        <w:rPr>
          <w:rFonts w:hint="eastAsia"/>
          <w:sz w:val="24"/>
          <w:u w:val="single"/>
        </w:rPr>
        <w:t>0KVA 变压器</w:t>
      </w:r>
    </w:p>
    <w:p>
      <w:pPr>
        <w:spacing w:line="480" w:lineRule="exact"/>
        <w:rPr>
          <w:rFonts w:hint="eastAsia"/>
          <w:sz w:val="24"/>
          <w:u w:val="single"/>
        </w:rPr>
      </w:pPr>
      <w:r>
        <w:rPr>
          <w:rFonts w:hint="eastAsia"/>
          <w:sz w:val="24"/>
        </w:rPr>
        <w:t xml:space="preserve"> </w:t>
      </w:r>
      <w:r>
        <w:rPr>
          <w:rFonts w:hint="eastAsia"/>
          <w:sz w:val="24"/>
          <w:lang w:val="en-US" w:eastAsia="zh-CN"/>
        </w:rPr>
        <w:t>3</w:t>
      </w:r>
      <w:r>
        <w:rPr>
          <w:rFonts w:hint="eastAsia"/>
          <w:sz w:val="24"/>
        </w:rPr>
        <w:t xml:space="preserve">）水 </w:t>
      </w:r>
      <w:r>
        <w:rPr>
          <w:rFonts w:hint="eastAsia"/>
          <w:sz w:val="24"/>
          <w:u w:val="single"/>
        </w:rPr>
        <w:t xml:space="preserve"> 自来水供应</w:t>
      </w:r>
    </w:p>
    <w:p>
      <w:pPr>
        <w:spacing w:line="480" w:lineRule="exact"/>
        <w:rPr>
          <w:rFonts w:hint="eastAsia"/>
          <w:sz w:val="24"/>
          <w:u w:val="single"/>
        </w:rPr>
      </w:pPr>
    </w:p>
    <w:p>
      <w:pPr>
        <w:tabs>
          <w:tab w:val="left" w:pos="7665"/>
        </w:tabs>
        <w:spacing w:line="400" w:lineRule="exact"/>
        <w:ind w:firstLine="3253" w:firstLineChars="900"/>
        <w:rPr>
          <w:rFonts w:ascii="宋体" w:hAnsi="宋体"/>
          <w:b/>
          <w:bCs/>
          <w:color w:val="000000" w:themeColor="text1"/>
          <w:sz w:val="36"/>
          <w:szCs w:val="36"/>
          <w14:textFill>
            <w14:solidFill>
              <w14:schemeClr w14:val="tx1"/>
            </w14:solidFill>
          </w14:textFill>
        </w:rPr>
      </w:pPr>
      <w:r>
        <w:rPr>
          <w:rFonts w:hint="eastAsia" w:ascii="宋体" w:hAnsi="宋体"/>
          <w:b/>
          <w:bCs/>
          <w:color w:val="000000" w:themeColor="text1"/>
          <w:sz w:val="36"/>
          <w:szCs w:val="36"/>
          <w14:textFill>
            <w14:solidFill>
              <w14:schemeClr w14:val="tx1"/>
            </w14:solidFill>
          </w14:textFill>
        </w:rPr>
        <w:t>第四章  响应文件格式</w:t>
      </w:r>
    </w:p>
    <w:p>
      <w:pPr>
        <w:tabs>
          <w:tab w:val="left" w:pos="7665"/>
        </w:tabs>
        <w:spacing w:line="400" w:lineRule="exact"/>
        <w:ind w:firstLine="480"/>
        <w:rPr>
          <w:rFonts w:ascii="宋体" w:hAnsi="宋体"/>
          <w:bCs/>
          <w:color w:val="000000" w:themeColor="text1"/>
          <w:sz w:val="24"/>
          <w14:textFill>
            <w14:solidFill>
              <w14:schemeClr w14:val="tx1"/>
            </w14:solidFill>
          </w14:textFill>
        </w:rPr>
      </w:pPr>
    </w:p>
    <w:p>
      <w:pPr>
        <w:spacing w:line="360" w:lineRule="auto"/>
        <w:ind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一、本章所制响应文件格式，除格式中明确将该格式作为实质性要求的，一律不具有强制性，但是，供应商响应文件相关资料和本章所制格式不一致的，询价评审小组将在评分时以响应文件不规范予以扣分处理。</w:t>
      </w:r>
    </w:p>
    <w:p>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二、本章所制响应文件格式有关表格中的备注栏，由供应商根据自身响应情况作解释性说明，不作为必填项。</w:t>
      </w:r>
    </w:p>
    <w:p>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三、本章所制响应文件格式中需要填写的相关内容事项，可能会与本采购项目无关，在不改变响应文件原义、不影响本项目采购需求的情况下，供应商可以不予填写，但应当注明。</w:t>
      </w:r>
    </w:p>
    <w:p>
      <w:pPr>
        <w:rPr>
          <w:rFonts w:hint="eastAsia"/>
          <w:color w:val="000000" w:themeColor="text1"/>
          <w:sz w:val="24"/>
          <w14:textFill>
            <w14:solidFill>
              <w14:schemeClr w14:val="tx1"/>
            </w14:solidFill>
          </w14:textFill>
        </w:rPr>
      </w:pPr>
    </w:p>
    <w:p>
      <w:pPr>
        <w:ind w:firstLine="2891" w:firstLineChars="900"/>
        <w:rPr>
          <w:rFonts w:hint="eastAsia"/>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一、法定代表人授权书</w:t>
      </w:r>
    </w:p>
    <w:p>
      <w:pPr>
        <w:jc w:val="center"/>
        <w:rPr>
          <w:rFonts w:hint="eastAsia"/>
          <w:b/>
          <w:color w:val="000000" w:themeColor="text1"/>
          <w:sz w:val="44"/>
          <w14:textFill>
            <w14:solidFill>
              <w14:schemeClr w14:val="tx1"/>
            </w14:solidFill>
          </w14:textFill>
        </w:rPr>
      </w:pPr>
    </w:p>
    <w:p>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采购人名称）</w:t>
      </w:r>
      <w:r>
        <w:rPr>
          <w:rFonts w:hint="eastAsia" w:ascii="宋体" w:hAnsi="宋体"/>
          <w:color w:val="000000" w:themeColor="text1"/>
          <w:sz w:val="24"/>
          <w14:textFill>
            <w14:solidFill>
              <w14:schemeClr w14:val="tx1"/>
            </w14:solidFill>
          </w14:textFill>
        </w:rPr>
        <w:t>：</w:t>
      </w:r>
    </w:p>
    <w:p>
      <w:pPr>
        <w:spacing w:line="360" w:lineRule="auto"/>
        <w:ind w:left="315" w:leftChars="150" w:firstLine="840" w:firstLineChars="35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本授权声明：</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（单位名称）,</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（法定代表人姓名、职务）授权</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（被授权人姓名、职务）为我方参加</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项目（采购编号：</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）询价采购活动的合法代表，以我方名义全权处理该项目有关询价、报价、签订合同以及执行合同等一切事宜。</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特此声明。</w:t>
      </w: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供应商名称：XXX（盖单位公章）</w:t>
      </w: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法定代表人（签字或盖章）：XXX</w:t>
      </w: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职    务：XXX</w:t>
      </w: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被授权人签字：XXX</w:t>
      </w: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职    务：XXX</w:t>
      </w:r>
    </w:p>
    <w:p>
      <w:pPr>
        <w:spacing w:line="400" w:lineRule="exact"/>
        <w:ind w:firstLine="480" w:firstLineChars="200"/>
        <w:rPr>
          <w:rFonts w:ascii="宋体" w:hAnsi="宋体" w:cs="Arial"/>
          <w:b/>
          <w:bCs/>
          <w:color w:val="000000" w:themeColor="text1"/>
          <w:sz w:val="32"/>
          <w:szCs w:val="32"/>
          <w14:textFill>
            <w14:solidFill>
              <w14:schemeClr w14:val="tx1"/>
            </w14:solidFill>
          </w14:textFill>
        </w:rPr>
      </w:pPr>
      <w:r>
        <w:rPr>
          <w:rFonts w:hint="eastAsia" w:ascii="宋体" w:hAnsi="宋体"/>
          <w:color w:val="000000" w:themeColor="text1"/>
          <w:sz w:val="24"/>
          <w14:textFill>
            <w14:solidFill>
              <w14:schemeClr w14:val="tx1"/>
            </w14:solidFill>
          </w14:textFill>
        </w:rPr>
        <w:t>日    期：XXX年XXX月XXX日</w:t>
      </w:r>
    </w:p>
    <w:p>
      <w:pPr>
        <w:ind w:firstLine="2891" w:firstLineChars="900"/>
        <w:rPr>
          <w:rFonts w:ascii="宋体" w:hAnsi="宋体" w:cs="Arial"/>
          <w:b/>
          <w:bCs/>
          <w:color w:val="000000" w:themeColor="text1"/>
          <w:sz w:val="32"/>
          <w:szCs w:val="32"/>
          <w14:textFill>
            <w14:solidFill>
              <w14:schemeClr w14:val="tx1"/>
            </w14:solidFill>
          </w14:textFill>
        </w:rPr>
      </w:pPr>
      <w:r>
        <w:rPr>
          <w:rFonts w:hint="eastAsia" w:ascii="宋体" w:hAnsi="宋体" w:cs="Arial"/>
          <w:b/>
          <w:bCs/>
          <w:color w:val="000000" w:themeColor="text1"/>
          <w:sz w:val="32"/>
          <w:szCs w:val="32"/>
          <w14:textFill>
            <w14:solidFill>
              <w14:schemeClr w14:val="tx1"/>
            </w14:solidFill>
          </w14:textFill>
        </w:rPr>
        <w:t>二、供应商基本情况表</w:t>
      </w:r>
    </w:p>
    <w:p>
      <w:pPr>
        <w:jc w:val="center"/>
        <w:rPr>
          <w:rFonts w:ascii="宋体" w:hAnsi="宋体" w:cs="Arial"/>
          <w:b/>
          <w:bCs/>
          <w:color w:val="000000" w:themeColor="text1"/>
          <w:sz w:val="32"/>
          <w:szCs w:val="32"/>
          <w14:textFill>
            <w14:solidFill>
              <w14:schemeClr w14:val="tx1"/>
            </w14:solidFill>
          </w14:textFill>
        </w:rPr>
      </w:pPr>
    </w:p>
    <w:tbl>
      <w:tblPr>
        <w:tblStyle w:val="1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供应商名称</w:t>
            </w:r>
          </w:p>
        </w:tc>
        <w:tc>
          <w:tcPr>
            <w:tcW w:w="7560" w:type="dxa"/>
            <w:gridSpan w:val="11"/>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注册地址</w:t>
            </w:r>
          </w:p>
        </w:tc>
        <w:tc>
          <w:tcPr>
            <w:tcW w:w="4680" w:type="dxa"/>
            <w:gridSpan w:val="6"/>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邮政编码</w:t>
            </w:r>
          </w:p>
        </w:tc>
        <w:tc>
          <w:tcPr>
            <w:tcW w:w="1620" w:type="dxa"/>
            <w:gridSpan w:val="2"/>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联系方式</w:t>
            </w:r>
          </w:p>
        </w:tc>
        <w:tc>
          <w:tcPr>
            <w:tcW w:w="108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联系人</w:t>
            </w:r>
          </w:p>
        </w:tc>
        <w:tc>
          <w:tcPr>
            <w:tcW w:w="3600" w:type="dxa"/>
            <w:gridSpan w:val="5"/>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联系电话</w:t>
            </w:r>
          </w:p>
        </w:tc>
        <w:tc>
          <w:tcPr>
            <w:tcW w:w="1620" w:type="dxa"/>
            <w:gridSpan w:val="2"/>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vAlign w:val="center"/>
          </w:tcPr>
          <w:p>
            <w:pPr>
              <w:jc w:val="center"/>
              <w:rPr>
                <w:rFonts w:ascii="宋体" w:hAnsi="宋体" w:cs="Arial"/>
                <w:bCs/>
                <w:color w:val="000000" w:themeColor="text1"/>
                <w:szCs w:val="21"/>
                <w14:textFill>
                  <w14:solidFill>
                    <w14:schemeClr w14:val="tx1"/>
                  </w14:solidFill>
                </w14:textFill>
              </w:rPr>
            </w:pPr>
          </w:p>
        </w:tc>
        <w:tc>
          <w:tcPr>
            <w:tcW w:w="108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传真</w:t>
            </w:r>
          </w:p>
        </w:tc>
        <w:tc>
          <w:tcPr>
            <w:tcW w:w="3600" w:type="dxa"/>
            <w:gridSpan w:val="5"/>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网址</w:t>
            </w:r>
          </w:p>
        </w:tc>
        <w:tc>
          <w:tcPr>
            <w:tcW w:w="1620" w:type="dxa"/>
            <w:gridSpan w:val="2"/>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组织结构</w:t>
            </w:r>
          </w:p>
        </w:tc>
        <w:tc>
          <w:tcPr>
            <w:tcW w:w="7560" w:type="dxa"/>
            <w:gridSpan w:val="11"/>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法定代表人</w:t>
            </w:r>
          </w:p>
        </w:tc>
        <w:tc>
          <w:tcPr>
            <w:tcW w:w="1260" w:type="dxa"/>
            <w:gridSpan w:val="2"/>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姓名</w:t>
            </w: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技术职称</w:t>
            </w: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联系电话</w:t>
            </w: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技术负责人</w:t>
            </w:r>
          </w:p>
        </w:tc>
        <w:tc>
          <w:tcPr>
            <w:tcW w:w="1260" w:type="dxa"/>
            <w:gridSpan w:val="2"/>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姓名</w:t>
            </w: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技术职称</w:t>
            </w: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联系电话</w:t>
            </w: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成立时间</w:t>
            </w:r>
          </w:p>
        </w:tc>
        <w:tc>
          <w:tcPr>
            <w:tcW w:w="2520" w:type="dxa"/>
            <w:gridSpan w:val="3"/>
            <w:vAlign w:val="center"/>
          </w:tcPr>
          <w:p>
            <w:pPr>
              <w:jc w:val="center"/>
              <w:rPr>
                <w:rFonts w:ascii="宋体" w:hAnsi="宋体" w:cs="Arial"/>
                <w:bCs/>
                <w:color w:val="000000" w:themeColor="text1"/>
                <w:szCs w:val="21"/>
                <w14:textFill>
                  <w14:solidFill>
                    <w14:schemeClr w14:val="tx1"/>
                  </w14:solidFill>
                </w14:textFill>
              </w:rPr>
            </w:pPr>
          </w:p>
        </w:tc>
        <w:tc>
          <w:tcPr>
            <w:tcW w:w="5040" w:type="dxa"/>
            <w:gridSpan w:val="8"/>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企业资质等级</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restart"/>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其中</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项目经理</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营业执照</w:t>
            </w:r>
            <w:r>
              <w:rPr>
                <w:rFonts w:hint="eastAsia"/>
                <w:color w:val="000000" w:themeColor="text1"/>
                <w14:textFill>
                  <w14:solidFill>
                    <w14:schemeClr w14:val="tx1"/>
                  </w14:solidFill>
                </w14:textFill>
              </w:rPr>
              <w:t>号</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continue"/>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高级职称人员</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注册资金</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continue"/>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中级职称人员</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开户银行</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continue"/>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初级职称人员</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账号</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continue"/>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技工</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经营范围</w:t>
            </w:r>
          </w:p>
        </w:tc>
        <w:tc>
          <w:tcPr>
            <w:tcW w:w="7560" w:type="dxa"/>
            <w:gridSpan w:val="11"/>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备注</w:t>
            </w:r>
          </w:p>
        </w:tc>
        <w:tc>
          <w:tcPr>
            <w:tcW w:w="7560" w:type="dxa"/>
            <w:gridSpan w:val="11"/>
            <w:vAlign w:val="center"/>
          </w:tcPr>
          <w:p>
            <w:pPr>
              <w:jc w:val="center"/>
              <w:rPr>
                <w:rFonts w:ascii="宋体" w:hAnsi="宋体" w:cs="Arial"/>
                <w:bCs/>
                <w:color w:val="000000" w:themeColor="text1"/>
                <w:szCs w:val="21"/>
                <w14:textFill>
                  <w14:solidFill>
                    <w14:schemeClr w14:val="tx1"/>
                  </w14:solidFill>
                </w14:textFill>
              </w:rPr>
            </w:pPr>
          </w:p>
        </w:tc>
      </w:tr>
    </w:tbl>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360" w:lineRule="auto"/>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供应商名称：XXX（盖单位公章）</w:t>
      </w:r>
    </w:p>
    <w:p>
      <w:pPr>
        <w:adjustRightInd w:val="0"/>
        <w:spacing w:line="360" w:lineRule="auto"/>
        <w:jc w:val="left"/>
        <w:rPr>
          <w:rFonts w:hint="eastAsia"/>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法定代表人或授权代表（签字或盖章）：XXX</w:t>
      </w:r>
    </w:p>
    <w:p>
      <w:pPr>
        <w:adjustRightInd w:val="0"/>
        <w:spacing w:line="360" w:lineRule="auto"/>
        <w:jc w:val="left"/>
        <w:rPr>
          <w:rFonts w:hint="eastAsia"/>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日  期：XXX年XXX月XXX日</w:t>
      </w:r>
    </w:p>
    <w:p>
      <w:pPr>
        <w:jc w:val="both"/>
        <w:rPr>
          <w:rFonts w:hint="eastAsia"/>
          <w:b/>
          <w:color w:val="000000" w:themeColor="text1"/>
          <w:sz w:val="32"/>
          <w:szCs w:val="32"/>
          <w14:textFill>
            <w14:solidFill>
              <w14:schemeClr w14:val="tx1"/>
            </w14:solidFill>
          </w14:textFill>
        </w:rPr>
      </w:pPr>
    </w:p>
    <w:p>
      <w:pPr>
        <w:spacing w:line="400" w:lineRule="exact"/>
        <w:ind w:firstLine="3213" w:firstLineChars="1000"/>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三、承诺函</w:t>
      </w:r>
    </w:p>
    <w:p>
      <w:pPr>
        <w:spacing w:line="400" w:lineRule="exact"/>
        <w:ind w:firstLine="562" w:firstLineChars="200"/>
        <w:jc w:val="center"/>
        <w:rPr>
          <w:rFonts w:ascii="宋体" w:hAnsi="宋体" w:eastAsia="黑体"/>
          <w:b/>
          <w:color w:val="000000" w:themeColor="text1"/>
          <w:sz w:val="28"/>
          <w:szCs w:val="28"/>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采购人名称）</w:t>
      </w:r>
      <w:r>
        <w:rPr>
          <w:rFonts w:hint="eastAsia" w:ascii="宋体" w:hAnsi="宋体"/>
          <w:color w:val="000000" w:themeColor="text1"/>
          <w:sz w:val="24"/>
          <w14:textFill>
            <w14:solidFill>
              <w14:schemeClr w14:val="tx1"/>
            </w14:solidFill>
          </w14:textFill>
        </w:rPr>
        <w:t>：</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我公司作为本次询价项目的供应商，根据询价采购文件要求，现郑重承诺如下：</w:t>
      </w:r>
    </w:p>
    <w:p>
      <w:pPr>
        <w:spacing w:line="360" w:lineRule="auto"/>
        <w:ind w:firstLine="480" w:firstLineChars="200"/>
        <w:rPr>
          <w:rFonts w:hint="eastAsia"/>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w:t>
      </w:r>
      <w:r>
        <w:rPr>
          <w:rFonts w:hint="eastAsia"/>
          <w:color w:val="000000" w:themeColor="text1"/>
          <w:sz w:val="24"/>
          <w14:textFill>
            <w14:solidFill>
              <w14:schemeClr w14:val="tx1"/>
            </w14:solidFill>
          </w14:textFill>
        </w:rPr>
        <w:t>具备本项目规定的所有资格条件。</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五、响应文件中提供的能够给予我公司带来优惠、好处的任何资料和技术、服务、商务等响应承诺情况都是真实的、有效的、合法的。</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本公司对上述承诺的内容事项真实性负责。如经查实上述承诺的内容事项存在虚假，我公司愿意接受以提供虚假材料谋取成交的法律责任。</w:t>
      </w:r>
    </w:p>
    <w:p>
      <w:pPr>
        <w:spacing w:line="360" w:lineRule="auto"/>
        <w:rPr>
          <w:rFonts w:ascii="宋体" w:hAnsi="宋体"/>
          <w:color w:val="000000" w:themeColor="text1"/>
          <w:sz w:val="24"/>
          <w14:textFill>
            <w14:solidFill>
              <w14:schemeClr w14:val="tx1"/>
            </w14:solidFill>
          </w14:textFill>
        </w:rPr>
      </w:pPr>
    </w:p>
    <w:p>
      <w:pPr>
        <w:rPr>
          <w:rFonts w:ascii="宋体" w:hAnsi="宋体"/>
          <w:color w:val="000000" w:themeColor="text1"/>
          <w:sz w:val="24"/>
          <w14:textFill>
            <w14:solidFill>
              <w14:schemeClr w14:val="tx1"/>
            </w14:solidFill>
          </w14:textFill>
        </w:rPr>
      </w:pP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法定代表人签字或者加盖个人私章：XXXX</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授权代表签字：XXXX</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供应商名称：XXXX（盖章）</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    期：XXX年XXX月XXX日</w:t>
      </w:r>
    </w:p>
    <w:p>
      <w:pPr>
        <w:jc w:val="center"/>
        <w:rPr>
          <w:rFonts w:ascii="宋体" w:hAnsi="宋体"/>
          <w:bCs/>
          <w:color w:val="000000" w:themeColor="text1"/>
          <w:sz w:val="30"/>
          <w:szCs w:val="30"/>
          <w14:textFill>
            <w14:solidFill>
              <w14:schemeClr w14:val="tx1"/>
            </w14:solidFill>
          </w14:textFill>
        </w:rPr>
      </w:pPr>
    </w:p>
    <w:p>
      <w:pPr>
        <w:ind w:firstLine="3534" w:firstLineChars="1100"/>
        <w:rPr>
          <w:rFonts w:hint="eastAsia"/>
          <w:b/>
          <w:color w:val="000000" w:themeColor="text1"/>
          <w:sz w:val="32"/>
          <w:szCs w:val="32"/>
          <w14:textFill>
            <w14:solidFill>
              <w14:schemeClr w14:val="tx1"/>
            </w14:solidFill>
          </w14:textFill>
        </w:rPr>
      </w:pPr>
      <w:r>
        <w:rPr>
          <w:b/>
          <w:color w:val="000000" w:themeColor="text1"/>
          <w:sz w:val="32"/>
          <w:szCs w:val="32"/>
          <w14:textFill>
            <w14:solidFill>
              <w14:schemeClr w14:val="tx1"/>
            </w14:solidFill>
          </w14:textFill>
        </w:rPr>
        <w:br w:type="page"/>
      </w:r>
      <w:r>
        <w:rPr>
          <w:rFonts w:hint="eastAsia"/>
          <w:b/>
          <w:color w:val="000000" w:themeColor="text1"/>
          <w:sz w:val="32"/>
          <w:szCs w:val="32"/>
          <w14:textFill>
            <w14:solidFill>
              <w14:schemeClr w14:val="tx1"/>
            </w14:solidFill>
          </w14:textFill>
        </w:rPr>
        <w:t>四、报价函</w:t>
      </w:r>
    </w:p>
    <w:p>
      <w:pPr>
        <w:spacing w:line="360" w:lineRule="auto"/>
        <w:rPr>
          <w:rFonts w:ascii="宋体" w:hAnsi="宋体"/>
          <w:color w:val="000000" w:themeColor="text1"/>
          <w:sz w:val="24"/>
          <w14:textFill>
            <w14:solidFill>
              <w14:schemeClr w14:val="tx1"/>
            </w14:solidFill>
          </w14:textFill>
        </w:rPr>
      </w:pPr>
    </w:p>
    <w:p>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采购人名称）</w:t>
      </w:r>
      <w:r>
        <w:rPr>
          <w:rFonts w:hint="eastAsia" w:ascii="宋体" w:hAnsi="宋体"/>
          <w:color w:val="000000" w:themeColor="text1"/>
          <w:sz w:val="24"/>
          <w14:textFill>
            <w14:solidFill>
              <w14:schemeClr w14:val="tx1"/>
            </w14:solidFill>
          </w14:textFill>
        </w:rPr>
        <w:t>：</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1.我方全面研究了“</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”项目</w:t>
      </w:r>
      <w:r>
        <w:rPr>
          <w:rFonts w:hint="eastAsia" w:ascii="宋体" w:hAnsi="宋体"/>
          <w:bCs/>
          <w:color w:val="000000" w:themeColor="text1"/>
          <w:sz w:val="24"/>
          <w14:textFill>
            <w14:solidFill>
              <w14:schemeClr w14:val="tx1"/>
            </w14:solidFill>
          </w14:textFill>
        </w:rPr>
        <w:t>询价采购文件</w:t>
      </w:r>
      <w:r>
        <w:rPr>
          <w:rFonts w:hint="eastAsia" w:ascii="宋体" w:hAnsi="宋体"/>
          <w:color w:val="000000" w:themeColor="text1"/>
          <w:sz w:val="24"/>
          <w14:textFill>
            <w14:solidFill>
              <w14:schemeClr w14:val="tx1"/>
            </w14:solidFill>
          </w14:textFill>
        </w:rPr>
        <w:t>（项目编号：</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），决定参加贵单位组织的本项目询价采购。</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2.我方自愿按照</w:t>
      </w:r>
      <w:r>
        <w:rPr>
          <w:rFonts w:hint="eastAsia" w:ascii="宋体" w:hAnsi="宋体"/>
          <w:bCs/>
          <w:color w:val="000000" w:themeColor="text1"/>
          <w:sz w:val="24"/>
          <w14:textFill>
            <w14:solidFill>
              <w14:schemeClr w14:val="tx1"/>
            </w14:solidFill>
          </w14:textFill>
        </w:rPr>
        <w:t>询价采购文件</w:t>
      </w:r>
      <w:r>
        <w:rPr>
          <w:rFonts w:hint="eastAsia" w:ascii="宋体" w:hAnsi="宋体"/>
          <w:color w:val="000000" w:themeColor="text1"/>
          <w:sz w:val="24"/>
          <w14:textFill>
            <w14:solidFill>
              <w14:schemeClr w14:val="tx1"/>
            </w14:solidFill>
          </w14:textFill>
        </w:rPr>
        <w:t>规定的各项要求向采购人提供所需</w:t>
      </w:r>
      <w:r>
        <w:rPr>
          <w:rFonts w:hint="eastAsia" w:ascii="宋体" w:hAnsi="宋体"/>
          <w:b/>
          <w:color w:val="000000" w:themeColor="text1"/>
          <w:sz w:val="24"/>
          <w14:textFill>
            <w14:solidFill>
              <w14:schemeClr w14:val="tx1"/>
            </w14:solidFill>
          </w14:textFill>
        </w:rPr>
        <w:t>货物/服务</w:t>
      </w:r>
      <w:r>
        <w:rPr>
          <w:rFonts w:hint="eastAsia" w:ascii="宋体" w:hAnsi="宋体"/>
          <w:color w:val="000000" w:themeColor="text1"/>
          <w:sz w:val="24"/>
          <w14:textFill>
            <w14:solidFill>
              <w14:schemeClr w14:val="tx1"/>
            </w14:solidFill>
          </w14:textFill>
        </w:rPr>
        <w:t>，总报价为人民币</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万元（大写：</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pPr>
        <w:pStyle w:val="6"/>
        <w:spacing w:line="360" w:lineRule="auto"/>
        <w:ind w:firstLine="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3．</w:t>
      </w:r>
      <w:r>
        <w:rPr>
          <w:rFonts w:hint="eastAsia"/>
          <w:color w:val="000000" w:themeColor="text1"/>
          <w:sz w:val="24"/>
          <w14:textFill>
            <w14:solidFill>
              <w14:schemeClr w14:val="tx1"/>
            </w14:solidFill>
          </w14:textFill>
        </w:rPr>
        <w:t>我方提交的所有响应文件、资料都是准确和真实的，如有虚假或隐瞒，我方愿意承担一切法律责任。</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4.一旦我方成交，我方将严格履行采购合同规定的责任和义务。</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5.我方为本项目提交的响应文件为按询价采购文件要求的</w:t>
      </w:r>
      <w:r>
        <w:rPr>
          <w:rFonts w:hint="eastAsia"/>
          <w:color w:val="000000" w:themeColor="text1"/>
          <w:sz w:val="24"/>
          <w14:textFill>
            <w14:solidFill>
              <w14:schemeClr w14:val="tx1"/>
            </w14:solidFill>
          </w14:textFill>
        </w:rPr>
        <w:t>电子文件</w:t>
      </w:r>
      <w:r>
        <w:rPr>
          <w:rFonts w:hint="eastAsia"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份，纸质文件</w:t>
      </w:r>
      <w:r>
        <w:rPr>
          <w:rFonts w:hint="eastAsia"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份。</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7.本次询价，我方报价有效期为</w:t>
      </w:r>
      <w:r>
        <w:rPr>
          <w:rFonts w:hint="eastAsia" w:ascii="宋体" w:hAnsi="宋体"/>
          <w:bCs/>
          <w:color w:val="000000" w:themeColor="text1"/>
          <w:sz w:val="24"/>
          <w14:textFill>
            <w14:solidFill>
              <w14:schemeClr w14:val="tx1"/>
            </w14:solidFill>
          </w14:textFill>
        </w:rPr>
        <w:t>询价采购文件</w:t>
      </w:r>
      <w:r>
        <w:rPr>
          <w:rFonts w:hint="eastAsia"/>
          <w:color w:val="000000" w:themeColor="text1"/>
          <w:sz w:val="24"/>
          <w14:textFill>
            <w14:solidFill>
              <w14:schemeClr w14:val="tx1"/>
            </w14:solidFill>
          </w14:textFill>
        </w:rPr>
        <w:t>规定的起算之日起</w:t>
      </w:r>
      <w:r>
        <w:rPr>
          <w:rFonts w:hint="eastAsia"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天。</w:t>
      </w:r>
    </w:p>
    <w:p>
      <w:pPr>
        <w:adjustRightIn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 xml:space="preserve"> 若我方成交，愿意按有关规定及询价采购文件要求缴纳采购代理服务费。</w:t>
      </w:r>
    </w:p>
    <w:p>
      <w:pPr>
        <w:adjustRightInd w:val="0"/>
        <w:spacing w:line="400" w:lineRule="exact"/>
        <w:ind w:firstLine="480" w:firstLineChars="200"/>
        <w:jc w:val="left"/>
        <w:rPr>
          <w:rFonts w:ascii="宋体" w:hAnsi="宋体"/>
          <w:color w:val="000000" w:themeColor="text1"/>
          <w:sz w:val="24"/>
          <w14:textFill>
            <w14:solidFill>
              <w14:schemeClr w14:val="tx1"/>
            </w14:solidFill>
          </w14:textFill>
        </w:rPr>
      </w:pPr>
    </w:p>
    <w:p>
      <w:pPr>
        <w:adjustRightIn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供应商名称：XXX（盖单位公章）</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法定代表人或授权代表（签字或盖章）：XXX</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通讯地址：XXX</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邮政编码：XXX</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联系电话：XXX</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传    真：XXX</w:t>
      </w:r>
    </w:p>
    <w:p>
      <w:pPr>
        <w:spacing w:line="360" w:lineRule="auto"/>
        <w:ind w:firstLine="470" w:firstLineChars="196"/>
        <w:rPr>
          <w:rFonts w:hint="eastAsia"/>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    期：XXX年XXX月XXX日</w:t>
      </w:r>
    </w:p>
    <w:p>
      <w:pPr>
        <w:spacing w:line="400" w:lineRule="exact"/>
        <w:jc w:val="center"/>
        <w:rPr>
          <w:rFonts w:ascii="宋体" w:hAnsi="宋体"/>
          <w:color w:val="000000" w:themeColor="text1"/>
          <w:sz w:val="24"/>
          <w14:textFill>
            <w14:solidFill>
              <w14:schemeClr w14:val="tx1"/>
            </w14:solidFill>
          </w14:textFill>
        </w:rPr>
      </w:pPr>
    </w:p>
    <w:p>
      <w:pPr>
        <w:spacing w:line="400" w:lineRule="exact"/>
        <w:jc w:val="center"/>
        <w:rPr>
          <w:rFonts w:ascii="宋体" w:hAnsi="宋体"/>
          <w:color w:val="000000" w:themeColor="text1"/>
          <w:sz w:val="24"/>
          <w14:textFill>
            <w14:solidFill>
              <w14:schemeClr w14:val="tx1"/>
            </w14:solidFill>
          </w14:textFill>
        </w:rPr>
      </w:pPr>
    </w:p>
    <w:p>
      <w:pPr>
        <w:spacing w:line="400" w:lineRule="exact"/>
        <w:jc w:val="center"/>
        <w:rPr>
          <w:rFonts w:ascii="宋体" w:hAnsi="宋体"/>
          <w:color w:val="000000" w:themeColor="text1"/>
          <w:sz w:val="24"/>
          <w14:textFill>
            <w14:solidFill>
              <w14:schemeClr w14:val="tx1"/>
            </w14:solidFill>
          </w14:textFill>
        </w:rPr>
      </w:pPr>
    </w:p>
    <w:p>
      <w:pPr>
        <w:spacing w:line="400" w:lineRule="exact"/>
        <w:jc w:val="center"/>
        <w:rPr>
          <w:rFonts w:ascii="宋体" w:hAnsi="宋体"/>
          <w:color w:val="000000" w:themeColor="text1"/>
          <w:sz w:val="24"/>
          <w14:textFill>
            <w14:solidFill>
              <w14:schemeClr w14:val="tx1"/>
            </w14:solidFill>
          </w14:textFill>
        </w:rPr>
      </w:pPr>
    </w:p>
    <w:p>
      <w:pPr>
        <w:spacing w:line="400" w:lineRule="exact"/>
        <w:rPr>
          <w:rFonts w:ascii="宋体" w:hAnsi="宋体"/>
        </w:rPr>
      </w:pPr>
    </w:p>
    <w:p>
      <w:pPr>
        <w:ind w:firstLine="2570" w:firstLineChars="800"/>
        <w:rPr>
          <w:rFonts w:ascii="宋体" w:hAnsi="宋体" w:cs="Arial"/>
          <w:b/>
          <w:bCs/>
          <w:sz w:val="32"/>
          <w:szCs w:val="32"/>
        </w:rPr>
      </w:pPr>
      <w:r>
        <w:rPr>
          <w:rFonts w:hint="eastAsia" w:ascii="宋体" w:hAnsi="宋体" w:cs="Arial"/>
          <w:b/>
          <w:bCs/>
          <w:sz w:val="32"/>
          <w:szCs w:val="32"/>
        </w:rPr>
        <w:t>五、供应商类似项目业绩一览表</w:t>
      </w:r>
    </w:p>
    <w:p>
      <w:pPr>
        <w:spacing w:line="400" w:lineRule="exact"/>
        <w:rPr>
          <w:rFonts w:ascii="宋体" w:hAnsi="宋体" w:cs="Arial"/>
          <w:sz w:val="24"/>
        </w:rPr>
      </w:pPr>
    </w:p>
    <w:tbl>
      <w:tblPr>
        <w:tblStyle w:val="14"/>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line="400" w:lineRule="exact"/>
              <w:ind w:firstLine="105" w:firstLineChars="50"/>
              <w:jc w:val="center"/>
              <w:rPr>
                <w:rFonts w:ascii="宋体" w:hAnsi="宋体" w:cs="Arial"/>
                <w:b/>
              </w:rPr>
            </w:pPr>
            <w:r>
              <w:rPr>
                <w:rFonts w:hint="eastAsia" w:ascii="宋体" w:hAnsi="宋体" w:cs="Arial"/>
                <w:b/>
              </w:rPr>
              <w:t>年份</w:t>
            </w:r>
          </w:p>
        </w:tc>
        <w:tc>
          <w:tcPr>
            <w:tcW w:w="1439" w:type="dxa"/>
            <w:vAlign w:val="center"/>
          </w:tcPr>
          <w:p>
            <w:pPr>
              <w:spacing w:line="400" w:lineRule="exact"/>
              <w:jc w:val="center"/>
              <w:rPr>
                <w:rFonts w:ascii="宋体" w:hAnsi="宋体" w:cs="Arial"/>
                <w:b/>
              </w:rPr>
            </w:pPr>
            <w:r>
              <w:rPr>
                <w:rFonts w:hint="eastAsia" w:ascii="宋体" w:hAnsi="宋体" w:cs="Arial"/>
                <w:b/>
              </w:rPr>
              <w:t>用户名称</w:t>
            </w:r>
          </w:p>
        </w:tc>
        <w:tc>
          <w:tcPr>
            <w:tcW w:w="1319" w:type="dxa"/>
            <w:vAlign w:val="center"/>
          </w:tcPr>
          <w:p>
            <w:pPr>
              <w:spacing w:line="400" w:lineRule="exact"/>
              <w:jc w:val="center"/>
              <w:rPr>
                <w:rFonts w:ascii="宋体" w:hAnsi="宋体" w:cs="Arial"/>
                <w:b/>
              </w:rPr>
            </w:pPr>
            <w:r>
              <w:rPr>
                <w:rFonts w:ascii="宋体" w:hAnsi="宋体" w:cs="Arial"/>
                <w:b/>
              </w:rPr>
              <w:t>项目名称</w:t>
            </w:r>
          </w:p>
        </w:tc>
        <w:tc>
          <w:tcPr>
            <w:tcW w:w="1160" w:type="dxa"/>
            <w:vAlign w:val="center"/>
          </w:tcPr>
          <w:p>
            <w:pPr>
              <w:spacing w:line="400" w:lineRule="exact"/>
              <w:jc w:val="center"/>
              <w:rPr>
                <w:rFonts w:ascii="宋体" w:hAnsi="宋体" w:cs="Arial"/>
                <w:b/>
              </w:rPr>
            </w:pPr>
            <w:r>
              <w:rPr>
                <w:rFonts w:ascii="宋体" w:hAnsi="宋体" w:cs="Arial"/>
                <w:b/>
              </w:rPr>
              <w:t>完成时间</w:t>
            </w:r>
          </w:p>
        </w:tc>
        <w:tc>
          <w:tcPr>
            <w:tcW w:w="1421" w:type="dxa"/>
            <w:gridSpan w:val="2"/>
            <w:vAlign w:val="center"/>
          </w:tcPr>
          <w:p>
            <w:pPr>
              <w:spacing w:line="400" w:lineRule="exact"/>
              <w:ind w:firstLine="105" w:firstLineChars="50"/>
              <w:jc w:val="center"/>
              <w:rPr>
                <w:rFonts w:ascii="宋体" w:hAnsi="宋体" w:cs="Arial"/>
                <w:b/>
              </w:rPr>
            </w:pPr>
            <w:r>
              <w:rPr>
                <w:rFonts w:ascii="宋体" w:hAnsi="宋体" w:cs="Arial"/>
                <w:b/>
              </w:rPr>
              <w:t>合同金额</w:t>
            </w:r>
          </w:p>
        </w:tc>
        <w:tc>
          <w:tcPr>
            <w:tcW w:w="1614" w:type="dxa"/>
            <w:gridSpan w:val="2"/>
            <w:tcBorders>
              <w:right w:val="single" w:color="auto" w:sz="4" w:space="0"/>
            </w:tcBorders>
            <w:vAlign w:val="center"/>
          </w:tcPr>
          <w:p>
            <w:pPr>
              <w:spacing w:line="400" w:lineRule="exact"/>
              <w:jc w:val="center"/>
              <w:rPr>
                <w:rFonts w:ascii="宋体" w:hAnsi="宋体" w:cs="Arial"/>
                <w:b/>
              </w:rPr>
            </w:pPr>
            <w:r>
              <w:rPr>
                <w:rFonts w:hint="eastAsia" w:ascii="宋体" w:hAnsi="宋体" w:cs="Arial"/>
                <w:b/>
              </w:rPr>
              <w:t>是否通过验收</w:t>
            </w:r>
          </w:p>
        </w:tc>
        <w:tc>
          <w:tcPr>
            <w:tcW w:w="1387" w:type="dxa"/>
            <w:gridSpan w:val="2"/>
            <w:tcBorders>
              <w:left w:val="single" w:color="auto" w:sz="4" w:space="0"/>
            </w:tcBorders>
            <w:vAlign w:val="center"/>
          </w:tcPr>
          <w:p>
            <w:pPr>
              <w:spacing w:line="400" w:lineRule="exact"/>
              <w:jc w:val="center"/>
              <w:rPr>
                <w:rFonts w:ascii="宋体" w:hAnsi="宋体" w:cs="Arial"/>
                <w:b/>
              </w:rPr>
            </w:pPr>
            <w:r>
              <w:rPr>
                <w:rFonts w:hint="eastAsia" w:ascii="宋体" w:hAnsi="宋体" w:cs="Arial"/>
                <w:b/>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tcBorders>
              <w:right w:val="single" w:color="auto" w:sz="4" w:space="0"/>
            </w:tcBorders>
            <w:vAlign w:val="center"/>
          </w:tcPr>
          <w:p>
            <w:pPr>
              <w:spacing w:line="400" w:lineRule="exact"/>
              <w:jc w:val="center"/>
              <w:rPr>
                <w:rFonts w:ascii="宋体" w:hAnsi="宋体" w:cs="Arial"/>
              </w:rPr>
            </w:pPr>
          </w:p>
        </w:tc>
        <w:tc>
          <w:tcPr>
            <w:tcW w:w="1319" w:type="dxa"/>
            <w:tcBorders>
              <w:left w:val="single" w:color="auto" w:sz="4" w:space="0"/>
            </w:tcBorders>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ascii="宋体" w:hAnsi="宋体" w:cs="Arial"/>
              </w:rPr>
            </w:pPr>
          </w:p>
        </w:tc>
        <w:tc>
          <w:tcPr>
            <w:tcW w:w="1439" w:type="dxa"/>
            <w:tcBorders>
              <w:left w:val="single" w:color="auto" w:sz="4" w:space="0"/>
              <w:right w:val="single" w:color="auto" w:sz="4" w:space="0"/>
            </w:tcBorders>
            <w:vAlign w:val="center"/>
          </w:tcPr>
          <w:p>
            <w:pPr>
              <w:spacing w:line="400" w:lineRule="exact"/>
              <w:rPr>
                <w:rFonts w:ascii="宋体" w:hAnsi="宋体" w:cs="Arial"/>
              </w:rPr>
            </w:pPr>
          </w:p>
        </w:tc>
        <w:tc>
          <w:tcPr>
            <w:tcW w:w="1319" w:type="dxa"/>
            <w:tcBorders>
              <w:left w:val="single" w:color="auto" w:sz="4" w:space="0"/>
              <w:right w:val="single" w:color="auto" w:sz="4" w:space="0"/>
            </w:tcBorders>
            <w:vAlign w:val="center"/>
          </w:tcPr>
          <w:p>
            <w:pPr>
              <w:spacing w:line="400" w:lineRule="exact"/>
              <w:rPr>
                <w:rFonts w:ascii="宋体" w:hAnsi="宋体" w:cs="Arial"/>
              </w:rPr>
            </w:pPr>
          </w:p>
        </w:tc>
        <w:tc>
          <w:tcPr>
            <w:tcW w:w="1160" w:type="dxa"/>
            <w:tcBorders>
              <w:left w:val="single" w:color="auto" w:sz="4" w:space="0"/>
              <w:right w:val="single" w:color="auto" w:sz="4" w:space="0"/>
            </w:tcBorders>
            <w:vAlign w:val="center"/>
          </w:tcPr>
          <w:p>
            <w:pPr>
              <w:spacing w:line="400" w:lineRule="exact"/>
              <w:rPr>
                <w:rFonts w:ascii="宋体" w:hAnsi="宋体" w:cs="Arial"/>
              </w:rPr>
            </w:pPr>
          </w:p>
        </w:tc>
        <w:tc>
          <w:tcPr>
            <w:tcW w:w="1415" w:type="dxa"/>
            <w:tcBorders>
              <w:left w:val="single" w:color="auto" w:sz="4" w:space="0"/>
              <w:right w:val="single" w:color="auto" w:sz="4" w:space="0"/>
            </w:tcBorders>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92"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ascii="宋体" w:hAnsi="宋体" w:cs="Arial"/>
              </w:rPr>
            </w:pPr>
          </w:p>
        </w:tc>
        <w:tc>
          <w:tcPr>
            <w:tcW w:w="1439" w:type="dxa"/>
            <w:vAlign w:val="center"/>
          </w:tcPr>
          <w:p>
            <w:pPr>
              <w:spacing w:line="400" w:lineRule="exact"/>
              <w:rPr>
                <w:rFonts w:ascii="宋体" w:hAnsi="宋体" w:cs="Arial"/>
              </w:rPr>
            </w:pPr>
          </w:p>
        </w:tc>
        <w:tc>
          <w:tcPr>
            <w:tcW w:w="1319" w:type="dxa"/>
            <w:vAlign w:val="center"/>
          </w:tcPr>
          <w:p>
            <w:pPr>
              <w:spacing w:line="400" w:lineRule="exact"/>
              <w:rPr>
                <w:rFonts w:ascii="宋体" w:hAnsi="宋体" w:cs="Arial"/>
              </w:rPr>
            </w:pPr>
          </w:p>
        </w:tc>
        <w:tc>
          <w:tcPr>
            <w:tcW w:w="1160" w:type="dxa"/>
            <w:vAlign w:val="center"/>
          </w:tcPr>
          <w:p>
            <w:pPr>
              <w:spacing w:line="400" w:lineRule="exact"/>
              <w:rPr>
                <w:rFonts w:ascii="宋体" w:hAnsi="宋体" w:cs="Arial"/>
              </w:rPr>
            </w:pPr>
          </w:p>
        </w:tc>
        <w:tc>
          <w:tcPr>
            <w:tcW w:w="1421" w:type="dxa"/>
            <w:gridSpan w:val="2"/>
            <w:tcBorders>
              <w:right w:val="single" w:color="auto" w:sz="4" w:space="0"/>
            </w:tcBorders>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87"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ascii="宋体" w:hAnsi="宋体" w:cs="Arial"/>
              </w:rPr>
            </w:pPr>
          </w:p>
        </w:tc>
        <w:tc>
          <w:tcPr>
            <w:tcW w:w="1439" w:type="dxa"/>
            <w:tcBorders>
              <w:bottom w:val="single" w:color="auto" w:sz="4" w:space="0"/>
            </w:tcBorders>
            <w:vAlign w:val="center"/>
          </w:tcPr>
          <w:p>
            <w:pPr>
              <w:spacing w:line="400" w:lineRule="exact"/>
              <w:jc w:val="center"/>
              <w:rPr>
                <w:rFonts w:ascii="宋体" w:hAnsi="宋体" w:cs="Arial"/>
              </w:rPr>
            </w:pPr>
          </w:p>
        </w:tc>
        <w:tc>
          <w:tcPr>
            <w:tcW w:w="1319" w:type="dxa"/>
            <w:tcBorders>
              <w:bottom w:val="single" w:color="auto" w:sz="4" w:space="0"/>
            </w:tcBorders>
            <w:vAlign w:val="center"/>
          </w:tcPr>
          <w:p>
            <w:pPr>
              <w:spacing w:line="400" w:lineRule="exact"/>
              <w:jc w:val="center"/>
              <w:rPr>
                <w:rFonts w:ascii="宋体" w:hAnsi="宋体" w:cs="Arial"/>
              </w:rPr>
            </w:pPr>
          </w:p>
        </w:tc>
        <w:tc>
          <w:tcPr>
            <w:tcW w:w="1160" w:type="dxa"/>
            <w:tcBorders>
              <w:bottom w:val="single" w:color="auto" w:sz="4" w:space="0"/>
            </w:tcBorders>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ascii="宋体" w:hAnsi="宋体" w:cs="Arial"/>
              </w:rPr>
            </w:pPr>
          </w:p>
        </w:tc>
        <w:tc>
          <w:tcPr>
            <w:tcW w:w="1439" w:type="dxa"/>
            <w:tcBorders>
              <w:top w:val="single" w:color="auto" w:sz="4" w:space="0"/>
            </w:tcBorders>
            <w:vAlign w:val="center"/>
          </w:tcPr>
          <w:p>
            <w:pPr>
              <w:spacing w:line="400" w:lineRule="exact"/>
              <w:jc w:val="center"/>
              <w:rPr>
                <w:rFonts w:ascii="宋体" w:hAnsi="宋体" w:cs="Arial"/>
              </w:rPr>
            </w:pPr>
          </w:p>
        </w:tc>
        <w:tc>
          <w:tcPr>
            <w:tcW w:w="1319" w:type="dxa"/>
            <w:tcBorders>
              <w:top w:val="single" w:color="auto" w:sz="4" w:space="0"/>
            </w:tcBorders>
            <w:vAlign w:val="center"/>
          </w:tcPr>
          <w:p>
            <w:pPr>
              <w:spacing w:line="400" w:lineRule="exact"/>
              <w:jc w:val="center"/>
              <w:rPr>
                <w:rFonts w:ascii="宋体" w:hAnsi="宋体" w:cs="Arial"/>
              </w:rPr>
            </w:pPr>
          </w:p>
        </w:tc>
        <w:tc>
          <w:tcPr>
            <w:tcW w:w="1160" w:type="dxa"/>
            <w:tcBorders>
              <w:top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vAlign w:val="center"/>
          </w:tcPr>
          <w:p>
            <w:pPr>
              <w:spacing w:line="400" w:lineRule="exact"/>
              <w:jc w:val="center"/>
              <w:rPr>
                <w:rFonts w:ascii="宋体" w:hAnsi="宋体" w:cs="Arial"/>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ascii="宋体" w:hAnsi="宋体" w:cs="Arial"/>
          <w:sz w:val="24"/>
        </w:rPr>
      </w:pPr>
      <w:r>
        <w:rPr>
          <w:rFonts w:hint="eastAsia" w:ascii="宋体" w:hAnsi="宋体" w:cs="Arial"/>
          <w:sz w:val="24"/>
        </w:rPr>
        <w:t>注：供应商（仅限于供应商自己的）以上业绩需提供有关书面证明材料。“合同金额”需提供合同复印件；“是否通过验收”需提供合同验收合格或用户单位书面证明材料。</w:t>
      </w:r>
    </w:p>
    <w:p>
      <w:pPr>
        <w:spacing w:line="400" w:lineRule="exact"/>
        <w:ind w:left="360"/>
        <w:jc w:val="center"/>
        <w:rPr>
          <w:rFonts w:ascii="宋体" w:hAnsi="宋体" w:cs="Arial"/>
          <w:sz w:val="24"/>
        </w:rPr>
      </w:pPr>
    </w:p>
    <w:p>
      <w:pPr>
        <w:jc w:val="left"/>
        <w:rPr>
          <w:rFonts w:ascii="宋体" w:hAnsi="宋体" w:cs="Arial"/>
        </w:rPr>
      </w:pPr>
    </w:p>
    <w:p>
      <w:pPr>
        <w:ind w:firstLine="480" w:firstLineChars="200"/>
        <w:jc w:val="left"/>
        <w:rPr>
          <w:rFonts w:ascii="宋体" w:hAnsi="宋体"/>
          <w:sz w:val="24"/>
        </w:rPr>
      </w:pPr>
      <w:r>
        <w:rPr>
          <w:rFonts w:hint="eastAsia" w:ascii="宋体" w:hAnsi="宋体"/>
          <w:sz w:val="24"/>
        </w:rPr>
        <w:t>供应商名称：XXXX（盖单位公章）</w:t>
      </w:r>
    </w:p>
    <w:p>
      <w:pPr>
        <w:ind w:firstLine="480" w:firstLineChars="200"/>
        <w:jc w:val="left"/>
        <w:rPr>
          <w:rFonts w:ascii="宋体" w:hAnsi="宋体"/>
          <w:sz w:val="24"/>
        </w:rPr>
      </w:pPr>
      <w:r>
        <w:rPr>
          <w:rFonts w:hint="eastAsia" w:ascii="宋体" w:hAnsi="宋体"/>
          <w:sz w:val="24"/>
        </w:rPr>
        <w:t>法定代表人或授权代表（签字）：XXXX</w:t>
      </w:r>
    </w:p>
    <w:p>
      <w:pPr>
        <w:pStyle w:val="8"/>
        <w:tabs>
          <w:tab w:val="left" w:pos="0"/>
        </w:tabs>
        <w:jc w:val="center"/>
        <w:rPr>
          <w:b/>
          <w:sz w:val="32"/>
          <w:szCs w:val="32"/>
        </w:rPr>
      </w:pPr>
    </w:p>
    <w:p>
      <w:pPr>
        <w:pStyle w:val="8"/>
        <w:tabs>
          <w:tab w:val="left" w:pos="0"/>
        </w:tabs>
        <w:jc w:val="center"/>
        <w:rPr>
          <w:b/>
          <w:sz w:val="32"/>
          <w:szCs w:val="32"/>
        </w:rPr>
      </w:pPr>
    </w:p>
    <w:p>
      <w:pPr>
        <w:rPr>
          <w:rFonts w:hint="eastAsia"/>
          <w:color w:val="000000" w:themeColor="text1"/>
          <w:sz w:val="24"/>
          <w14:textFill>
            <w14:solidFill>
              <w14:schemeClr w14:val="tx1"/>
            </w14:solidFill>
          </w14:textFill>
        </w:rPr>
        <w:sectPr>
          <w:headerReference r:id="rId8" w:type="default"/>
          <w:footerReference r:id="rId9" w:type="default"/>
          <w:footerReference r:id="rId10" w:type="even"/>
          <w:pgSz w:w="13224" w:h="16838"/>
          <w:pgMar w:top="1440" w:right="1800" w:bottom="1440" w:left="1800" w:header="851" w:footer="992" w:gutter="0"/>
          <w:pgNumType w:fmt="numberInDash"/>
          <w:cols w:space="425" w:num="1"/>
          <w:docGrid w:type="lines" w:linePitch="312" w:charSpace="0"/>
        </w:sectPr>
      </w:pPr>
    </w:p>
    <w:p>
      <w:pPr>
        <w:pStyle w:val="3"/>
        <w:spacing w:before="0" w:after="0" w:line="400" w:lineRule="exact"/>
        <w:ind w:firstLine="2891" w:firstLineChars="800"/>
        <w:rPr>
          <w:color w:val="000000" w:themeColor="text1"/>
          <w14:textFill>
            <w14:solidFill>
              <w14:schemeClr w14:val="tx1"/>
            </w14:solidFill>
          </w14:textFill>
        </w:rPr>
      </w:pPr>
      <w:r>
        <w:rPr>
          <w:rFonts w:hint="eastAsia"/>
          <w:color w:val="000000" w:themeColor="text1"/>
          <w14:textFill>
            <w14:solidFill>
              <w14:schemeClr w14:val="tx1"/>
            </w14:solidFill>
          </w14:textFill>
        </w:rPr>
        <w:t>第五章  评审方法</w:t>
      </w:r>
    </w:p>
    <w:p>
      <w:pPr>
        <w:pStyle w:val="36"/>
        <w:ind w:firstLine="482"/>
        <w:rPr>
          <w:rFonts w:ascii="宋体" w:hAnsi="宋体" w:eastAsia="宋体"/>
          <w:b/>
          <w:color w:val="000000" w:themeColor="text1"/>
          <w14:textFill>
            <w14:solidFill>
              <w14:schemeClr w14:val="tx1"/>
            </w14:solidFill>
          </w14:textFill>
        </w:rPr>
      </w:pPr>
      <w:bookmarkStart w:id="9" w:name="_Toc101174146"/>
      <w:bookmarkStart w:id="10" w:name="_Toc430773924"/>
      <w:bookmarkStart w:id="11" w:name="_Toc101250640"/>
      <w:bookmarkStart w:id="12" w:name="_Toc209847065"/>
      <w:bookmarkStart w:id="13" w:name="_Toc101338358"/>
      <w:r>
        <w:rPr>
          <w:rFonts w:ascii="宋体" w:hAnsi="宋体" w:eastAsia="宋体"/>
          <w:b/>
          <w:color w:val="000000" w:themeColor="text1"/>
          <w14:textFill>
            <w14:solidFill>
              <w14:schemeClr w14:val="tx1"/>
            </w14:solidFill>
          </w14:textFill>
        </w:rPr>
        <w:t>1</w:t>
      </w:r>
      <w:r>
        <w:rPr>
          <w:rFonts w:hint="eastAsia" w:ascii="宋体" w:hAnsi="宋体" w:eastAsia="宋体"/>
          <w:b/>
          <w:color w:val="000000" w:themeColor="text1"/>
          <w14:textFill>
            <w14:solidFill>
              <w14:schemeClr w14:val="tx1"/>
            </w14:solidFill>
          </w14:textFill>
        </w:rPr>
        <w:t>.总则</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 xml:space="preserve"> </w:t>
      </w:r>
      <w:r>
        <w:rPr>
          <w:rFonts w:hint="eastAsia" w:ascii="宋体" w:hAnsi="宋体"/>
          <w:bCs/>
          <w:color w:val="000000" w:themeColor="text1"/>
          <w:sz w:val="24"/>
          <w14:textFill>
            <w14:solidFill>
              <w14:schemeClr w14:val="tx1"/>
            </w14:solidFill>
          </w14:textFill>
        </w:rPr>
        <w:t>评审工作由采购人组建的询价评审小组负责。询价评审小组由采购人代表和有关技术、经济等方面的专家组成。</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评审工作应遵循公开、公平、公正和诚实信用原则，并以相同的评审程序和标准对待所有的供应商。</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询价评审小组按照询价采购文件规定的评审方法和标准进行评审，并独立履行下列职责：</w:t>
      </w:r>
    </w:p>
    <w:p>
      <w:pPr>
        <w:spacing w:line="40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1）审查响应文件是否符合询价</w:t>
      </w:r>
      <w:r>
        <w:rPr>
          <w:rFonts w:hint="eastAsia" w:ascii="宋体" w:hAnsi="宋体"/>
          <w:color w:val="000000" w:themeColor="text1"/>
          <w:sz w:val="24"/>
          <w14:textFill>
            <w14:solidFill>
              <w14:schemeClr w14:val="tx1"/>
            </w14:solidFill>
          </w14:textFill>
        </w:rPr>
        <w:t>采购文件</w:t>
      </w:r>
      <w:r>
        <w:rPr>
          <w:rFonts w:ascii="宋体" w:hAnsi="宋体"/>
          <w:color w:val="000000" w:themeColor="text1"/>
          <w:sz w:val="24"/>
          <w14:textFill>
            <w14:solidFill>
              <w14:schemeClr w14:val="tx1"/>
            </w14:solidFill>
          </w14:textFill>
        </w:rPr>
        <w:t>要求，并作出评价；</w:t>
      </w:r>
    </w:p>
    <w:p>
      <w:pPr>
        <w:spacing w:line="40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2）要求供应商对响应文件有关事项作出解释或者澄清；</w:t>
      </w:r>
    </w:p>
    <w:p>
      <w:pPr>
        <w:spacing w:line="40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3）推荐成交候选人名单，或者受采购人委托按照事先确定的办法直接确定成交供应商；</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4</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评审过程严格保密。供应商对询价评审小组的评审过程或合同授予决定施加影响的任何行为都可能导致其询价响应被拒绝。</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5询价评审小组决定响应文件的响应性依据响应文件本身的内容，而不寻求外部的证据。</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6询价评审小组发现询价采购文件表述不明确或需要说明的事项，可请采购人书面解释说明。发现询价采购文件违反有关法律、法规和规章的，可以拒绝评审，并向采购人书面说明情况。</w:t>
      </w:r>
    </w:p>
    <w:p>
      <w:pPr>
        <w:pStyle w:val="36"/>
        <w:ind w:firstLine="482"/>
        <w:rPr>
          <w:rFonts w:ascii="宋体" w:hAnsi="宋体" w:eastAsia="宋体"/>
          <w:b/>
          <w:color w:val="000000" w:themeColor="text1"/>
          <w14:textFill>
            <w14:solidFill>
              <w14:schemeClr w14:val="tx1"/>
            </w14:solidFill>
          </w14:textFill>
        </w:rPr>
      </w:pPr>
      <w:r>
        <w:rPr>
          <w:rFonts w:ascii="宋体" w:hAnsi="宋体" w:eastAsia="宋体"/>
          <w:b/>
          <w:color w:val="000000" w:themeColor="text1"/>
          <w14:textFill>
            <w14:solidFill>
              <w14:schemeClr w14:val="tx1"/>
            </w14:solidFill>
          </w14:textFill>
        </w:rPr>
        <w:t>2</w:t>
      </w:r>
      <w:r>
        <w:rPr>
          <w:rFonts w:hint="eastAsia" w:ascii="宋体" w:hAnsi="宋体" w:eastAsia="宋体"/>
          <w:b/>
          <w:color w:val="000000" w:themeColor="text1"/>
          <w14:textFill>
            <w14:solidFill>
              <w14:schemeClr w14:val="tx1"/>
            </w14:solidFill>
          </w14:textFill>
        </w:rPr>
        <w:t>.评审方法</w:t>
      </w:r>
    </w:p>
    <w:p>
      <w:pPr>
        <w:pStyle w:val="36"/>
        <w:ind w:firstLine="480"/>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本项目评审方法为：</w:t>
      </w:r>
      <w:r>
        <w:rPr>
          <w:rFonts w:hint="eastAsia" w:ascii="宋体" w:hAnsi="宋体" w:eastAsia="宋体"/>
          <w:b/>
          <w:color w:val="000000" w:themeColor="text1"/>
          <w14:textFill>
            <w14:solidFill>
              <w14:schemeClr w14:val="tx1"/>
            </w14:solidFill>
          </w14:textFill>
        </w:rPr>
        <w:t>综合评分法</w:t>
      </w:r>
      <w:r>
        <w:rPr>
          <w:rFonts w:ascii="宋体" w:hAnsi="宋体" w:eastAsia="宋体"/>
          <w:color w:val="000000" w:themeColor="text1"/>
          <w14:textFill>
            <w14:solidFill>
              <w14:schemeClr w14:val="tx1"/>
            </w14:solidFill>
          </w14:textFill>
        </w:rPr>
        <w:t>。</w:t>
      </w:r>
    </w:p>
    <w:p>
      <w:pPr>
        <w:tabs>
          <w:tab w:val="left" w:pos="2946"/>
        </w:tabs>
        <w:spacing w:line="400" w:lineRule="exac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综合评分明细表</w:t>
      </w:r>
      <w:r>
        <w:rPr>
          <w:rFonts w:hAnsi="宋体"/>
          <w:color w:val="000000" w:themeColor="text1"/>
          <w:sz w:val="24"/>
          <w14:textFill>
            <w14:solidFill>
              <w14:schemeClr w14:val="tx1"/>
            </w14:solidFill>
          </w14:textFill>
        </w:rPr>
        <w:tab/>
      </w:r>
    </w:p>
    <w:tbl>
      <w:tblPr>
        <w:tblStyle w:val="14"/>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条款号</w:t>
            </w: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评分因素</w:t>
            </w:r>
          </w:p>
        </w:tc>
        <w:tc>
          <w:tcPr>
            <w:tcW w:w="6466"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vAlign w:val="center"/>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1</w:t>
            </w:r>
          </w:p>
        </w:tc>
        <w:tc>
          <w:tcPr>
            <w:tcW w:w="708" w:type="dxa"/>
            <w:vMerge w:val="restart"/>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商务部分</w:t>
            </w:r>
            <w:r>
              <w:rPr>
                <w:rFonts w:hAnsi="宋体"/>
                <w:color w:val="000000" w:themeColor="text1"/>
                <w:sz w:val="24"/>
                <w14:textFill>
                  <w14:solidFill>
                    <w14:schemeClr w14:val="tx1"/>
                  </w14:solidFill>
                </w14:textFill>
              </w:rPr>
              <w:t>1</w:t>
            </w:r>
            <w:r>
              <w:rPr>
                <w:rFonts w:hint="eastAsia" w:hAnsi="宋体"/>
                <w:color w:val="000000" w:themeColor="text1"/>
                <w:sz w:val="24"/>
                <w:lang w:val="en-US" w:eastAsia="zh-CN"/>
                <w14:textFill>
                  <w14:solidFill>
                    <w14:schemeClr w14:val="tx1"/>
                  </w14:solidFill>
                </w14:textFill>
              </w:rPr>
              <w:t>5</w:t>
            </w:r>
            <w:r>
              <w:rPr>
                <w:rFonts w:hAnsi="宋体"/>
                <w:color w:val="000000" w:themeColor="text1"/>
                <w:sz w:val="24"/>
                <w14:textFill>
                  <w14:solidFill>
                    <w14:schemeClr w14:val="tx1"/>
                  </w14:solidFill>
                </w14:textFill>
              </w:rPr>
              <w:t>%</w:t>
            </w: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对供应商履约能力的评价</w:t>
            </w:r>
          </w:p>
        </w:tc>
        <w:tc>
          <w:tcPr>
            <w:tcW w:w="6466" w:type="dxa"/>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根据供应商资信、经营状况、企业经历、已有产品的实际使用情况等进行评价，满分</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按三个等级评分：优：</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分；良：</w:t>
            </w:r>
            <w:r>
              <w:rPr>
                <w:rFonts w:hAnsi="宋体"/>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分；一般：</w:t>
            </w:r>
            <w:r>
              <w:rPr>
                <w:rFonts w:hAnsi="宋体"/>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Pr>
          <w:p>
            <w:pPr>
              <w:jc w:val="center"/>
              <w:rPr>
                <w:rFonts w:hAnsi="宋体"/>
                <w:color w:val="000000" w:themeColor="text1"/>
                <w:sz w:val="24"/>
                <w14:textFill>
                  <w14:solidFill>
                    <w14:schemeClr w14:val="tx1"/>
                  </w14:solidFill>
                </w14:textFill>
              </w:rPr>
            </w:pPr>
          </w:p>
        </w:tc>
        <w:tc>
          <w:tcPr>
            <w:tcW w:w="708" w:type="dxa"/>
            <w:vMerge w:val="continue"/>
            <w:vAlign w:val="center"/>
          </w:tcPr>
          <w:p>
            <w:pPr>
              <w:jc w:val="center"/>
              <w:rPr>
                <w:rFonts w:hAnsi="宋体"/>
                <w:color w:val="000000" w:themeColor="text1"/>
                <w:sz w:val="24"/>
                <w14:textFill>
                  <w14:solidFill>
                    <w14:schemeClr w14:val="tx1"/>
                  </w14:solidFill>
                </w14:textFill>
              </w:rPr>
            </w:pP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响应设备的业绩</w:t>
            </w:r>
          </w:p>
        </w:tc>
        <w:tc>
          <w:tcPr>
            <w:tcW w:w="6466" w:type="dxa"/>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供应商具有在国内外销售和安装过</w:t>
            </w:r>
            <w:r>
              <w:rPr>
                <w:rFonts w:hint="eastAsia" w:hAnsi="宋体"/>
                <w:b/>
                <w:bCs/>
                <w:color w:val="000000" w:themeColor="text1"/>
                <w:sz w:val="24"/>
                <w:u w:val="single"/>
                <w14:textFill>
                  <w14:solidFill>
                    <w14:schemeClr w14:val="tx1"/>
                  </w14:solidFill>
                </w14:textFill>
              </w:rPr>
              <w:t>本项目设备</w:t>
            </w:r>
            <w:r>
              <w:rPr>
                <w:rFonts w:hint="eastAsia" w:hAnsi="宋体"/>
                <w:b w:val="0"/>
                <w:bCs w:val="0"/>
                <w:color w:val="000000" w:themeColor="text1"/>
                <w:sz w:val="24"/>
                <w:u w:val="none"/>
                <w:lang w:val="en-US" w:eastAsia="zh-CN"/>
                <w14:textFill>
                  <w14:solidFill>
                    <w14:schemeClr w14:val="tx1"/>
                  </w14:solidFill>
                </w14:textFill>
              </w:rPr>
              <w:t>或</w:t>
            </w:r>
            <w:r>
              <w:rPr>
                <w:rFonts w:hint="eastAsia" w:hAnsi="宋体"/>
                <w:b w:val="0"/>
                <w:bCs w:val="0"/>
                <w:color w:val="000000" w:themeColor="text1"/>
                <w:sz w:val="24"/>
                <w:u w:val="none"/>
                <w14:textFill>
                  <w14:solidFill>
                    <w14:schemeClr w14:val="tx1"/>
                  </w14:solidFill>
                </w14:textFill>
              </w:rPr>
              <w:t>类似业绩</w:t>
            </w:r>
            <w:r>
              <w:rPr>
                <w:rFonts w:hint="eastAsia" w:hAnsi="宋体"/>
                <w:color w:val="000000" w:themeColor="text1"/>
                <w:sz w:val="24"/>
                <w14:textFill>
                  <w14:solidFill>
                    <w14:schemeClr w14:val="tx1"/>
                  </w14:solidFill>
                </w14:textFill>
              </w:rPr>
              <w:t>（附合同或中标通知书），每提供</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个业绩得</w:t>
            </w:r>
            <w:r>
              <w:rPr>
                <w:rFonts w:hAnsi="宋体"/>
                <w:color w:val="000000" w:themeColor="text1"/>
                <w:sz w:val="24"/>
                <w14:textFill>
                  <w14:solidFill>
                    <w14:schemeClr w14:val="tx1"/>
                  </w14:solidFill>
                </w14:textFill>
              </w:rPr>
              <w:t>2</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分，最高得</w:t>
            </w:r>
            <w:r>
              <w:rPr>
                <w:rFonts w:hint="eastAsia" w:hAnsi="宋体"/>
                <w:color w:val="000000" w:themeColor="text1"/>
                <w:sz w:val="24"/>
                <w:lang w:val="en-US" w:eastAsia="zh-CN"/>
                <w14:textFill>
                  <w14:solidFill>
                    <w14:schemeClr w14:val="tx1"/>
                  </w14:solidFill>
                </w14:textFill>
              </w:rPr>
              <w:t>10</w:t>
            </w:r>
            <w:r>
              <w:rPr>
                <w:rFonts w:hint="eastAsia" w:hAnsi="宋体"/>
                <w:color w:val="000000" w:themeColor="text1"/>
                <w:sz w:val="24"/>
                <w14:textFill>
                  <w14:solidFill>
                    <w14:schemeClr w14:val="tx1"/>
                  </w14:solidFill>
                </w14:textFill>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vAlign w:val="center"/>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2</w:t>
            </w:r>
          </w:p>
        </w:tc>
        <w:tc>
          <w:tcPr>
            <w:tcW w:w="708" w:type="dxa"/>
            <w:vMerge w:val="restart"/>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技术部分</w:t>
            </w:r>
            <w:r>
              <w:rPr>
                <w:rFonts w:hAnsi="宋体"/>
                <w:color w:val="000000" w:themeColor="text1"/>
                <w:sz w:val="24"/>
                <w14:textFill>
                  <w14:solidFill>
                    <w14:schemeClr w14:val="tx1"/>
                  </w14:solidFill>
                </w14:textFill>
              </w:rPr>
              <w:t xml:space="preserve"> </w:t>
            </w:r>
            <w:r>
              <w:rPr>
                <w:rFonts w:hint="eastAsia" w:hAnsi="宋体"/>
                <w:color w:val="000000" w:themeColor="text1"/>
                <w:sz w:val="24"/>
                <w14:textFill>
                  <w14:solidFill>
                    <w14:schemeClr w14:val="tx1"/>
                  </w14:solidFill>
                </w14:textFill>
              </w:rPr>
              <w:t>45</w:t>
            </w:r>
            <w:r>
              <w:rPr>
                <w:rFonts w:hAnsi="宋体"/>
                <w:color w:val="000000" w:themeColor="text1"/>
                <w:sz w:val="24"/>
                <w14:textFill>
                  <w14:solidFill>
                    <w14:schemeClr w14:val="tx1"/>
                  </w14:solidFill>
                </w14:textFill>
              </w:rPr>
              <w:t>%</w:t>
            </w: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对响应设备整体评价</w:t>
            </w:r>
          </w:p>
        </w:tc>
        <w:tc>
          <w:tcPr>
            <w:tcW w:w="6466" w:type="dxa"/>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根据所响应设备的整体方案的完整性，技术上的先进性和可实施性进行评价，满分</w:t>
            </w:r>
            <w:r>
              <w:rPr>
                <w:rFonts w:hint="eastAsia" w:hAnsi="宋体"/>
                <w:color w:val="000000" w:themeColor="text1"/>
                <w:sz w:val="24"/>
                <w:lang w:val="en-US" w:eastAsia="zh-CN"/>
                <w14:textFill>
                  <w14:solidFill>
                    <w14:schemeClr w14:val="tx1"/>
                  </w14:solidFill>
                </w14:textFill>
              </w:rPr>
              <w:t>30</w:t>
            </w:r>
            <w:r>
              <w:rPr>
                <w:rFonts w:hint="eastAsia" w:hAnsi="宋体"/>
                <w:color w:val="000000" w:themeColor="text1"/>
                <w:sz w:val="24"/>
                <w14:textFill>
                  <w14:solidFill>
                    <w14:schemeClr w14:val="tx1"/>
                  </w14:solidFill>
                </w14:textFill>
              </w:rPr>
              <w:t>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按三个等级评分：优：2</w:t>
            </w:r>
            <w:r>
              <w:rPr>
                <w:rFonts w:hint="eastAsia" w:hAnsi="宋体"/>
                <w:color w:val="000000" w:themeColor="text1"/>
                <w:sz w:val="24"/>
                <w:lang w:val="en-US" w:eastAsia="zh-CN"/>
                <w14:textFill>
                  <w14:solidFill>
                    <w14:schemeClr w14:val="tx1"/>
                  </w14:solidFill>
                </w14:textFill>
              </w:rPr>
              <w:t>5</w:t>
            </w:r>
            <w:r>
              <w:rPr>
                <w:rFonts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30</w:t>
            </w:r>
            <w:r>
              <w:rPr>
                <w:rFonts w:hint="eastAsia" w:hAnsi="宋体"/>
                <w:color w:val="000000" w:themeColor="text1"/>
                <w:sz w:val="24"/>
                <w14:textFill>
                  <w14:solidFill>
                    <w14:schemeClr w14:val="tx1"/>
                  </w14:solidFill>
                </w14:textFill>
              </w:rPr>
              <w:t>分；良：1</w:t>
            </w:r>
            <w:r>
              <w:rPr>
                <w:rFonts w:hint="eastAsia" w:hAnsi="宋体"/>
                <w:color w:val="000000" w:themeColor="text1"/>
                <w:sz w:val="24"/>
                <w:lang w:val="en-US" w:eastAsia="zh-CN"/>
                <w14:textFill>
                  <w14:solidFill>
                    <w14:schemeClr w14:val="tx1"/>
                  </w14:solidFill>
                </w14:textFill>
              </w:rPr>
              <w:t>5</w:t>
            </w:r>
            <w:r>
              <w:rPr>
                <w:rFonts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2</w:t>
            </w:r>
            <w:r>
              <w:rPr>
                <w:rFonts w:hint="eastAsia" w:hAnsi="宋体"/>
                <w:color w:val="000000" w:themeColor="text1"/>
                <w:sz w:val="24"/>
                <w:lang w:val="en-US" w:eastAsia="zh-CN"/>
                <w14:textFill>
                  <w14:solidFill>
                    <w14:schemeClr w14:val="tx1"/>
                  </w14:solidFill>
                </w14:textFill>
              </w:rPr>
              <w:t>4</w:t>
            </w:r>
            <w:r>
              <w:rPr>
                <w:rFonts w:hint="eastAsia" w:hAnsi="宋体"/>
                <w:color w:val="000000" w:themeColor="text1"/>
                <w:sz w:val="24"/>
                <w14:textFill>
                  <w14:solidFill>
                    <w14:schemeClr w14:val="tx1"/>
                  </w14:solidFill>
                </w14:textFill>
              </w:rPr>
              <w:t>分；一般：1</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Pr>
          <w:p>
            <w:pPr>
              <w:jc w:val="center"/>
              <w:rPr>
                <w:rFonts w:hAnsi="宋体"/>
                <w:color w:val="000000" w:themeColor="text1"/>
                <w:sz w:val="24"/>
                <w14:textFill>
                  <w14:solidFill>
                    <w14:schemeClr w14:val="tx1"/>
                  </w14:solidFill>
                </w14:textFill>
              </w:rPr>
            </w:pPr>
          </w:p>
        </w:tc>
        <w:tc>
          <w:tcPr>
            <w:tcW w:w="708" w:type="dxa"/>
            <w:vMerge w:val="continue"/>
          </w:tcPr>
          <w:p>
            <w:pPr>
              <w:jc w:val="center"/>
              <w:rPr>
                <w:rFonts w:hAnsi="宋体"/>
                <w:color w:val="000000" w:themeColor="text1"/>
                <w:sz w:val="24"/>
                <w14:textFill>
                  <w14:solidFill>
                    <w14:schemeClr w14:val="tx1"/>
                  </w14:solidFill>
                </w14:textFill>
              </w:rPr>
            </w:pP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对设备技术性能指标及商务要求的响应程度</w:t>
            </w:r>
          </w:p>
        </w:tc>
        <w:tc>
          <w:tcPr>
            <w:tcW w:w="6466" w:type="dxa"/>
            <w:vAlign w:val="center"/>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根据所响应设备对询价文件第三章技术性能指标要求的响应性和商务要求进行评价，满分1</w:t>
            </w:r>
            <w:r>
              <w:rPr>
                <w:rFonts w:hAnsi="宋体"/>
                <w:color w:val="000000" w:themeColor="text1"/>
                <w:sz w:val="24"/>
                <w14:textFill>
                  <w14:solidFill>
                    <w14:schemeClr w14:val="tx1"/>
                  </w14:solidFill>
                </w14:textFill>
              </w:rPr>
              <w:t>0</w:t>
            </w:r>
            <w:r>
              <w:rPr>
                <w:rFonts w:hint="eastAsia" w:hAnsi="宋体"/>
                <w:color w:val="000000" w:themeColor="text1"/>
                <w:sz w:val="24"/>
                <w14:textFill>
                  <w14:solidFill>
                    <w14:schemeClr w14:val="tx1"/>
                  </w14:solidFill>
                </w14:textFill>
              </w:rPr>
              <w:t>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有</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项</w:t>
            </w:r>
            <w:r>
              <w:rPr>
                <w:rFonts w:hint="eastAsia"/>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号条款不满足做废标处理；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每有</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项一般条款不满足扣</w:t>
            </w:r>
            <w:r>
              <w:rPr>
                <w:rFonts w:hAnsi="宋体"/>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分，超过</w:t>
            </w:r>
            <w:r>
              <w:rPr>
                <w:rFonts w:hAnsi="宋体"/>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tcPr>
          <w:p>
            <w:pPr>
              <w:jc w:val="center"/>
              <w:rPr>
                <w:rFonts w:hAnsi="宋体"/>
                <w:color w:val="000000" w:themeColor="text1"/>
                <w:sz w:val="24"/>
                <w14:textFill>
                  <w14:solidFill>
                    <w14:schemeClr w14:val="tx1"/>
                  </w14:solidFill>
                </w14:textFill>
              </w:rPr>
            </w:pPr>
          </w:p>
        </w:tc>
        <w:tc>
          <w:tcPr>
            <w:tcW w:w="708" w:type="dxa"/>
            <w:vMerge w:val="continue"/>
          </w:tcPr>
          <w:p>
            <w:pPr>
              <w:jc w:val="center"/>
              <w:rPr>
                <w:rFonts w:hAnsi="宋体"/>
                <w:color w:val="000000" w:themeColor="text1"/>
                <w:sz w:val="24"/>
                <w14:textFill>
                  <w14:solidFill>
                    <w14:schemeClr w14:val="tx1"/>
                  </w14:solidFill>
                </w14:textFill>
              </w:rPr>
            </w:pP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对供应商技术服务和质保期服务能力的评价</w:t>
            </w:r>
          </w:p>
        </w:tc>
        <w:tc>
          <w:tcPr>
            <w:tcW w:w="6466" w:type="dxa"/>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根据技术服务和质保期的售后服务方案的完整可行性进行评价，满分</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按三个等级评分：优：</w:t>
            </w:r>
            <w:r>
              <w:rPr>
                <w:rFonts w:hint="eastAsia" w:hAnsi="宋体"/>
                <w:color w:val="000000" w:themeColor="text1"/>
                <w:sz w:val="24"/>
                <w:lang w:val="en-US" w:eastAsia="zh-CN"/>
                <w14:textFill>
                  <w14:solidFill>
                    <w14:schemeClr w14:val="tx1"/>
                  </w14:solidFill>
                </w14:textFill>
              </w:rPr>
              <w:t>4</w:t>
            </w:r>
            <w:r>
              <w:rPr>
                <w:rFonts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分；良：3</w:t>
            </w:r>
            <w:r>
              <w:rPr>
                <w:rFonts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4分；一般：3分以下。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Pr>
          <w:p>
            <w:pPr>
              <w:jc w:val="center"/>
              <w:rPr>
                <w:rFonts w:hAnsi="宋体"/>
                <w:color w:val="000000" w:themeColor="text1"/>
                <w:sz w:val="24"/>
                <w14:textFill>
                  <w14:solidFill>
                    <w14:schemeClr w14:val="tx1"/>
                  </w14:solidFill>
                </w14:textFill>
              </w:rPr>
            </w:pPr>
          </w:p>
        </w:tc>
        <w:tc>
          <w:tcPr>
            <w:tcW w:w="708" w:type="dxa"/>
            <w:vMerge w:val="continue"/>
          </w:tcPr>
          <w:p>
            <w:pPr>
              <w:jc w:val="center"/>
              <w:rPr>
                <w:rFonts w:hAnsi="宋体"/>
                <w:color w:val="000000" w:themeColor="text1"/>
                <w:sz w:val="24"/>
                <w14:textFill>
                  <w14:solidFill>
                    <w14:schemeClr w14:val="tx1"/>
                  </w14:solidFill>
                </w14:textFill>
              </w:rPr>
            </w:pP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验收、培训</w:t>
            </w:r>
          </w:p>
        </w:tc>
        <w:tc>
          <w:tcPr>
            <w:tcW w:w="6466" w:type="dxa"/>
            <w:vAlign w:val="center"/>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根据验收、培训方案的合理性及可行性进行评价，满分4分。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按三个等级评分：优：4分；良：</w:t>
            </w:r>
            <w:r>
              <w:rPr>
                <w:rFonts w:hAnsi="宋体"/>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分；一般：</w:t>
            </w:r>
            <w:r>
              <w:rPr>
                <w:rFonts w:hAnsi="宋体"/>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vAlign w:val="center"/>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w:t>
            </w:r>
          </w:p>
        </w:tc>
        <w:tc>
          <w:tcPr>
            <w:tcW w:w="708"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投标报价评分标准4</w:t>
            </w:r>
            <w:r>
              <w:rPr>
                <w:rFonts w:hint="eastAsia" w:hAnsi="宋体"/>
                <w:color w:val="000000" w:themeColor="text1"/>
                <w:sz w:val="24"/>
                <w:lang w:val="en-US" w:eastAsia="zh-CN"/>
                <w14:textFill>
                  <w14:solidFill>
                    <w14:schemeClr w14:val="tx1"/>
                  </w14:solidFill>
                </w14:textFill>
              </w:rPr>
              <w:t>0</w:t>
            </w:r>
            <w:r>
              <w:rPr>
                <w:rFonts w:hAnsi="宋体"/>
                <w:color w:val="000000" w:themeColor="text1"/>
                <w:sz w:val="24"/>
                <w14:textFill>
                  <w14:solidFill>
                    <w14:schemeClr w14:val="tx1"/>
                  </w14:solidFill>
                </w14:textFill>
              </w:rPr>
              <w:t>%</w:t>
            </w: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投标报价</w:t>
            </w:r>
          </w:p>
        </w:tc>
        <w:tc>
          <w:tcPr>
            <w:tcW w:w="6466" w:type="dxa"/>
          </w:tcPr>
          <w:p>
            <w:pPr>
              <w:jc w:val="left"/>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）当有效投标家数为</w:t>
            </w:r>
            <w:r>
              <w:rPr>
                <w:rFonts w:hAnsi="宋体"/>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家以上（含</w:t>
            </w:r>
            <w:r>
              <w:rPr>
                <w:rFonts w:hAnsi="宋体"/>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家）时，去掉一个最高和最低投标报价，计算其余投标报价的算数平均值</w:t>
            </w:r>
            <w:r>
              <w:rPr>
                <w:rFonts w:hAnsi="宋体"/>
                <w:color w:val="000000" w:themeColor="text1"/>
                <w:sz w:val="24"/>
                <w14:textFill>
                  <w14:solidFill>
                    <w14:schemeClr w14:val="tx1"/>
                  </w14:solidFill>
                </w14:textFill>
              </w:rPr>
              <w:t>A</w:t>
            </w:r>
            <w:r>
              <w:rPr>
                <w:rFonts w:hint="eastAsia" w:hAnsi="宋体"/>
                <w:color w:val="000000" w:themeColor="text1"/>
                <w:sz w:val="24"/>
                <w14:textFill>
                  <w14:solidFill>
                    <w14:schemeClr w14:val="tx1"/>
                  </w14:solidFill>
                </w14:textFill>
              </w:rPr>
              <w:t>；</w:t>
            </w:r>
          </w:p>
          <w:p>
            <w:pPr>
              <w:jc w:val="left"/>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）当有效投标家数少于</w:t>
            </w:r>
            <w:r>
              <w:rPr>
                <w:rFonts w:hAnsi="宋体"/>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家时，计算所有投标报价的算术平均值</w:t>
            </w:r>
            <w:r>
              <w:rPr>
                <w:rFonts w:hAnsi="宋体"/>
                <w:color w:val="000000" w:themeColor="text1"/>
                <w:sz w:val="24"/>
                <w14:textFill>
                  <w14:solidFill>
                    <w14:schemeClr w14:val="tx1"/>
                  </w14:solidFill>
                </w14:textFill>
              </w:rPr>
              <w:t>B</w:t>
            </w:r>
            <w:r>
              <w:rPr>
                <w:rFonts w:hint="eastAsia" w:hAnsi="宋体"/>
                <w:color w:val="000000" w:themeColor="text1"/>
                <w:sz w:val="24"/>
                <w14:textFill>
                  <w14:solidFill>
                    <w14:schemeClr w14:val="tx1"/>
                  </w14:solidFill>
                </w14:textFill>
              </w:rPr>
              <w:t>。</w:t>
            </w:r>
          </w:p>
          <w:p>
            <w:pPr>
              <w:jc w:val="left"/>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）评标基准价</w:t>
            </w:r>
            <w:r>
              <w:rPr>
                <w:rFonts w:hAnsi="宋体"/>
                <w:color w:val="000000" w:themeColor="text1"/>
                <w:sz w:val="24"/>
                <w14:textFill>
                  <w14:solidFill>
                    <w14:schemeClr w14:val="tx1"/>
                  </w14:solidFill>
                </w14:textFill>
              </w:rPr>
              <w:t>=A</w:t>
            </w: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B</w:t>
            </w: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0.95</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投标报价等于评标基准价的投标人价格分为满分，投标报价与评标基准价相比，每高</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扣</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分，每低</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扣</w:t>
            </w:r>
            <w:r>
              <w:rPr>
                <w:rFonts w:hAnsi="宋体"/>
                <w:color w:val="000000" w:themeColor="text1"/>
                <w:sz w:val="24"/>
                <w14:textFill>
                  <w14:solidFill>
                    <w14:schemeClr w14:val="tx1"/>
                  </w14:solidFill>
                </w14:textFill>
              </w:rPr>
              <w:t>0.5</w:t>
            </w:r>
            <w:r>
              <w:rPr>
                <w:rFonts w:hint="eastAsia" w:hAnsi="宋体"/>
                <w:color w:val="000000" w:themeColor="text1"/>
                <w:sz w:val="24"/>
                <w14:textFill>
                  <w14:solidFill>
                    <w14:schemeClr w14:val="tx1"/>
                  </w14:solidFill>
                </w14:textFill>
              </w:rPr>
              <w:t>分，最多扣20分。按照线性插入法计算，精确到</w:t>
            </w:r>
            <w:r>
              <w:rPr>
                <w:rFonts w:hAnsi="宋体"/>
                <w:color w:val="000000" w:themeColor="text1"/>
                <w:sz w:val="24"/>
                <w14:textFill>
                  <w14:solidFill>
                    <w14:schemeClr w14:val="tx1"/>
                  </w14:solidFill>
                </w14:textFill>
              </w:rPr>
              <w:t>0.01</w:t>
            </w:r>
            <w:r>
              <w:rPr>
                <w:rFonts w:hint="eastAsia" w:hAnsi="宋体"/>
                <w:color w:val="000000" w:themeColor="text1"/>
                <w:sz w:val="24"/>
                <w14:textFill>
                  <w14:solidFill>
                    <w14:schemeClr w14:val="tx1"/>
                  </w14:solidFill>
                </w14:textFill>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Align w:val="center"/>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w:t>
            </w:r>
          </w:p>
        </w:tc>
        <w:tc>
          <w:tcPr>
            <w:tcW w:w="708"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总分</w:t>
            </w:r>
          </w:p>
        </w:tc>
        <w:tc>
          <w:tcPr>
            <w:tcW w:w="1560" w:type="dxa"/>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w:t>
            </w:r>
          </w:p>
        </w:tc>
        <w:tc>
          <w:tcPr>
            <w:tcW w:w="6466" w:type="dxa"/>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100</w:t>
            </w:r>
            <w:r>
              <w:rPr>
                <w:rFonts w:hint="eastAsia" w:hAnsi="宋体"/>
                <w:color w:val="000000" w:themeColor="text1"/>
                <w:sz w:val="24"/>
                <w14:textFill>
                  <w14:solidFill>
                    <w14:schemeClr w14:val="tx1"/>
                  </w14:solidFill>
                </w14:textFill>
              </w:rPr>
              <w:t>分</w:t>
            </w:r>
          </w:p>
        </w:tc>
      </w:tr>
    </w:tbl>
    <w:p>
      <w:pPr>
        <w:pStyle w:val="3"/>
        <w:spacing w:line="400" w:lineRule="exact"/>
        <w:ind w:firstLine="472" w:firstLineChars="196"/>
        <w:rPr>
          <w:b w:val="0"/>
          <w:color w:val="000000" w:themeColor="text1"/>
          <w:sz w:val="24"/>
          <w14:textFill>
            <w14:solidFill>
              <w14:schemeClr w14:val="tx1"/>
            </w14:solidFill>
          </w14:textFill>
        </w:rPr>
      </w:pPr>
      <w:bookmarkStart w:id="14" w:name="_Toc14798677"/>
      <w:bookmarkStart w:id="15" w:name="_Toc534969147"/>
      <w:r>
        <w:rPr>
          <w:rFonts w:ascii="黑体"/>
          <w:color w:val="000000" w:themeColor="text1"/>
          <w:sz w:val="24"/>
          <w:szCs w:val="24"/>
          <w14:textFill>
            <w14:solidFill>
              <w14:schemeClr w14:val="tx1"/>
            </w14:solidFill>
          </w14:textFill>
        </w:rPr>
        <w:t xml:space="preserve">3、 </w:t>
      </w:r>
      <w:r>
        <w:rPr>
          <w:rFonts w:hint="eastAsia" w:ascii="黑体"/>
          <w:color w:val="000000" w:themeColor="text1"/>
          <w:sz w:val="24"/>
          <w:szCs w:val="24"/>
          <w14:textFill>
            <w14:solidFill>
              <w14:schemeClr w14:val="tx1"/>
            </w14:solidFill>
          </w14:textFill>
        </w:rPr>
        <w:t>评审程序</w:t>
      </w:r>
      <w:bookmarkEnd w:id="14"/>
      <w:bookmarkEnd w:id="15"/>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3.1响应文件初审。初审分为资格性检查和符合性检查。</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3.1.1资格性检查。依据法律法规和询价通知书的规定，对响应文件中的资格证明</w:t>
      </w:r>
      <w:r>
        <w:rPr>
          <w:rFonts w:hint="eastAsia" w:hAnsi="宋体"/>
          <w:color w:val="000000" w:themeColor="text1"/>
          <w:sz w:val="24"/>
          <w14:textFill>
            <w14:solidFill>
              <w14:schemeClr w14:val="tx1"/>
            </w14:solidFill>
          </w14:textFill>
        </w:rPr>
        <w:t>等</w:t>
      </w:r>
      <w:r>
        <w:rPr>
          <w:rFonts w:hAnsi="宋体"/>
          <w:color w:val="000000" w:themeColor="text1"/>
          <w:sz w:val="24"/>
          <w14:textFill>
            <w14:solidFill>
              <w14:schemeClr w14:val="tx1"/>
            </w14:solidFill>
          </w14:textFill>
        </w:rPr>
        <w:t>进行审查，以确定供应商是否具备</w:t>
      </w:r>
      <w:r>
        <w:rPr>
          <w:rFonts w:hint="eastAsia" w:hAnsi="宋体"/>
          <w:color w:val="000000" w:themeColor="text1"/>
          <w:sz w:val="24"/>
          <w14:textFill>
            <w14:solidFill>
              <w14:schemeClr w14:val="tx1"/>
            </w14:solidFill>
          </w14:textFill>
        </w:rPr>
        <w:t>询价</w:t>
      </w:r>
      <w:r>
        <w:rPr>
          <w:rFonts w:hAnsi="宋体"/>
          <w:color w:val="000000" w:themeColor="text1"/>
          <w:sz w:val="24"/>
          <w14:textFill>
            <w14:solidFill>
              <w14:schemeClr w14:val="tx1"/>
            </w14:solidFill>
          </w14:textFill>
        </w:rPr>
        <w:t>资格。</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3.1.2符合性检查。依据询价通知书的规定，从响应文件的有效性、完整性和对询价通知书的响应程度进行审查，以确定是否对询价通知书的实质性要求作出响应。</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3.1.3在响应文件初审过程中，如果出现评审小组成员意见不一致的情况，按照少数服从多数的原则确定，但不得违背基本原则和询价通知书规定。</w:t>
      </w:r>
    </w:p>
    <w:p>
      <w:pPr>
        <w:spacing w:line="400" w:lineRule="exact"/>
        <w:ind w:firstLine="48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 xml:space="preserve">3.2 </w:t>
      </w:r>
      <w:r>
        <w:rPr>
          <w:rFonts w:hint="eastAsia" w:hAnsi="宋体"/>
          <w:color w:val="000000" w:themeColor="text1"/>
          <w:sz w:val="24"/>
          <w14:textFill>
            <w14:solidFill>
              <w14:schemeClr w14:val="tx1"/>
            </w14:solidFill>
          </w14:textFill>
        </w:rPr>
        <w:t>澄清有关问题。对响应文件中含义不明确、同类问题表述不一致或者有明显文字和计算错误的内容，</w:t>
      </w:r>
      <w:r>
        <w:rPr>
          <w:rFonts w:hAnsi="宋体"/>
          <w:color w:val="000000" w:themeColor="text1"/>
          <w:sz w:val="24"/>
          <w14:textFill>
            <w14:solidFill>
              <w14:schemeClr w14:val="tx1"/>
            </w14:solidFill>
          </w14:textFill>
        </w:rPr>
        <w:t>评审小组</w:t>
      </w:r>
      <w:r>
        <w:rPr>
          <w:rFonts w:hint="eastAsia" w:hAnsi="宋体"/>
          <w:color w:val="000000" w:themeColor="text1"/>
          <w:sz w:val="24"/>
          <w14:textFill>
            <w14:solidFill>
              <w14:schemeClr w14:val="tx1"/>
            </w14:solidFill>
          </w14:textFill>
        </w:rPr>
        <w:t>可以书面形式（应当由</w:t>
      </w:r>
      <w:r>
        <w:rPr>
          <w:rFonts w:hAnsi="宋体"/>
          <w:color w:val="000000" w:themeColor="text1"/>
          <w:sz w:val="24"/>
          <w14:textFill>
            <w14:solidFill>
              <w14:schemeClr w14:val="tx1"/>
            </w14:solidFill>
          </w14:textFill>
        </w:rPr>
        <w:t>评审小组</w:t>
      </w:r>
      <w:r>
        <w:rPr>
          <w:rFonts w:hint="eastAsia" w:hAnsi="宋体"/>
          <w:color w:val="000000" w:themeColor="text1"/>
          <w:sz w:val="24"/>
          <w14:textFill>
            <w14:solidFill>
              <w14:schemeClr w14:val="tx1"/>
            </w14:solidFill>
          </w14:textFill>
        </w:rPr>
        <w:t>专家签字）要求供应商作出必要的澄清、说明或者纠正。供应商的澄清、说明或者补正应当采用书面形式，由其授权的代表签字，并不得超出响应文件的范围或者改变响应文件的实质性内容。</w:t>
      </w:r>
      <w:bookmarkStart w:id="16" w:name="_Toc217446104"/>
      <w:bookmarkStart w:id="17" w:name="_Toc183582287"/>
      <w:bookmarkStart w:id="18" w:name="_Toc183682422"/>
    </w:p>
    <w:bookmarkEnd w:id="16"/>
    <w:bookmarkEnd w:id="17"/>
    <w:bookmarkEnd w:id="18"/>
    <w:p>
      <w:pPr>
        <w:spacing w:line="400" w:lineRule="exact"/>
        <w:ind w:firstLine="480"/>
        <w:rPr>
          <w:rFonts w:hint="eastAsia"/>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3.3</w:t>
      </w:r>
      <w:r>
        <w:rPr>
          <w:rFonts w:hint="eastAsia"/>
          <w:color w:val="000000" w:themeColor="text1"/>
          <w:sz w:val="24"/>
          <w14:textFill>
            <w14:solidFill>
              <w14:schemeClr w14:val="tx1"/>
            </w14:solidFill>
          </w14:textFill>
        </w:rPr>
        <w:t>比较与评价。按询价通知书中规定的评审方法和标准，对资格性检查和符合性检查合格的响应文件进行商务和技术评估，综合比较与评价。</w:t>
      </w:r>
    </w:p>
    <w:p>
      <w:pPr>
        <w:spacing w:line="400" w:lineRule="exact"/>
        <w:ind w:firstLine="480"/>
        <w:rPr>
          <w:rFonts w:hint="eastAsia"/>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3.4</w:t>
      </w:r>
      <w:r>
        <w:rPr>
          <w:rFonts w:hint="eastAsia"/>
          <w:color w:val="000000" w:themeColor="text1"/>
          <w:sz w:val="24"/>
          <w14:textFill>
            <w14:solidFill>
              <w14:schemeClr w14:val="tx1"/>
            </w14:solidFill>
          </w14:textFill>
        </w:rPr>
        <w:t>推荐成交候选人名单。成交候选人数量应当根据采购需要确定，但必须按顺序排列成交候选人。</w:t>
      </w:r>
    </w:p>
    <w:p>
      <w:pPr>
        <w:spacing w:line="400" w:lineRule="exact"/>
        <w:ind w:firstLine="360" w:firstLineChars="150"/>
        <w:rPr>
          <w:rFonts w:hint="eastAsia"/>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3.4.1</w:t>
      </w:r>
      <w:r>
        <w:rPr>
          <w:rFonts w:hint="eastAsia"/>
          <w:color w:val="000000" w:themeColor="text1"/>
          <w:sz w:val="24"/>
          <w14:textFill>
            <w14:solidFill>
              <w14:schemeClr w14:val="tx1"/>
            </w14:solidFill>
          </w14:textFill>
        </w:rPr>
        <w:t>按评审后得分由高到低顺序排列，得分相同的，按响应报价由低到高顺序排列。得分且响应报价相同的，按技术指标优劣顺序排列。</w:t>
      </w:r>
    </w:p>
    <w:p>
      <w:pPr>
        <w:pStyle w:val="3"/>
        <w:spacing w:line="400" w:lineRule="exact"/>
        <w:ind w:firstLine="472" w:firstLineChars="196"/>
        <w:rPr>
          <w:rFonts w:ascii="黑体"/>
          <w:color w:val="000000" w:themeColor="text1"/>
          <w:sz w:val="24"/>
          <w:szCs w:val="24"/>
          <w14:textFill>
            <w14:solidFill>
              <w14:schemeClr w14:val="tx1"/>
            </w14:solidFill>
          </w14:textFill>
        </w:rPr>
      </w:pPr>
      <w:bookmarkStart w:id="19" w:name="_Toc14798678"/>
      <w:bookmarkStart w:id="20" w:name="_Toc217446103"/>
      <w:bookmarkStart w:id="21" w:name="_Toc534969148"/>
    </w:p>
    <w:p>
      <w:pPr>
        <w:pStyle w:val="3"/>
        <w:spacing w:line="400" w:lineRule="exact"/>
        <w:ind w:firstLine="472" w:firstLineChars="196"/>
        <w:rPr>
          <w:rFonts w:ascii="黑体"/>
          <w:color w:val="000000" w:themeColor="text1"/>
          <w:sz w:val="24"/>
          <w:szCs w:val="24"/>
          <w14:textFill>
            <w14:solidFill>
              <w14:schemeClr w14:val="tx1"/>
            </w14:solidFill>
          </w14:textFill>
        </w:rPr>
      </w:pPr>
    </w:p>
    <w:p>
      <w:pPr>
        <w:pStyle w:val="3"/>
        <w:spacing w:line="400" w:lineRule="exact"/>
        <w:ind w:firstLine="472" w:firstLineChars="196"/>
        <w:rPr>
          <w:rFonts w:ascii="黑体"/>
          <w:color w:val="000000" w:themeColor="text1"/>
          <w:sz w:val="24"/>
          <w:szCs w:val="24"/>
          <w14:textFill>
            <w14:solidFill>
              <w14:schemeClr w14:val="tx1"/>
            </w14:solidFill>
          </w14:textFill>
        </w:rPr>
      </w:pPr>
      <w:r>
        <w:rPr>
          <w:rFonts w:ascii="黑体"/>
          <w:color w:val="000000" w:themeColor="text1"/>
          <w:sz w:val="24"/>
          <w:szCs w:val="24"/>
          <w14:textFill>
            <w14:solidFill>
              <w14:schemeClr w14:val="tx1"/>
            </w14:solidFill>
          </w14:textFill>
        </w:rPr>
        <w:t xml:space="preserve">4、 </w:t>
      </w:r>
      <w:r>
        <w:rPr>
          <w:rFonts w:hint="eastAsia" w:ascii="黑体"/>
          <w:color w:val="000000" w:themeColor="text1"/>
          <w:sz w:val="24"/>
          <w:szCs w:val="24"/>
          <w14:textFill>
            <w14:solidFill>
              <w14:schemeClr w14:val="tx1"/>
            </w14:solidFill>
          </w14:textFill>
        </w:rPr>
        <w:t>评审细则及标准</w:t>
      </w:r>
      <w:bookmarkEnd w:id="19"/>
      <w:bookmarkEnd w:id="20"/>
      <w:bookmarkEnd w:id="21"/>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4.1 评审小组</w:t>
      </w:r>
      <w:r>
        <w:rPr>
          <w:rFonts w:hint="eastAsia" w:hAnsi="宋体"/>
          <w:color w:val="000000" w:themeColor="text1"/>
          <w:sz w:val="24"/>
          <w14:textFill>
            <w14:solidFill>
              <w14:schemeClr w14:val="tx1"/>
            </w14:solidFill>
          </w14:textFill>
        </w:rPr>
        <w:t>只对通过初审的响应文件，根据询价通知书规定的评审程序、评分办法及标准进行评价和比较。</w:t>
      </w:r>
    </w:p>
    <w:p>
      <w:pPr>
        <w:tabs>
          <w:tab w:val="left" w:pos="720"/>
        </w:tabs>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 xml:space="preserve">4.2 </w:t>
      </w:r>
      <w:r>
        <w:rPr>
          <w:rFonts w:hint="eastAsia" w:hAnsi="宋体"/>
          <w:color w:val="000000" w:themeColor="text1"/>
          <w:sz w:val="24"/>
          <w14:textFill>
            <w14:solidFill>
              <w14:schemeClr w14:val="tx1"/>
            </w14:solidFill>
          </w14:textFill>
        </w:rPr>
        <w:t>本次综合评分的因素是：见综合评分明细表。</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 xml:space="preserve">4.3 </w:t>
      </w:r>
      <w:r>
        <w:rPr>
          <w:rFonts w:hint="eastAsia" w:hAnsi="宋体"/>
          <w:color w:val="000000" w:themeColor="text1"/>
          <w:sz w:val="24"/>
          <w14:textFill>
            <w14:solidFill>
              <w14:schemeClr w14:val="tx1"/>
            </w14:solidFill>
          </w14:textFill>
        </w:rPr>
        <w:t>除价格因素外，</w:t>
      </w:r>
      <w:r>
        <w:rPr>
          <w:rFonts w:hAnsi="宋体"/>
          <w:color w:val="000000" w:themeColor="text1"/>
          <w:sz w:val="24"/>
          <w14:textFill>
            <w14:solidFill>
              <w14:schemeClr w14:val="tx1"/>
            </w14:solidFill>
          </w14:textFill>
        </w:rPr>
        <w:t>评审小组</w:t>
      </w:r>
      <w:r>
        <w:rPr>
          <w:rFonts w:hint="eastAsia" w:hAnsi="宋体"/>
          <w:color w:val="000000" w:themeColor="text1"/>
          <w:sz w:val="24"/>
          <w14:textFill>
            <w14:solidFill>
              <w14:schemeClr w14:val="tx1"/>
            </w14:solidFill>
          </w14:textFill>
        </w:rPr>
        <w:t>成员应依据询价通知书规定的评分标准和方法独立对其他因素进行比较打分。</w:t>
      </w:r>
    </w:p>
    <w:p>
      <w:pPr>
        <w:spacing w:line="400" w:lineRule="exact"/>
        <w:ind w:firstLine="960" w:firstLineChars="4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每个评委独立评分，所有评委评分的算术平均值</w:t>
      </w:r>
      <w:r>
        <w:rPr>
          <w:rFonts w:hAnsi="宋体"/>
          <w:color w:val="000000" w:themeColor="text1"/>
          <w:sz w:val="24"/>
          <w14:textFill>
            <w14:solidFill>
              <w14:schemeClr w14:val="tx1"/>
            </w14:solidFill>
          </w14:textFill>
        </w:rPr>
        <w:t xml:space="preserve">, </w:t>
      </w:r>
      <w:r>
        <w:rPr>
          <w:rFonts w:hint="eastAsia" w:hAnsi="宋体"/>
          <w:color w:val="000000" w:themeColor="text1"/>
          <w:sz w:val="24"/>
          <w14:textFill>
            <w14:solidFill>
              <w14:schemeClr w14:val="tx1"/>
            </w14:solidFill>
          </w14:textFill>
        </w:rPr>
        <w:t>加上以询价通知书规定的方法计算出的价格分，即为每个供应商的最终得分。除价格分外，评委评分可保留</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位小数，评审最终得分保留</w:t>
      </w:r>
      <w:r>
        <w:rPr>
          <w:rFonts w:hAnsi="宋体"/>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位小数。</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4.4</w:t>
      </w:r>
      <w:r>
        <w:rPr>
          <w:rFonts w:hint="eastAsia" w:hAnsi="宋体"/>
          <w:color w:val="000000" w:themeColor="text1"/>
          <w:sz w:val="24"/>
          <w14:textFill>
            <w14:solidFill>
              <w14:schemeClr w14:val="tx1"/>
            </w14:solidFill>
          </w14:textFill>
        </w:rPr>
        <w:t>实质性偏离是指响应文件未能实质响应询价通知书的要求。以下情况属于实质性偏离：</w:t>
      </w:r>
    </w:p>
    <w:p>
      <w:pPr>
        <w:spacing w:line="40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（1）响应报价不符合询价通知书规定的最高限价；</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（2</w:t>
      </w:r>
      <w:r>
        <w:rPr>
          <w:rFonts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报价</w:t>
      </w:r>
      <w:r>
        <w:rPr>
          <w:rFonts w:hAnsi="宋体"/>
          <w:color w:val="000000" w:themeColor="text1"/>
          <w:sz w:val="24"/>
          <w14:textFill>
            <w14:solidFill>
              <w14:schemeClr w14:val="tx1"/>
            </w14:solidFill>
          </w14:textFill>
        </w:rPr>
        <w:t>函、法定代表人授权委托书、</w:t>
      </w:r>
      <w:r>
        <w:rPr>
          <w:rFonts w:hint="eastAsia" w:hAnsi="宋体"/>
          <w:color w:val="000000" w:themeColor="text1"/>
          <w:sz w:val="24"/>
          <w14:textFill>
            <w14:solidFill>
              <w14:schemeClr w14:val="tx1"/>
            </w14:solidFill>
          </w14:textFill>
        </w:rPr>
        <w:t>报价表</w:t>
      </w:r>
      <w:r>
        <w:rPr>
          <w:rFonts w:hAnsi="宋体"/>
          <w:color w:val="000000" w:themeColor="text1"/>
          <w:sz w:val="24"/>
          <w14:textFill>
            <w14:solidFill>
              <w14:schemeClr w14:val="tx1"/>
            </w14:solidFill>
          </w14:textFill>
        </w:rPr>
        <w:t>没有按询价通知书的规定和要求签字</w:t>
      </w:r>
      <w:r>
        <w:rPr>
          <w:rFonts w:hint="eastAsia" w:hAnsi="宋体"/>
          <w:color w:val="000000" w:themeColor="text1"/>
          <w:sz w:val="24"/>
          <w14:textFill>
            <w14:solidFill>
              <w14:schemeClr w14:val="tx1"/>
            </w14:solidFill>
          </w14:textFill>
        </w:rPr>
        <w:t>（或签章）或盖章；</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（3</w:t>
      </w:r>
      <w:r>
        <w:rPr>
          <w:rFonts w:hAnsi="宋体"/>
          <w:color w:val="000000" w:themeColor="text1"/>
          <w:sz w:val="24"/>
          <w14:textFill>
            <w14:solidFill>
              <w14:schemeClr w14:val="tx1"/>
            </w14:solidFill>
          </w14:textFill>
        </w:rPr>
        <w:t>）响应文件中附有采购人不能接受的条件；</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（4</w:t>
      </w:r>
      <w:r>
        <w:rPr>
          <w:rFonts w:hAnsi="宋体"/>
          <w:color w:val="000000" w:themeColor="text1"/>
          <w:sz w:val="24"/>
          <w14:textFill>
            <w14:solidFill>
              <w14:schemeClr w14:val="tx1"/>
            </w14:solidFill>
          </w14:textFill>
        </w:rPr>
        <w:t>）响应产品的</w:t>
      </w:r>
      <w:r>
        <w:rPr>
          <w:rFonts w:hint="eastAsia" w:hAnsi="宋体"/>
          <w:color w:val="000000" w:themeColor="text1"/>
          <w:sz w:val="24"/>
          <w14:textFill>
            <w14:solidFill>
              <w14:schemeClr w14:val="tx1"/>
            </w14:solidFill>
          </w14:textFill>
        </w:rPr>
        <w:t>重要技术规格、技术标准不符合采购项目的要求；</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（5</w:t>
      </w:r>
      <w:r>
        <w:rPr>
          <w:rFonts w:hAnsi="宋体"/>
          <w:color w:val="000000" w:themeColor="text1"/>
          <w:sz w:val="24"/>
          <w14:textFill>
            <w14:solidFill>
              <w14:schemeClr w14:val="tx1"/>
            </w14:solidFill>
          </w14:textFill>
        </w:rPr>
        <w:t>）评审委员认为供应商响应报价明显低于成本价，在评审小组发出质询函后供应商未能提供合理的成本分析和价格构成的或对质询函的解释未被评审小组采信的。</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（6</w:t>
      </w:r>
      <w:r>
        <w:rPr>
          <w:rFonts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不符合询价通知书规定的其他实质性要求。</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4.5 在评审过程中，响应文件有下列情况之一，评审小组成员应当按照询价通知书规定的非实质性偏离进行扣分：</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1）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2）响应文件未按询价通知书要求编制目录、页码；</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3）认定的与询价通知书第</w:t>
      </w:r>
      <w:r>
        <w:rPr>
          <w:rFonts w:hint="eastAsia" w:hAnsi="宋体"/>
          <w:color w:val="000000" w:themeColor="text1"/>
          <w:sz w:val="24"/>
          <w14:textFill>
            <w14:solidFill>
              <w14:schemeClr w14:val="tx1"/>
            </w14:solidFill>
          </w14:textFill>
        </w:rPr>
        <w:t>五章规定的技术、商务和其他规定要求不符的非实质性偏离。</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4）认定的其他非实质性偏离。</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4.6</w:t>
      </w:r>
      <w:r>
        <w:rPr>
          <w:rFonts w:hint="eastAsia" w:hAnsi="宋体"/>
          <w:color w:val="000000" w:themeColor="text1"/>
          <w:sz w:val="24"/>
          <w14:textFill>
            <w14:solidFill>
              <w14:schemeClr w14:val="tx1"/>
            </w14:solidFill>
          </w14:textFill>
        </w:rPr>
        <w:t>综合评分明细表</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4.6.1综合评分明细表的制定以科学合理、降低评审小组自由裁量权为原则</w:t>
      </w:r>
    </w:p>
    <w:bookmarkEnd w:id="9"/>
    <w:bookmarkEnd w:id="10"/>
    <w:bookmarkEnd w:id="11"/>
    <w:bookmarkEnd w:id="12"/>
    <w:bookmarkEnd w:id="13"/>
    <w:p>
      <w:pPr>
        <w:spacing w:line="400" w:lineRule="exact"/>
        <w:ind w:firstLine="482" w:firstLineChars="200"/>
        <w:rPr>
          <w:rFonts w:ascii="宋体" w:hAnsi="宋体"/>
          <w:b/>
          <w:color w:val="000000" w:themeColor="text1"/>
          <w:sz w:val="24"/>
          <w14:textFill>
            <w14:solidFill>
              <w14:schemeClr w14:val="tx1"/>
            </w14:solidFill>
          </w14:textFill>
        </w:rPr>
      </w:pPr>
      <w:bookmarkStart w:id="22" w:name="_Toc217446099"/>
      <w:bookmarkStart w:id="23" w:name="_Toc217446059"/>
      <w:r>
        <w:rPr>
          <w:rFonts w:hint="eastAsia" w:ascii="宋体" w:hAnsi="宋体"/>
          <w:b/>
          <w:bCs/>
          <w:color w:val="000000" w:themeColor="text1"/>
          <w:sz w:val="24"/>
          <w14:textFill>
            <w14:solidFill>
              <w14:schemeClr w14:val="tx1"/>
            </w14:solidFill>
          </w14:textFill>
        </w:rPr>
        <w:t>5</w:t>
      </w:r>
      <w:r>
        <w:rPr>
          <w:rFonts w:hint="eastAsia" w:ascii="宋体" w:hAnsi="宋体"/>
          <w:b/>
          <w:color w:val="000000" w:themeColor="text1"/>
          <w:sz w:val="24"/>
          <w14:textFill>
            <w14:solidFill>
              <w14:schemeClr w14:val="tx1"/>
            </w14:solidFill>
          </w14:textFill>
        </w:rPr>
        <w:t>.</w:t>
      </w:r>
      <w:r>
        <w:rPr>
          <w:rFonts w:hint="eastAsia" w:ascii="宋体" w:hAnsi="宋体"/>
          <w:b/>
          <w:bCs/>
          <w:color w:val="000000" w:themeColor="text1"/>
          <w:sz w:val="24"/>
          <w14:textFill>
            <w14:solidFill>
              <w14:schemeClr w14:val="tx1"/>
            </w14:solidFill>
          </w14:textFill>
        </w:rPr>
        <w:t>确定成交供应商</w:t>
      </w:r>
    </w:p>
    <w:p>
      <w:pPr>
        <w:pStyle w:val="36"/>
        <w:ind w:firstLine="480"/>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询价评审小组按照得分最高的供应商为成交供应商候选人。</w:t>
      </w:r>
    </w:p>
    <w:p>
      <w:pPr>
        <w:pStyle w:val="36"/>
        <w:ind w:firstLine="482"/>
        <w:rPr>
          <w:rFonts w:hint="eastAsia" w:ascii="宋体" w:hAnsi="宋体" w:eastAsia="宋体"/>
          <w:b/>
          <w:color w:val="000000" w:themeColor="text1"/>
          <w14:textFill>
            <w14:solidFill>
              <w14:schemeClr w14:val="tx1"/>
            </w14:solidFill>
          </w14:textFill>
        </w:rPr>
      </w:pPr>
      <w:bookmarkStart w:id="24" w:name="_Toc217446061"/>
    </w:p>
    <w:p>
      <w:pPr>
        <w:pStyle w:val="36"/>
        <w:ind w:firstLine="482"/>
        <w:rPr>
          <w:rFonts w:hint="eastAsia" w:ascii="宋体" w:hAnsi="宋体" w:eastAsia="宋体"/>
          <w:b/>
          <w:color w:val="000000" w:themeColor="text1"/>
          <w14:textFill>
            <w14:solidFill>
              <w14:schemeClr w14:val="tx1"/>
            </w14:solidFill>
          </w14:textFill>
        </w:rPr>
      </w:pPr>
    </w:p>
    <w:p>
      <w:pPr>
        <w:pStyle w:val="36"/>
        <w:ind w:firstLine="482"/>
        <w:rPr>
          <w:rFonts w:ascii="宋体" w:hAnsi="宋体" w:eastAsia="宋体"/>
          <w:b/>
          <w:bCs/>
          <w:color w:val="000000" w:themeColor="text1"/>
          <w:kern w:val="0"/>
          <w14:textFill>
            <w14:solidFill>
              <w14:schemeClr w14:val="tx1"/>
            </w14:solidFill>
          </w14:textFill>
        </w:rPr>
      </w:pPr>
      <w:r>
        <w:rPr>
          <w:rFonts w:hint="eastAsia" w:ascii="宋体" w:hAnsi="宋体" w:eastAsia="宋体"/>
          <w:b/>
          <w:color w:val="000000" w:themeColor="text1"/>
          <w14:textFill>
            <w14:solidFill>
              <w14:schemeClr w14:val="tx1"/>
            </w14:solidFill>
          </w14:textFill>
        </w:rPr>
        <w:t>6.采购结果确定</w:t>
      </w:r>
    </w:p>
    <w:bookmarkEnd w:id="24"/>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 xml:space="preserve"> </w:t>
      </w:r>
      <w:r>
        <w:rPr>
          <w:rFonts w:hint="eastAsia" w:ascii="宋体" w:hAnsi="宋体"/>
          <w:b/>
          <w:color w:val="000000" w:themeColor="text1"/>
          <w:sz w:val="24"/>
          <w14:textFill>
            <w14:solidFill>
              <w14:schemeClr w14:val="tx1"/>
            </w14:solidFill>
          </w14:textFill>
        </w:rPr>
        <w:t>采购人</w:t>
      </w:r>
      <w:r>
        <w:rPr>
          <w:rFonts w:hint="eastAsia" w:ascii="宋体" w:hAnsi="宋体"/>
          <w:color w:val="000000" w:themeColor="text1"/>
          <w:sz w:val="24"/>
          <w14:textFill>
            <w14:solidFill>
              <w14:schemeClr w14:val="tx1"/>
            </w14:solidFill>
          </w14:textFill>
        </w:rPr>
        <w:t>自评审结束之日起3个工作日内，在原发布询价采购文件的媒介上公示。</w:t>
      </w:r>
    </w:p>
    <w:p>
      <w:pPr>
        <w:pStyle w:val="6"/>
        <w:spacing w:after="0" w:line="400" w:lineRule="exact"/>
        <w:ind w:left="960" w:hanging="960" w:hangingChars="4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6.2公示期不少于3日，公示期内无异议或投诉，公示期结束后，</w:t>
      </w:r>
      <w:r>
        <w:rPr>
          <w:rFonts w:hint="eastAsia" w:ascii="宋体" w:hAnsi="宋体"/>
          <w:b/>
          <w:color w:val="000000" w:themeColor="text1"/>
          <w:sz w:val="24"/>
          <w14:textFill>
            <w14:solidFill>
              <w14:schemeClr w14:val="tx1"/>
            </w14:solidFill>
          </w14:textFill>
        </w:rPr>
        <w:t>采购人</w:t>
      </w:r>
      <w:r>
        <w:rPr>
          <w:rFonts w:hint="eastAsia" w:ascii="宋体" w:hAnsi="宋体"/>
          <w:color w:val="000000" w:themeColor="text1"/>
          <w:sz w:val="24"/>
          <w14:textFill>
            <w14:solidFill>
              <w14:schemeClr w14:val="tx1"/>
            </w14:solidFill>
          </w14:textFill>
        </w:rPr>
        <w:t>向成交供应商发出供应商确认通知单。</w:t>
      </w:r>
    </w:p>
    <w:p>
      <w:pPr>
        <w:pStyle w:val="6"/>
        <w:spacing w:after="0" w:line="400" w:lineRule="exact"/>
        <w:ind w:left="960" w:hanging="960" w:hangingChars="4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成交人因不可抗力或自身原因无法履约合同的，可以确定后一顺序中标候选人为中标人，依次类推，也可重新询价。</w:t>
      </w:r>
    </w:p>
    <w:p>
      <w:pPr>
        <w:spacing w:line="400" w:lineRule="exact"/>
        <w:ind w:firstLine="46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采购单位不解释</w:t>
      </w:r>
      <w:r>
        <w:rPr>
          <w:rFonts w:hint="eastAsia" w:ascii="宋体" w:hAnsi="宋体"/>
          <w:color w:val="000000" w:themeColor="text1"/>
          <w:sz w:val="24"/>
          <w14:textFill>
            <w14:solidFill>
              <w14:schemeClr w14:val="tx1"/>
            </w14:solidFill>
          </w14:textFill>
        </w:rPr>
        <w:t>成交</w:t>
      </w:r>
      <w:r>
        <w:rPr>
          <w:rFonts w:ascii="宋体" w:hAnsi="宋体"/>
          <w:color w:val="000000" w:themeColor="text1"/>
          <w:sz w:val="24"/>
          <w14:textFill>
            <w14:solidFill>
              <w14:schemeClr w14:val="tx1"/>
            </w14:solidFill>
          </w14:textFill>
        </w:rPr>
        <w:t>或</w:t>
      </w:r>
      <w:r>
        <w:rPr>
          <w:rFonts w:hint="eastAsia" w:ascii="宋体" w:hAnsi="宋体"/>
          <w:color w:val="000000" w:themeColor="text1"/>
          <w:sz w:val="24"/>
          <w14:textFill>
            <w14:solidFill>
              <w14:schemeClr w14:val="tx1"/>
            </w14:solidFill>
          </w14:textFill>
        </w:rPr>
        <w:t>未成交</w:t>
      </w:r>
      <w:r>
        <w:rPr>
          <w:rFonts w:ascii="宋体" w:hAnsi="宋体"/>
          <w:color w:val="000000" w:themeColor="text1"/>
          <w:sz w:val="24"/>
          <w14:textFill>
            <w14:solidFill>
              <w14:schemeClr w14:val="tx1"/>
            </w14:solidFill>
          </w14:textFill>
        </w:rPr>
        <w:t>原因，不退回响应文件和其他</w:t>
      </w:r>
      <w:r>
        <w:rPr>
          <w:rFonts w:hint="eastAsia" w:ascii="宋体" w:hAnsi="宋体"/>
          <w:color w:val="000000" w:themeColor="text1"/>
          <w:sz w:val="24"/>
          <w14:textFill>
            <w14:solidFill>
              <w14:schemeClr w14:val="tx1"/>
            </w14:solidFill>
          </w14:textFill>
        </w:rPr>
        <w:t>响应</w:t>
      </w:r>
      <w:r>
        <w:rPr>
          <w:rFonts w:ascii="宋体" w:hAnsi="宋体"/>
          <w:color w:val="000000" w:themeColor="text1"/>
          <w:sz w:val="24"/>
          <w14:textFill>
            <w14:solidFill>
              <w14:schemeClr w14:val="tx1"/>
            </w14:solidFill>
          </w14:textFill>
        </w:rPr>
        <w:t>资料。</w:t>
      </w:r>
    </w:p>
    <w:p>
      <w:pPr>
        <w:spacing w:line="400" w:lineRule="exact"/>
        <w:ind w:firstLine="465"/>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7.</w:t>
      </w:r>
      <w:r>
        <w:rPr>
          <w:rFonts w:hint="eastAsia" w:ascii="宋体" w:hAnsi="宋体"/>
          <w:b/>
          <w:bCs/>
          <w:color w:val="000000" w:themeColor="text1"/>
          <w:sz w:val="24"/>
          <w14:textFill>
            <w14:solidFill>
              <w14:schemeClr w14:val="tx1"/>
            </w14:solidFill>
          </w14:textFill>
        </w:rPr>
        <w:t>询价评审小组成员</w:t>
      </w:r>
      <w:r>
        <w:rPr>
          <w:rFonts w:hint="eastAsia" w:ascii="宋体" w:hAnsi="宋体"/>
          <w:color w:val="000000" w:themeColor="text1"/>
          <w:sz w:val="24"/>
          <w14:textFill>
            <w14:solidFill>
              <w14:schemeClr w14:val="tx1"/>
            </w14:solidFill>
          </w14:textFill>
        </w:rPr>
        <w:t>在采购活动中承担以下义务：</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w:t>
      </w:r>
      <w:r>
        <w:rPr>
          <w:rFonts w:ascii="宋体" w:hAnsi="宋体"/>
          <w:color w:val="000000" w:themeColor="text1"/>
          <w:sz w:val="24"/>
          <w14:textFill>
            <w14:solidFill>
              <w14:schemeClr w14:val="tx1"/>
            </w14:solidFill>
          </w14:textFill>
        </w:rPr>
        <w:t xml:space="preserve">.1 </w:t>
      </w:r>
      <w:r>
        <w:rPr>
          <w:rFonts w:hint="eastAsia" w:ascii="宋体" w:hAnsi="宋体"/>
          <w:color w:val="000000" w:themeColor="text1"/>
          <w:sz w:val="24"/>
          <w14:textFill>
            <w14:solidFill>
              <w14:schemeClr w14:val="tx1"/>
            </w14:solidFill>
          </w14:textFill>
        </w:rPr>
        <w:t>遵纪守法，客观、公正、廉洁地履行职责。</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w:t>
      </w:r>
      <w:r>
        <w:rPr>
          <w:rFonts w:ascii="宋体" w:hAnsi="宋体"/>
          <w:color w:val="000000" w:themeColor="text1"/>
          <w:sz w:val="24"/>
          <w14:textFill>
            <w14:solidFill>
              <w14:schemeClr w14:val="tx1"/>
            </w14:solidFill>
          </w14:textFill>
        </w:rPr>
        <w:t xml:space="preserve">.2 </w:t>
      </w:r>
      <w:r>
        <w:rPr>
          <w:rFonts w:hint="eastAsia" w:ascii="宋体" w:hAnsi="宋体"/>
          <w:color w:val="000000" w:themeColor="text1"/>
          <w:sz w:val="24"/>
          <w14:textFill>
            <w14:solidFill>
              <w14:schemeClr w14:val="tx1"/>
            </w14:solidFill>
          </w14:textFill>
        </w:rPr>
        <w:t>按照采购文件的规定要求对供应商的资格条件和供应商提供的产品价格、技术、服务等方面严格进行评判，</w:t>
      </w:r>
      <w:r>
        <w:rPr>
          <w:rFonts w:ascii="宋体" w:hAnsi="宋体"/>
          <w:color w:val="000000" w:themeColor="text1"/>
          <w:sz w:val="24"/>
          <w14:textFill>
            <w14:solidFill>
              <w14:schemeClr w14:val="tx1"/>
            </w14:solidFill>
          </w14:textFill>
        </w:rPr>
        <w:t>提供</w:t>
      </w:r>
      <w:r>
        <w:rPr>
          <w:rFonts w:hint="eastAsia" w:ascii="宋体" w:hAnsi="宋体"/>
          <w:color w:val="000000" w:themeColor="text1"/>
          <w:sz w:val="24"/>
          <w14:textFill>
            <w14:solidFill>
              <w14:schemeClr w14:val="tx1"/>
            </w14:solidFill>
          </w14:textFill>
        </w:rPr>
        <w:t>科学合理、公平公正</w:t>
      </w:r>
      <w:r>
        <w:rPr>
          <w:rFonts w:ascii="宋体" w:hAnsi="宋体"/>
          <w:color w:val="000000" w:themeColor="text1"/>
          <w:sz w:val="24"/>
          <w14:textFill>
            <w14:solidFill>
              <w14:schemeClr w14:val="tx1"/>
            </w14:solidFill>
          </w14:textFill>
        </w:rPr>
        <w:t>的评审意见</w:t>
      </w:r>
      <w:r>
        <w:rPr>
          <w:rFonts w:hint="eastAsia" w:ascii="宋体" w:hAnsi="宋体"/>
          <w:color w:val="000000" w:themeColor="text1"/>
          <w:sz w:val="24"/>
          <w14:textFill>
            <w14:solidFill>
              <w14:schemeClr w14:val="tx1"/>
            </w14:solidFill>
          </w14:textFill>
        </w:rPr>
        <w:t>，参与起草评审报告，并予签字确认。</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w:t>
      </w:r>
      <w:r>
        <w:rPr>
          <w:rFonts w:ascii="宋体" w:hAnsi="宋体"/>
          <w:color w:val="000000" w:themeColor="text1"/>
          <w:sz w:val="24"/>
          <w14:textFill>
            <w14:solidFill>
              <w14:schemeClr w14:val="tx1"/>
            </w14:solidFill>
          </w14:textFill>
        </w:rPr>
        <w:t xml:space="preserve">.3 </w:t>
      </w:r>
      <w:r>
        <w:rPr>
          <w:rFonts w:hint="eastAsia" w:ascii="宋体" w:hAnsi="宋体"/>
          <w:color w:val="000000" w:themeColor="text1"/>
          <w:sz w:val="24"/>
          <w14:textFill>
            <w14:solidFill>
              <w14:schemeClr w14:val="tx1"/>
            </w14:solidFill>
          </w14:textFill>
        </w:rPr>
        <w:t>保守秘密。不得透露采购文件咨询情况，不得泄漏供应商的响应文件及知悉的商业秘密，不得向供应商透露评审情况。</w:t>
      </w:r>
    </w:p>
    <w:p>
      <w:pPr>
        <w:pStyle w:val="36"/>
        <w:ind w:firstLine="482"/>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8.重新采购或终止采购</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本次采购活动中，出现下列情形之一的，予以重新采购或终止采购：</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（1）所有报价都不符合询价文件要求，并被全部否决的；</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（2）出现影响采购公正的违法、违规行为的；</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（3）因重大变故，采购任务取消的；</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（4）首次询价采购，在规定的时间内，递交响应文件的供应商数量不足3家。</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重新采购或终止采购的，采购人在</w:t>
      </w:r>
      <w:r>
        <w:rPr>
          <w:rFonts w:hint="eastAsia" w:ascii="宋体" w:hAnsi="宋体"/>
          <w:b/>
          <w:color w:val="000000" w:themeColor="text1"/>
          <w:sz w:val="24"/>
          <w14:textFill>
            <w14:solidFill>
              <w14:schemeClr w14:val="tx1"/>
            </w14:solidFill>
          </w14:textFill>
        </w:rPr>
        <w:t>成都光明光电股份有限公司官网（http://www.cdgmgd.com）</w:t>
      </w:r>
      <w:r>
        <w:rPr>
          <w:rFonts w:hint="eastAsia" w:ascii="宋体" w:hAnsi="宋体"/>
          <w:color w:val="000000" w:themeColor="text1"/>
          <w:sz w:val="24"/>
          <w14:textFill>
            <w14:solidFill>
              <w14:schemeClr w14:val="tx1"/>
            </w14:solidFill>
          </w14:textFill>
        </w:rPr>
        <w:t>上公告详细理由。</w:t>
      </w:r>
    </w:p>
    <w:p>
      <w:pPr>
        <w:widowControl/>
        <w:autoSpaceDE w:val="0"/>
        <w:autoSpaceDN w:val="0"/>
        <w:spacing w:line="400" w:lineRule="exact"/>
        <w:ind w:right="53" w:firstLine="482" w:firstLineChars="200"/>
        <w:textAlignment w:val="bottom"/>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9.</w:t>
      </w:r>
      <w:r>
        <w:rPr>
          <w:rFonts w:ascii="宋体" w:hAnsi="宋体"/>
          <w:b/>
          <w:bCs/>
          <w:color w:val="000000" w:themeColor="text1"/>
          <w:sz w:val="24"/>
          <w14:textFill>
            <w14:solidFill>
              <w14:schemeClr w14:val="tx1"/>
            </w14:solidFill>
          </w14:textFill>
        </w:rPr>
        <w:t>有下列情形之一的，</w:t>
      </w:r>
      <w:r>
        <w:rPr>
          <w:rFonts w:hint="eastAsia" w:ascii="宋体" w:hAnsi="宋体"/>
          <w:b/>
          <w:bCs/>
          <w:color w:val="000000" w:themeColor="text1"/>
          <w:sz w:val="24"/>
          <w14:textFill>
            <w14:solidFill>
              <w14:schemeClr w14:val="tx1"/>
            </w14:solidFill>
          </w14:textFill>
        </w:rPr>
        <w:t>询价评审小组</w:t>
      </w:r>
      <w:r>
        <w:rPr>
          <w:rFonts w:ascii="宋体" w:hAnsi="宋体"/>
          <w:b/>
          <w:bCs/>
          <w:color w:val="000000" w:themeColor="text1"/>
          <w:sz w:val="24"/>
          <w14:textFill>
            <w14:solidFill>
              <w14:schemeClr w14:val="tx1"/>
            </w14:solidFill>
          </w14:textFill>
        </w:rPr>
        <w:t>应当否决其</w:t>
      </w:r>
      <w:r>
        <w:rPr>
          <w:rFonts w:hint="eastAsia" w:ascii="宋体" w:hAnsi="宋体"/>
          <w:b/>
          <w:bCs/>
          <w:color w:val="000000" w:themeColor="text1"/>
          <w:sz w:val="24"/>
          <w14:textFill>
            <w14:solidFill>
              <w14:schemeClr w14:val="tx1"/>
            </w14:solidFill>
          </w14:textFill>
        </w:rPr>
        <w:t>报价</w:t>
      </w:r>
      <w:r>
        <w:rPr>
          <w:rFonts w:ascii="宋体" w:hAnsi="宋体"/>
          <w:b/>
          <w:bCs/>
          <w:color w:val="000000" w:themeColor="text1"/>
          <w:sz w:val="24"/>
          <w14:textFill>
            <w14:solidFill>
              <w14:schemeClr w14:val="tx1"/>
            </w14:solidFill>
          </w14:textFill>
        </w:rPr>
        <w:t>：</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9.1响应</w:t>
      </w:r>
      <w:r>
        <w:rPr>
          <w:rFonts w:ascii="宋体" w:hAnsi="宋体"/>
          <w:color w:val="000000" w:themeColor="text1"/>
          <w:sz w:val="24"/>
          <w14:textFill>
            <w14:solidFill>
              <w14:schemeClr w14:val="tx1"/>
            </w14:solidFill>
          </w14:textFill>
        </w:rPr>
        <w:t>文件未经</w:t>
      </w:r>
      <w:r>
        <w:rPr>
          <w:rFonts w:hint="eastAsia" w:ascii="宋体" w:hAnsi="宋体"/>
          <w:color w:val="000000" w:themeColor="text1"/>
          <w:sz w:val="24"/>
          <w14:textFill>
            <w14:solidFill>
              <w14:schemeClr w14:val="tx1"/>
            </w14:solidFill>
          </w14:textFill>
        </w:rPr>
        <w:t>供应商</w:t>
      </w:r>
      <w:r>
        <w:rPr>
          <w:rFonts w:ascii="宋体" w:hAnsi="宋体"/>
          <w:color w:val="000000" w:themeColor="text1"/>
          <w:sz w:val="24"/>
          <w14:textFill>
            <w14:solidFill>
              <w14:schemeClr w14:val="tx1"/>
            </w14:solidFill>
          </w14:textFill>
        </w:rPr>
        <w:t>单位盖章和单位负责人签字；</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联合体没有提交共同</w:t>
      </w:r>
      <w:r>
        <w:rPr>
          <w:rFonts w:hint="eastAsia" w:ascii="宋体" w:hAnsi="宋体"/>
          <w:color w:val="000000" w:themeColor="text1"/>
          <w:sz w:val="24"/>
          <w14:textFill>
            <w14:solidFill>
              <w14:schemeClr w14:val="tx1"/>
            </w14:solidFill>
          </w14:textFill>
        </w:rPr>
        <w:t>询价响应</w:t>
      </w:r>
      <w:r>
        <w:rPr>
          <w:rFonts w:ascii="宋体" w:hAnsi="宋体"/>
          <w:color w:val="000000" w:themeColor="text1"/>
          <w:sz w:val="24"/>
          <w14:textFill>
            <w14:solidFill>
              <w14:schemeClr w14:val="tx1"/>
            </w14:solidFill>
          </w14:textFill>
        </w:rPr>
        <w:t>协议；</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9.3供应商</w:t>
      </w:r>
      <w:r>
        <w:rPr>
          <w:rFonts w:ascii="宋体" w:hAnsi="宋体"/>
          <w:color w:val="000000" w:themeColor="text1"/>
          <w:sz w:val="24"/>
          <w14:textFill>
            <w14:solidFill>
              <w14:schemeClr w14:val="tx1"/>
            </w14:solidFill>
          </w14:textFill>
        </w:rPr>
        <w:t>不符合国家或者</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文件规定的资格条件；</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9.4</w:t>
      </w:r>
      <w:r>
        <w:rPr>
          <w:rFonts w:ascii="宋体" w:hAnsi="宋体"/>
          <w:color w:val="000000" w:themeColor="text1"/>
          <w:sz w:val="24"/>
          <w14:textFill>
            <w14:solidFill>
              <w14:schemeClr w14:val="tx1"/>
            </w14:solidFill>
          </w14:textFill>
        </w:rPr>
        <w:t>同一</w:t>
      </w:r>
      <w:r>
        <w:rPr>
          <w:rFonts w:hint="eastAsia" w:ascii="宋体" w:hAnsi="宋体"/>
          <w:color w:val="000000" w:themeColor="text1"/>
          <w:sz w:val="24"/>
          <w14:textFill>
            <w14:solidFill>
              <w14:schemeClr w14:val="tx1"/>
            </w14:solidFill>
          </w14:textFill>
        </w:rPr>
        <w:t>供应商</w:t>
      </w:r>
      <w:r>
        <w:rPr>
          <w:rFonts w:ascii="宋体" w:hAnsi="宋体"/>
          <w:color w:val="000000" w:themeColor="text1"/>
          <w:sz w:val="24"/>
          <w14:textFill>
            <w14:solidFill>
              <w14:schemeClr w14:val="tx1"/>
            </w14:solidFill>
          </w14:textFill>
        </w:rPr>
        <w:t>提交两个以上不同的</w:t>
      </w:r>
      <w:r>
        <w:rPr>
          <w:rFonts w:hint="eastAsia" w:ascii="宋体" w:hAnsi="宋体"/>
          <w:color w:val="000000" w:themeColor="text1"/>
          <w:sz w:val="24"/>
          <w14:textFill>
            <w14:solidFill>
              <w14:schemeClr w14:val="tx1"/>
            </w14:solidFill>
          </w14:textFill>
        </w:rPr>
        <w:t>响应</w:t>
      </w:r>
      <w:r>
        <w:rPr>
          <w:rFonts w:ascii="宋体" w:hAnsi="宋体"/>
          <w:color w:val="000000" w:themeColor="text1"/>
          <w:sz w:val="24"/>
          <w14:textFill>
            <w14:solidFill>
              <w14:schemeClr w14:val="tx1"/>
            </w14:solidFill>
          </w14:textFill>
        </w:rPr>
        <w:t>文件或者</w:t>
      </w:r>
      <w:r>
        <w:rPr>
          <w:rFonts w:hint="eastAsia" w:ascii="宋体" w:hAnsi="宋体"/>
          <w:color w:val="000000" w:themeColor="text1"/>
          <w:sz w:val="24"/>
          <w14:textFill>
            <w14:solidFill>
              <w14:schemeClr w14:val="tx1"/>
            </w14:solidFill>
          </w14:textFill>
        </w:rPr>
        <w:t>响应</w:t>
      </w:r>
      <w:r>
        <w:rPr>
          <w:rFonts w:ascii="宋体" w:hAnsi="宋体"/>
          <w:color w:val="000000" w:themeColor="text1"/>
          <w:sz w:val="24"/>
          <w14:textFill>
            <w14:solidFill>
              <w14:schemeClr w14:val="tx1"/>
            </w14:solidFill>
          </w14:textFill>
        </w:rPr>
        <w:t>报价，但</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文件要求提交备选</w:t>
      </w:r>
      <w:r>
        <w:rPr>
          <w:rFonts w:hint="eastAsia" w:ascii="宋体" w:hAnsi="宋体"/>
          <w:color w:val="000000" w:themeColor="text1"/>
          <w:sz w:val="24"/>
          <w14:textFill>
            <w14:solidFill>
              <w14:schemeClr w14:val="tx1"/>
            </w14:solidFill>
          </w14:textFill>
        </w:rPr>
        <w:t>报价</w:t>
      </w:r>
      <w:r>
        <w:rPr>
          <w:rFonts w:ascii="宋体" w:hAnsi="宋体"/>
          <w:color w:val="000000" w:themeColor="text1"/>
          <w:sz w:val="24"/>
          <w14:textFill>
            <w14:solidFill>
              <w14:schemeClr w14:val="tx1"/>
            </w14:solidFill>
          </w14:textFill>
        </w:rPr>
        <w:t>的除外；</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9.5</w:t>
      </w:r>
      <w:r>
        <w:rPr>
          <w:rFonts w:ascii="宋体" w:hAnsi="宋体"/>
          <w:color w:val="000000" w:themeColor="text1"/>
          <w:sz w:val="24"/>
          <w14:textFill>
            <w14:solidFill>
              <w14:schemeClr w14:val="tx1"/>
            </w14:solidFill>
          </w14:textFill>
        </w:rPr>
        <w:t>报价低于成本或者高于</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文件设定的最高限价；</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9.6响应</w:t>
      </w:r>
      <w:r>
        <w:rPr>
          <w:rFonts w:ascii="宋体" w:hAnsi="宋体"/>
          <w:color w:val="000000" w:themeColor="text1"/>
          <w:sz w:val="24"/>
          <w14:textFill>
            <w14:solidFill>
              <w14:schemeClr w14:val="tx1"/>
            </w14:solidFill>
          </w14:textFill>
        </w:rPr>
        <w:t>文件没有对</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文件的实质性要求和条件作出响应；</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9.7供应商</w:t>
      </w:r>
      <w:r>
        <w:rPr>
          <w:rFonts w:ascii="宋体" w:hAnsi="宋体"/>
          <w:color w:val="000000" w:themeColor="text1"/>
          <w:sz w:val="24"/>
          <w14:textFill>
            <w14:solidFill>
              <w14:schemeClr w14:val="tx1"/>
            </w14:solidFill>
          </w14:textFill>
        </w:rPr>
        <w:t>有串通</w:t>
      </w:r>
      <w:r>
        <w:rPr>
          <w:rFonts w:hint="eastAsia" w:ascii="宋体" w:hAnsi="宋体"/>
          <w:color w:val="000000" w:themeColor="text1"/>
          <w:sz w:val="24"/>
          <w14:textFill>
            <w14:solidFill>
              <w14:schemeClr w14:val="tx1"/>
            </w14:solidFill>
          </w14:textFill>
        </w:rPr>
        <w:t>报价</w:t>
      </w:r>
      <w:r>
        <w:rPr>
          <w:rFonts w:ascii="宋体" w:hAnsi="宋体"/>
          <w:color w:val="000000" w:themeColor="text1"/>
          <w:sz w:val="24"/>
          <w14:textFill>
            <w14:solidFill>
              <w14:schemeClr w14:val="tx1"/>
            </w14:solidFill>
          </w14:textFill>
        </w:rPr>
        <w:t>、弄虚作假、行贿等违法行为。</w:t>
      </w:r>
    </w:p>
    <w:p>
      <w:pPr>
        <w:pStyle w:val="2"/>
        <w:jc w:val="center"/>
        <w:rPr>
          <w:rFonts w:ascii="宋体" w:hAnsi="宋体"/>
        </w:rPr>
      </w:pPr>
      <w:r>
        <w:rPr>
          <w:rFonts w:ascii="宋体" w:hAnsi="宋体"/>
          <w:color w:val="000000" w:themeColor="text1"/>
          <w14:textFill>
            <w14:solidFill>
              <w14:schemeClr w14:val="tx1"/>
            </w14:solidFill>
          </w14:textFill>
        </w:rPr>
        <w:br w:type="page"/>
      </w:r>
      <w:bookmarkEnd w:id="22"/>
      <w:bookmarkEnd w:id="23"/>
      <w:bookmarkStart w:id="25" w:name="_Toc45282613"/>
      <w:r>
        <w:rPr>
          <w:rFonts w:hint="eastAsia" w:ascii="宋体" w:hAnsi="宋体"/>
        </w:rPr>
        <w:t>第六章 合同条款及格式</w:t>
      </w:r>
      <w:bookmarkEnd w:id="25"/>
    </w:p>
    <w:p>
      <w:pPr>
        <w:spacing w:line="460" w:lineRule="exact"/>
        <w:jc w:val="center"/>
        <w:rPr>
          <w:rFonts w:ascii="宋体" w:hAnsi="宋体" w:eastAsia="宋体" w:cs="宋体"/>
          <w:b/>
          <w:bCs/>
          <w:sz w:val="36"/>
          <w:szCs w:val="36"/>
        </w:rPr>
      </w:pPr>
      <w:bookmarkStart w:id="26" w:name="_Toc13821733"/>
      <w:bookmarkStart w:id="27" w:name="_Toc534969154"/>
      <w:r>
        <w:rPr>
          <w:rFonts w:hint="eastAsia" w:ascii="宋体" w:hAnsi="宋体" w:eastAsia="宋体" w:cs="宋体"/>
          <w:b/>
          <w:bCs/>
          <w:sz w:val="36"/>
          <w:szCs w:val="36"/>
        </w:rPr>
        <w:t>合同书</w:t>
      </w:r>
    </w:p>
    <w:p>
      <w:pPr>
        <w:spacing w:line="460" w:lineRule="exact"/>
        <w:jc w:val="center"/>
        <w:rPr>
          <w:rFonts w:ascii="宋体" w:hAnsi="宋体" w:eastAsia="宋体" w:cs="宋体"/>
          <w:b/>
          <w:bCs/>
          <w:sz w:val="36"/>
          <w:szCs w:val="36"/>
        </w:rPr>
      </w:pPr>
    </w:p>
    <w:p>
      <w:pPr>
        <w:spacing w:line="460" w:lineRule="exact"/>
        <w:jc w:val="left"/>
        <w:rPr>
          <w:rFonts w:ascii="宋体" w:hAnsi="宋体" w:eastAsia="宋体" w:cs="宋体"/>
          <w:sz w:val="24"/>
        </w:rPr>
      </w:pPr>
      <w:r>
        <w:rPr>
          <w:rFonts w:hint="eastAsia" w:ascii="宋体" w:hAnsi="宋体" w:eastAsia="宋体" w:cs="宋体"/>
          <w:sz w:val="24"/>
        </w:rPr>
        <w:t>采购单位（全称）：</w:t>
      </w:r>
      <w:r>
        <w:rPr>
          <w:rFonts w:hint="eastAsia" w:ascii="宋体" w:hAnsi="宋体" w:eastAsia="宋体" w:cs="宋体"/>
          <w:sz w:val="24"/>
          <w:u w:val="single"/>
        </w:rPr>
        <w:t xml:space="preserve">                           </w:t>
      </w:r>
      <w:r>
        <w:rPr>
          <w:rFonts w:hint="eastAsia" w:ascii="宋体" w:hAnsi="宋体" w:eastAsia="宋体" w:cs="宋体"/>
          <w:sz w:val="24"/>
        </w:rPr>
        <w:t>（简称甲方）</w:t>
      </w:r>
    </w:p>
    <w:p>
      <w:pPr>
        <w:spacing w:line="460" w:lineRule="exact"/>
        <w:jc w:val="left"/>
        <w:rPr>
          <w:rFonts w:ascii="宋体" w:hAnsi="宋体" w:eastAsia="宋体" w:cs="宋体"/>
          <w:sz w:val="24"/>
        </w:rPr>
      </w:pPr>
      <w:r>
        <w:rPr>
          <w:rFonts w:hint="eastAsia" w:ascii="宋体" w:hAnsi="宋体" w:eastAsia="宋体" w:cs="宋体"/>
          <w:sz w:val="24"/>
        </w:rPr>
        <w:t>地址</w:t>
      </w:r>
    </w:p>
    <w:p>
      <w:pPr>
        <w:spacing w:line="460" w:lineRule="exact"/>
        <w:jc w:val="left"/>
        <w:rPr>
          <w:rFonts w:ascii="宋体" w:hAnsi="宋体" w:eastAsia="宋体" w:cs="宋体"/>
          <w:sz w:val="24"/>
        </w:rPr>
      </w:pPr>
      <w:r>
        <w:rPr>
          <w:rFonts w:hint="eastAsia" w:ascii="宋体" w:hAnsi="宋体" w:eastAsia="宋体" w:cs="宋体"/>
          <w:sz w:val="24"/>
        </w:rPr>
        <w:t>中标人（全称）：</w:t>
      </w:r>
      <w:r>
        <w:rPr>
          <w:rFonts w:hint="eastAsia" w:ascii="宋体" w:hAnsi="宋体" w:eastAsia="宋体" w:cs="宋体"/>
          <w:sz w:val="24"/>
          <w:u w:val="single"/>
        </w:rPr>
        <w:t xml:space="preserve">                           </w:t>
      </w:r>
      <w:r>
        <w:rPr>
          <w:rFonts w:hint="eastAsia" w:ascii="宋体" w:hAnsi="宋体" w:eastAsia="宋体" w:cs="宋体"/>
          <w:sz w:val="24"/>
        </w:rPr>
        <w:t>（简称乙方）</w:t>
      </w:r>
    </w:p>
    <w:p>
      <w:pPr>
        <w:spacing w:line="460" w:lineRule="exact"/>
        <w:jc w:val="left"/>
        <w:rPr>
          <w:rFonts w:ascii="宋体" w:hAnsi="宋体" w:eastAsia="宋体" w:cs="宋体"/>
          <w:sz w:val="24"/>
        </w:rPr>
      </w:pPr>
      <w:r>
        <w:rPr>
          <w:rFonts w:hint="eastAsia" w:ascii="宋体" w:hAnsi="宋体" w:eastAsia="宋体" w:cs="宋体"/>
          <w:sz w:val="24"/>
        </w:rPr>
        <w:t>地址</w:t>
      </w:r>
    </w:p>
    <w:p>
      <w:pPr>
        <w:spacing w:line="360" w:lineRule="auto"/>
        <w:ind w:firstLine="360" w:firstLineChars="150"/>
        <w:rPr>
          <w:rFonts w:ascii="宋体" w:hAnsi="宋体" w:eastAsia="宋体" w:cs="宋体"/>
          <w:sz w:val="24"/>
        </w:rPr>
      </w:pPr>
      <w:r>
        <w:rPr>
          <w:rFonts w:hint="eastAsia" w:ascii="宋体" w:hAnsi="宋体" w:eastAsia="宋体" w:cs="宋体"/>
          <w:sz w:val="24"/>
        </w:rPr>
        <w:t>依照《中华人民共和国民法典》及其他有关法律、行政法规，遵循平等、自愿、公平和诚实信用的原则，双方就招标项目（名称：*******， 编号：******）采购</w:t>
      </w:r>
      <w:r>
        <w:rPr>
          <w:rFonts w:hint="eastAsia" w:ascii="宋体" w:hAnsi="宋体" w:eastAsia="宋体" w:cs="宋体"/>
          <w:bCs/>
          <w:sz w:val="24"/>
        </w:rPr>
        <w:t>相关</w:t>
      </w:r>
      <w:r>
        <w:rPr>
          <w:rFonts w:hint="eastAsia" w:ascii="宋体" w:hAnsi="宋体" w:eastAsia="宋体" w:cs="宋体"/>
          <w:sz w:val="24"/>
        </w:rPr>
        <w:t>事项协商一致，达成如下合同条款：</w:t>
      </w:r>
    </w:p>
    <w:p>
      <w:pPr>
        <w:snapToGrid w:val="0"/>
        <w:spacing w:before="160" w:line="460" w:lineRule="exact"/>
        <w:jc w:val="left"/>
        <w:rPr>
          <w:rFonts w:ascii="宋体" w:hAnsi="宋体" w:eastAsia="宋体" w:cs="宋体"/>
          <w:b/>
          <w:sz w:val="24"/>
        </w:rPr>
      </w:pPr>
      <w:r>
        <w:rPr>
          <w:rFonts w:hint="eastAsia" w:ascii="宋体" w:hAnsi="宋体" w:eastAsia="宋体" w:cs="宋体"/>
          <w:b/>
          <w:sz w:val="24"/>
        </w:rPr>
        <w:t>一、乙方向甲方提供总价值为</w:t>
      </w:r>
      <w:r>
        <w:rPr>
          <w:rFonts w:hint="eastAsia" w:ascii="宋体" w:hAnsi="宋体" w:eastAsia="宋体" w:cs="宋体"/>
          <w:b/>
          <w:bCs/>
          <w:kern w:val="0"/>
          <w:sz w:val="24"/>
          <w:u w:val="single"/>
        </w:rPr>
        <w:t>￥</w:t>
      </w:r>
      <w:r>
        <w:rPr>
          <w:rFonts w:hint="eastAsia" w:ascii="宋体" w:hAnsi="宋体" w:eastAsia="宋体" w:cs="宋体"/>
          <w:b/>
          <w:kern w:val="0"/>
          <w:sz w:val="24"/>
          <w:u w:val="single"/>
        </w:rPr>
        <w:t>********</w:t>
      </w:r>
      <w:r>
        <w:rPr>
          <w:rFonts w:hint="eastAsia" w:ascii="宋体" w:hAnsi="宋体" w:eastAsia="宋体" w:cs="宋体"/>
          <w:b/>
          <w:sz w:val="24"/>
        </w:rPr>
        <w:t>元的设备（货物/服务，含13%税）。</w:t>
      </w:r>
    </w:p>
    <w:p>
      <w:pPr>
        <w:snapToGrid w:val="0"/>
        <w:spacing w:before="160" w:line="460" w:lineRule="exact"/>
        <w:jc w:val="center"/>
        <w:rPr>
          <w:rFonts w:ascii="宋体" w:hAnsi="宋体" w:eastAsia="宋体" w:cs="宋体"/>
          <w:b/>
          <w:sz w:val="28"/>
          <w:szCs w:val="28"/>
        </w:rPr>
      </w:pPr>
      <w:r>
        <w:rPr>
          <w:rFonts w:hint="eastAsia" w:ascii="宋体" w:hAnsi="宋体" w:eastAsia="宋体" w:cs="宋体"/>
          <w:b/>
          <w:sz w:val="28"/>
          <w:szCs w:val="28"/>
        </w:rPr>
        <w:t>标 的 清 单</w:t>
      </w:r>
    </w:p>
    <w:tbl>
      <w:tblPr>
        <w:tblStyle w:val="14"/>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9"/>
        <w:gridCol w:w="1677"/>
        <w:gridCol w:w="1049"/>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3319" w:type="dxa"/>
          </w:tcPr>
          <w:p>
            <w:pPr>
              <w:snapToGrid w:val="0"/>
              <w:spacing w:before="160"/>
              <w:ind w:firstLine="120" w:firstLineChars="50"/>
              <w:jc w:val="center"/>
              <w:rPr>
                <w:rFonts w:ascii="宋体" w:hAnsi="宋体" w:eastAsia="宋体" w:cs="宋体"/>
                <w:kern w:val="0"/>
                <w:sz w:val="24"/>
              </w:rPr>
            </w:pPr>
            <w:r>
              <w:rPr>
                <w:rFonts w:hint="eastAsia" w:ascii="宋体" w:hAnsi="宋体" w:eastAsia="宋体" w:cs="宋体"/>
                <w:kern w:val="0"/>
                <w:sz w:val="24"/>
              </w:rPr>
              <w:t>货物的名称</w:t>
            </w:r>
          </w:p>
          <w:p>
            <w:pPr>
              <w:snapToGrid w:val="0"/>
              <w:spacing w:before="160"/>
              <w:ind w:firstLine="120" w:firstLineChars="50"/>
              <w:jc w:val="center"/>
              <w:rPr>
                <w:rFonts w:ascii="宋体" w:hAnsi="宋体" w:eastAsia="宋体" w:cs="宋体"/>
                <w:kern w:val="0"/>
                <w:sz w:val="24"/>
              </w:rPr>
            </w:pPr>
            <w:r>
              <w:rPr>
                <w:rFonts w:hint="eastAsia" w:ascii="宋体" w:hAnsi="宋体" w:eastAsia="宋体" w:cs="宋体"/>
                <w:kern w:val="0"/>
                <w:sz w:val="24"/>
              </w:rPr>
              <w:t>及品牌.规格.型号</w:t>
            </w:r>
          </w:p>
        </w:tc>
        <w:tc>
          <w:tcPr>
            <w:tcW w:w="1677"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单位</w:t>
            </w:r>
          </w:p>
        </w:tc>
        <w:tc>
          <w:tcPr>
            <w:tcW w:w="1049"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数量</w:t>
            </w:r>
          </w:p>
        </w:tc>
        <w:tc>
          <w:tcPr>
            <w:tcW w:w="1440"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单价（元）</w:t>
            </w:r>
          </w:p>
        </w:tc>
        <w:tc>
          <w:tcPr>
            <w:tcW w:w="1440"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9" w:type="dxa"/>
          </w:tcPr>
          <w:p>
            <w:pPr>
              <w:pStyle w:val="22"/>
              <w:snapToGrid w:val="0"/>
              <w:spacing w:before="160"/>
              <w:ind w:left="360" w:firstLine="0" w:firstLineChars="0"/>
              <w:rPr>
                <w:rFonts w:ascii="宋体" w:hAnsi="宋体" w:eastAsia="宋体" w:cs="宋体"/>
                <w:sz w:val="24"/>
              </w:rPr>
            </w:pPr>
            <w:r>
              <w:rPr>
                <w:rFonts w:hint="eastAsia" w:ascii="宋体" w:hAnsi="宋体" w:eastAsia="宋体" w:cs="宋体"/>
                <w:sz w:val="24"/>
              </w:rPr>
              <w:t>*************</w:t>
            </w:r>
          </w:p>
        </w:tc>
        <w:tc>
          <w:tcPr>
            <w:tcW w:w="1677"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套</w:t>
            </w:r>
          </w:p>
        </w:tc>
        <w:tc>
          <w:tcPr>
            <w:tcW w:w="1049"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w:t>
            </w:r>
          </w:p>
        </w:tc>
        <w:tc>
          <w:tcPr>
            <w:tcW w:w="1440"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w:t>
            </w:r>
          </w:p>
        </w:tc>
        <w:tc>
          <w:tcPr>
            <w:tcW w:w="1440"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5" w:type="dxa"/>
            <w:gridSpan w:val="5"/>
          </w:tcPr>
          <w:p>
            <w:pPr>
              <w:snapToGrid w:val="0"/>
              <w:spacing w:before="160"/>
              <w:jc w:val="left"/>
              <w:rPr>
                <w:rFonts w:ascii="宋体" w:hAnsi="宋体" w:eastAsia="宋体" w:cs="宋体"/>
                <w:kern w:val="0"/>
                <w:sz w:val="24"/>
              </w:rPr>
            </w:pPr>
            <w:r>
              <w:rPr>
                <w:rFonts w:hint="eastAsia" w:ascii="宋体" w:hAnsi="宋体" w:eastAsia="宋体" w:cs="宋体"/>
                <w:kern w:val="0"/>
                <w:sz w:val="24"/>
              </w:rPr>
              <w:t xml:space="preserve">合计人民币金额（大写）：******* （含13%增值税）   </w:t>
            </w:r>
          </w:p>
        </w:tc>
      </w:tr>
    </w:tbl>
    <w:p>
      <w:pPr>
        <w:spacing w:line="288" w:lineRule="auto"/>
        <w:jc w:val="left"/>
        <w:rPr>
          <w:rFonts w:ascii="宋体" w:hAnsi="宋体" w:eastAsia="宋体" w:cs="宋体"/>
          <w:sz w:val="24"/>
        </w:rPr>
      </w:pPr>
      <w:r>
        <w:rPr>
          <w:rFonts w:hint="eastAsia" w:ascii="宋体" w:hAnsi="宋体" w:eastAsia="宋体" w:cs="宋体"/>
          <w:sz w:val="24"/>
        </w:rPr>
        <w:t xml:space="preserve">   质量及技术要求标准：详见技术协议。</w:t>
      </w:r>
    </w:p>
    <w:p>
      <w:pPr>
        <w:spacing w:line="288" w:lineRule="auto"/>
        <w:jc w:val="left"/>
        <w:rPr>
          <w:rFonts w:ascii="宋体" w:hAnsi="宋体" w:eastAsia="宋体" w:cs="宋体"/>
          <w:b/>
          <w:sz w:val="24"/>
        </w:rPr>
      </w:pPr>
      <w:r>
        <w:rPr>
          <w:rFonts w:hint="eastAsia" w:ascii="宋体" w:hAnsi="宋体" w:eastAsia="宋体" w:cs="宋体"/>
          <w:b/>
          <w:sz w:val="24"/>
        </w:rPr>
        <w:t>二、交货时间、地点</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（一）采购合同签字盖章生效之日起</w:t>
      </w:r>
      <w:r>
        <w:rPr>
          <w:rFonts w:hint="eastAsia" w:ascii="宋体" w:hAnsi="宋体" w:eastAsia="宋体" w:cs="宋体"/>
          <w:sz w:val="24"/>
          <w:u w:val="single"/>
        </w:rPr>
        <w:t>*日</w:t>
      </w:r>
      <w:r>
        <w:rPr>
          <w:rFonts w:hint="eastAsia" w:ascii="宋体" w:hAnsi="宋体" w:eastAsia="宋体" w:cs="宋体"/>
          <w:sz w:val="24"/>
        </w:rPr>
        <w:t>内全部交付并安装调试完毕。</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（二）交货地点：</w:t>
      </w:r>
      <w:r>
        <w:rPr>
          <w:rFonts w:hint="eastAsia" w:ascii="宋体" w:hAnsi="宋体" w:eastAsia="宋体" w:cs="宋体"/>
          <w:sz w:val="24"/>
          <w:u w:val="single"/>
        </w:rPr>
        <w:t>采购方指定位置</w:t>
      </w:r>
      <w:r>
        <w:rPr>
          <w:rFonts w:hint="eastAsia" w:ascii="宋体" w:hAnsi="宋体" w:eastAsia="宋体" w:cs="宋体"/>
          <w:sz w:val="24"/>
        </w:rPr>
        <w:t>。</w:t>
      </w:r>
    </w:p>
    <w:p>
      <w:pPr>
        <w:spacing w:line="288" w:lineRule="auto"/>
        <w:jc w:val="left"/>
        <w:rPr>
          <w:rFonts w:ascii="宋体" w:hAnsi="宋体" w:eastAsia="宋体" w:cs="宋体"/>
          <w:b/>
          <w:sz w:val="24"/>
        </w:rPr>
      </w:pPr>
      <w:r>
        <w:rPr>
          <w:rFonts w:hint="eastAsia" w:ascii="宋体" w:hAnsi="宋体" w:eastAsia="宋体" w:cs="宋体"/>
          <w:b/>
          <w:sz w:val="24"/>
        </w:rPr>
        <w:t>三、质量技术标准</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按本合同技术协议的约定执行，同时并满足招标文件要求，实现招标文件承诺条款。</w:t>
      </w:r>
    </w:p>
    <w:p>
      <w:pPr>
        <w:spacing w:line="288" w:lineRule="auto"/>
        <w:jc w:val="left"/>
        <w:rPr>
          <w:rFonts w:ascii="宋体" w:hAnsi="宋体" w:eastAsia="宋体" w:cs="宋体"/>
          <w:b/>
          <w:sz w:val="24"/>
        </w:rPr>
      </w:pPr>
      <w:r>
        <w:rPr>
          <w:rFonts w:hint="eastAsia" w:ascii="宋体" w:hAnsi="宋体" w:eastAsia="宋体" w:cs="宋体"/>
          <w:b/>
          <w:sz w:val="24"/>
        </w:rPr>
        <w:t>四、运输方式及费用</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由乙方视情况自定运输方式，费用自负，货物的在途风险由乙方承担。。</w:t>
      </w:r>
    </w:p>
    <w:p>
      <w:pPr>
        <w:spacing w:line="288" w:lineRule="auto"/>
        <w:jc w:val="left"/>
        <w:rPr>
          <w:rFonts w:ascii="宋体" w:hAnsi="宋体" w:eastAsia="宋体" w:cs="宋体"/>
          <w:b/>
          <w:sz w:val="24"/>
        </w:rPr>
      </w:pPr>
      <w:r>
        <w:rPr>
          <w:rFonts w:hint="eastAsia" w:ascii="宋体" w:hAnsi="宋体" w:eastAsia="宋体" w:cs="宋体"/>
          <w:b/>
          <w:sz w:val="24"/>
        </w:rPr>
        <w:t>五、验收</w:t>
      </w:r>
    </w:p>
    <w:p>
      <w:pPr>
        <w:spacing w:line="288" w:lineRule="auto"/>
        <w:ind w:firstLine="480" w:firstLineChars="200"/>
        <w:jc w:val="left"/>
        <w:rPr>
          <w:rFonts w:ascii="宋体" w:hAnsi="宋体" w:eastAsia="宋体" w:cs="宋体"/>
          <w:kern w:val="0"/>
          <w:sz w:val="24"/>
        </w:rPr>
      </w:pPr>
      <w:r>
        <w:rPr>
          <w:rFonts w:hint="eastAsia" w:ascii="宋体" w:hAnsi="宋体" w:eastAsia="宋体" w:cs="宋体"/>
          <w:sz w:val="24"/>
        </w:rPr>
        <w:t>（一）</w:t>
      </w:r>
      <w:r>
        <w:rPr>
          <w:rFonts w:hint="eastAsia" w:ascii="宋体" w:hAnsi="宋体" w:eastAsia="宋体" w:cs="宋体"/>
          <w:kern w:val="0"/>
          <w:sz w:val="24"/>
        </w:rPr>
        <w:t>在货物进场并安装调试后</w:t>
      </w:r>
      <w:r>
        <w:rPr>
          <w:rFonts w:hint="eastAsia" w:ascii="宋体" w:hAnsi="宋体" w:eastAsia="宋体" w:cs="宋体"/>
          <w:sz w:val="24"/>
          <w:u w:val="single"/>
        </w:rPr>
        <w:t xml:space="preserve">  试运行**  </w:t>
      </w:r>
      <w:r>
        <w:rPr>
          <w:rFonts w:hint="eastAsia" w:ascii="宋体" w:hAnsi="宋体" w:eastAsia="宋体" w:cs="宋体"/>
          <w:kern w:val="0"/>
          <w:sz w:val="24"/>
        </w:rPr>
        <w:t>日内，甲方按第三条质量技术标准的约定组织验收，同时验收内容还包括：型号、规格、数量、技术指标、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288" w:lineRule="auto"/>
        <w:ind w:firstLine="480" w:firstLineChars="200"/>
        <w:jc w:val="left"/>
        <w:rPr>
          <w:rFonts w:ascii="宋体" w:hAnsi="宋体" w:eastAsia="宋体" w:cs="宋体"/>
          <w:kern w:val="0"/>
          <w:sz w:val="24"/>
        </w:rPr>
      </w:pPr>
      <w:r>
        <w:rPr>
          <w:rFonts w:hint="eastAsia" w:ascii="宋体" w:hAnsi="宋体" w:eastAsia="宋体" w:cs="宋体"/>
          <w:kern w:val="0"/>
          <w:sz w:val="24"/>
        </w:rPr>
        <w:t>（二）甲方应按签订采购合同约定时间组织验收，并出具验收合格报告。</w:t>
      </w:r>
    </w:p>
    <w:p>
      <w:pPr>
        <w:spacing w:line="288" w:lineRule="auto"/>
        <w:ind w:firstLine="480" w:firstLineChars="200"/>
        <w:jc w:val="left"/>
        <w:rPr>
          <w:rFonts w:ascii="宋体" w:hAnsi="宋体" w:eastAsia="宋体" w:cs="宋体"/>
          <w:sz w:val="24"/>
        </w:rPr>
      </w:pPr>
      <w:r>
        <w:rPr>
          <w:rFonts w:hint="eastAsia" w:ascii="宋体" w:hAnsi="宋体" w:eastAsia="宋体" w:cs="宋体"/>
          <w:kern w:val="0"/>
          <w:sz w:val="24"/>
        </w:rPr>
        <w:t>（三）</w:t>
      </w:r>
      <w:r>
        <w:rPr>
          <w:rFonts w:hint="eastAsia" w:ascii="宋体" w:hAnsi="宋体" w:eastAsia="宋体" w:cs="宋体"/>
          <w:sz w:val="24"/>
        </w:rPr>
        <w:t>甲乙双方在验收中，如发现有与合同验收内容规定不符的，应在</w:t>
      </w:r>
      <w:r>
        <w:rPr>
          <w:rFonts w:hint="eastAsia" w:ascii="宋体" w:hAnsi="宋体" w:eastAsia="宋体" w:cs="宋体"/>
          <w:sz w:val="24"/>
          <w:u w:val="single"/>
        </w:rPr>
        <w:t xml:space="preserve">  ** </w:t>
      </w:r>
      <w:r>
        <w:rPr>
          <w:rFonts w:hint="eastAsia" w:ascii="宋体" w:hAnsi="宋体" w:eastAsia="宋体" w:cs="宋体"/>
          <w:sz w:val="24"/>
        </w:rPr>
        <w:t>天内向乙方提出书面意见，不签发验收单。乙方在接到甲方书面意见后，应在</w:t>
      </w:r>
      <w:r>
        <w:rPr>
          <w:rFonts w:hint="eastAsia" w:ascii="宋体" w:hAnsi="宋体" w:eastAsia="宋体" w:cs="宋体"/>
          <w:sz w:val="24"/>
          <w:u w:val="single"/>
        </w:rPr>
        <w:t xml:space="preserve"> **  </w:t>
      </w:r>
      <w:r>
        <w:rPr>
          <w:rFonts w:hint="eastAsia" w:ascii="宋体" w:hAnsi="宋体" w:eastAsia="宋体" w:cs="宋体"/>
          <w:sz w:val="24"/>
        </w:rPr>
        <w:t>天内予以处理，并将处理结果以书面形式告知甲方。</w:t>
      </w:r>
    </w:p>
    <w:p>
      <w:pPr>
        <w:spacing w:line="288" w:lineRule="auto"/>
        <w:ind w:firstLine="480" w:firstLineChars="200"/>
        <w:jc w:val="left"/>
        <w:rPr>
          <w:rFonts w:ascii="宋体" w:hAnsi="宋体" w:eastAsia="宋体" w:cs="宋体"/>
          <w:sz w:val="24"/>
        </w:rPr>
      </w:pPr>
      <w:r>
        <w:rPr>
          <w:rFonts w:hint="eastAsia" w:ascii="宋体" w:hAnsi="宋体" w:eastAsia="宋体" w:cs="宋体"/>
          <w:kern w:val="0"/>
          <w:sz w:val="24"/>
        </w:rPr>
        <w:t>（四）</w:t>
      </w:r>
      <w:r>
        <w:rPr>
          <w:rFonts w:hint="eastAsia" w:ascii="宋体" w:hAnsi="宋体" w:eastAsia="宋体" w:cs="宋体"/>
          <w:sz w:val="24"/>
        </w:rPr>
        <w:t>由于甲方原因在最后一批合同设备交货后**个月内未能开始考核，则买卖双方应在上述期限届满后7日内签署合同设备验收证书并签署验收款支付函。</w:t>
      </w:r>
    </w:p>
    <w:p>
      <w:pPr>
        <w:spacing w:line="288" w:lineRule="auto"/>
        <w:ind w:firstLine="480" w:firstLineChars="200"/>
        <w:jc w:val="left"/>
        <w:rPr>
          <w:rFonts w:hint="eastAsia" w:ascii="宋体" w:hAnsi="宋体" w:eastAsia="宋体" w:cs="宋体"/>
          <w:sz w:val="24"/>
          <w:lang w:eastAsia="zh-CN"/>
        </w:rPr>
      </w:pPr>
      <w:r>
        <w:rPr>
          <w:rFonts w:hint="eastAsia" w:ascii="宋体" w:hAnsi="宋体" w:eastAsia="宋体" w:cs="宋体"/>
          <w:sz w:val="24"/>
        </w:rPr>
        <w:t>（五）验收中未达技术协议任一项主要技术指标，影响其主要使用功能，未达其甲方购买该设备之目标，视为验收不合格。甲方有权要求乙方限期免费整改</w:t>
      </w:r>
      <w:r>
        <w:rPr>
          <w:rFonts w:hint="eastAsia" w:ascii="宋体" w:hAnsi="宋体" w:eastAsia="宋体" w:cs="宋体"/>
          <w:sz w:val="24"/>
          <w:lang w:val="en-US" w:eastAsia="zh-CN"/>
        </w:rPr>
        <w:t>直至</w:t>
      </w:r>
      <w:r>
        <w:rPr>
          <w:rFonts w:hint="eastAsia" w:ascii="宋体" w:hAnsi="宋体" w:eastAsia="宋体" w:cs="宋体"/>
          <w:sz w:val="24"/>
        </w:rPr>
        <w:t>达到要求</w:t>
      </w:r>
      <w:r>
        <w:rPr>
          <w:rFonts w:hint="eastAsia" w:ascii="宋体" w:hAnsi="宋体" w:eastAsia="宋体" w:cs="宋体"/>
          <w:sz w:val="24"/>
          <w:lang w:eastAsia="zh-CN"/>
        </w:rPr>
        <w:t>。</w:t>
      </w:r>
    </w:p>
    <w:p>
      <w:pPr>
        <w:spacing w:line="288" w:lineRule="auto"/>
        <w:jc w:val="left"/>
        <w:rPr>
          <w:rFonts w:ascii="宋体" w:hAnsi="宋体" w:eastAsia="宋体" w:cs="宋体"/>
          <w:b/>
          <w:bCs/>
          <w:sz w:val="24"/>
        </w:rPr>
      </w:pPr>
      <w:r>
        <w:rPr>
          <w:rFonts w:hint="eastAsia" w:ascii="宋体" w:hAnsi="宋体" w:eastAsia="宋体" w:cs="宋体"/>
          <w:b/>
          <w:bCs/>
          <w:sz w:val="24"/>
        </w:rPr>
        <w:t>六、付款方式</w:t>
      </w:r>
    </w:p>
    <w:p>
      <w:pPr>
        <w:spacing w:line="288" w:lineRule="auto"/>
        <w:ind w:firstLine="480" w:firstLineChars="200"/>
        <w:rPr>
          <w:rFonts w:ascii="宋体" w:hAnsi="宋体" w:eastAsia="宋体" w:cs="宋体"/>
          <w:sz w:val="24"/>
        </w:rPr>
      </w:pPr>
      <w:r>
        <w:rPr>
          <w:rFonts w:hint="eastAsia" w:ascii="宋体" w:hAnsi="宋体" w:eastAsia="宋体" w:cs="宋体"/>
          <w:sz w:val="24"/>
        </w:rPr>
        <w:t>（一）合同签订后*个工作日内，支付合同总额的30% 。</w:t>
      </w:r>
    </w:p>
    <w:p>
      <w:pPr>
        <w:spacing w:line="288" w:lineRule="auto"/>
        <w:ind w:left="1199" w:leftChars="228" w:hanging="720" w:hangingChars="300"/>
        <w:rPr>
          <w:rFonts w:ascii="宋体" w:hAnsi="宋体" w:eastAsia="宋体" w:cs="宋体"/>
          <w:sz w:val="24"/>
        </w:rPr>
      </w:pPr>
      <w:r>
        <w:rPr>
          <w:rFonts w:hint="eastAsia" w:ascii="宋体" w:hAnsi="宋体" w:eastAsia="宋体" w:cs="宋体"/>
          <w:sz w:val="24"/>
        </w:rPr>
        <w:t>（二）设备安装完毕，经试运行达到技术要求，验收合格</w:t>
      </w:r>
      <w:r>
        <w:rPr>
          <w:rFonts w:hint="eastAsia" w:ascii="宋体" w:hAnsi="宋体" w:cs="宋体"/>
          <w:sz w:val="24"/>
        </w:rPr>
        <w:t>且竣工资料提交完毕,乙方</w:t>
      </w:r>
      <w:r>
        <w:rPr>
          <w:rFonts w:hint="eastAsia" w:ascii="宋体" w:hAnsi="宋体" w:eastAsia="宋体" w:cs="宋体"/>
          <w:sz w:val="24"/>
        </w:rPr>
        <w:t>开具13%增值税发票</w:t>
      </w:r>
      <w:r>
        <w:rPr>
          <w:rFonts w:hint="eastAsia" w:ascii="宋体" w:hAnsi="宋体" w:cs="宋体"/>
          <w:sz w:val="24"/>
        </w:rPr>
        <w:t>，甲方</w:t>
      </w:r>
      <w:r>
        <w:rPr>
          <w:rFonts w:hint="eastAsia" w:ascii="宋体" w:hAnsi="宋体" w:eastAsia="宋体" w:cs="宋体"/>
          <w:sz w:val="24"/>
        </w:rPr>
        <w:t>*个工作日内支付合同总额的60% 。</w:t>
      </w:r>
    </w:p>
    <w:p>
      <w:pPr>
        <w:spacing w:line="288" w:lineRule="auto"/>
        <w:ind w:left="1199" w:leftChars="228" w:hanging="720" w:hangingChars="300"/>
        <w:rPr>
          <w:rFonts w:ascii="宋体" w:hAnsi="宋体" w:eastAsia="宋体" w:cs="宋体"/>
          <w:sz w:val="24"/>
        </w:rPr>
      </w:pPr>
      <w:r>
        <w:rPr>
          <w:rFonts w:hint="eastAsia" w:ascii="宋体" w:hAnsi="宋体" w:eastAsia="宋体" w:cs="宋体"/>
          <w:sz w:val="24"/>
        </w:rPr>
        <w:t>（三）验收合格之日起计算满12个月，双方对设备质量及运行无异议后支付合同总额的10%质保金。</w:t>
      </w:r>
    </w:p>
    <w:p>
      <w:pPr>
        <w:spacing w:line="288" w:lineRule="auto"/>
        <w:ind w:right="-73"/>
        <w:jc w:val="left"/>
        <w:rPr>
          <w:rFonts w:ascii="宋体" w:hAnsi="宋体" w:eastAsia="宋体" w:cs="宋体"/>
          <w:b/>
          <w:sz w:val="24"/>
        </w:rPr>
      </w:pPr>
      <w:r>
        <w:rPr>
          <w:rFonts w:hint="eastAsia" w:ascii="宋体" w:hAnsi="宋体" w:eastAsia="宋体" w:cs="宋体"/>
          <w:b/>
          <w:sz w:val="24"/>
        </w:rPr>
        <w:t>七、售后服务</w:t>
      </w:r>
    </w:p>
    <w:p>
      <w:pPr>
        <w:spacing w:line="288" w:lineRule="auto"/>
        <w:ind w:right="-73" w:firstLine="470" w:firstLineChars="196"/>
        <w:jc w:val="left"/>
        <w:rPr>
          <w:rFonts w:ascii="宋体" w:hAnsi="宋体" w:eastAsia="宋体" w:cs="宋体"/>
          <w:sz w:val="24"/>
        </w:rPr>
      </w:pPr>
      <w:r>
        <w:rPr>
          <w:rFonts w:hint="eastAsia" w:ascii="宋体" w:hAnsi="宋体" w:eastAsia="宋体" w:cs="宋体"/>
          <w:sz w:val="24"/>
        </w:rPr>
        <w:t>维修点须提供***小时服务，设备出现故障，接到通知后，*小时内作出应答，若需现场解决有关问题，接到甲方通知后保证***小时内到达现场，排除故障及时进行修理及应急服务。维修点需提供足够的备件以适应维修需求。验收通过之日起对货物免费保修</w:t>
      </w:r>
      <w:r>
        <w:rPr>
          <w:rFonts w:hint="eastAsia" w:ascii="宋体" w:hAnsi="宋体" w:eastAsia="宋体" w:cs="宋体"/>
          <w:sz w:val="24"/>
          <w:u w:val="single"/>
        </w:rPr>
        <w:t>***</w:t>
      </w:r>
      <w:r>
        <w:rPr>
          <w:rFonts w:hint="eastAsia" w:ascii="宋体" w:hAnsi="宋体" w:eastAsia="宋体" w:cs="宋体"/>
          <w:sz w:val="24"/>
        </w:rPr>
        <w:t>年，质保期内相关费用由乙方承担，质保期满后乙方收取成本费。</w:t>
      </w:r>
    </w:p>
    <w:p>
      <w:pPr>
        <w:spacing w:line="288" w:lineRule="auto"/>
        <w:jc w:val="left"/>
        <w:rPr>
          <w:rFonts w:ascii="宋体" w:hAnsi="宋体" w:eastAsia="宋体" w:cs="宋体"/>
          <w:b/>
          <w:sz w:val="24"/>
        </w:rPr>
      </w:pPr>
      <w:r>
        <w:rPr>
          <w:rFonts w:hint="eastAsia" w:ascii="宋体" w:hAnsi="宋体" w:eastAsia="宋体" w:cs="宋体"/>
          <w:b/>
          <w:sz w:val="24"/>
        </w:rPr>
        <w:t>八、违约条款</w:t>
      </w:r>
    </w:p>
    <w:p>
      <w:pPr>
        <w:spacing w:line="288" w:lineRule="auto"/>
        <w:ind w:firstLine="480" w:firstLineChars="200"/>
        <w:jc w:val="left"/>
        <w:rPr>
          <w:rFonts w:ascii="宋体" w:hAnsi="宋体" w:eastAsia="宋体" w:cs="宋体"/>
          <w:b/>
          <w:sz w:val="24"/>
        </w:rPr>
      </w:pPr>
      <w:r>
        <w:rPr>
          <w:rFonts w:hint="eastAsia" w:ascii="宋体" w:hAnsi="宋体" w:eastAsia="宋体" w:cs="宋体"/>
          <w:sz w:val="24"/>
        </w:rPr>
        <w:t xml:space="preserve">（一）乙方不按期完成合同约定的内容，应向甲方支付违约金，除甲方或不可抗力造成原因外，从迟交的第一周到第四周，每周迟延交付违约金为迟交合同设备价格的***%，违约金可直接从货款中扣除; 延期超过卖方迟延交付合同设备超过**个月，甲方有权单方强制解除全部或部分合同不承担违约责任，同时乙方返还预付款并赔偿给甲方带来的一切损失。               </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（二）乙方所供产品品种、型号、规格、质量不符合规定的，由其负责包换或包修，并承担修理、调换或退货而支付的一切费用。 </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（三）非因甲方原因，乙方不履行本合同规定的义务，致使工作延误，甲方有权要求其强制履行或解除合同，并要求乙方等额赔偿由此造成的一切损失。</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（四）本项目不得转让分包，如有发生，甲方有权单方强制解除，乙方承担违约责任同时所造成的一切损失由乙方负责。</w:t>
      </w:r>
    </w:p>
    <w:p>
      <w:pPr>
        <w:spacing w:line="288" w:lineRule="auto"/>
        <w:jc w:val="left"/>
        <w:rPr>
          <w:rFonts w:ascii="宋体" w:hAnsi="宋体" w:eastAsia="宋体" w:cs="宋体"/>
          <w:b/>
          <w:sz w:val="24"/>
        </w:rPr>
      </w:pPr>
      <w:r>
        <w:rPr>
          <w:rFonts w:hint="eastAsia" w:ascii="宋体" w:hAnsi="宋体" w:eastAsia="宋体" w:cs="宋体"/>
          <w:b/>
          <w:sz w:val="24"/>
        </w:rPr>
        <w:t>九、知识产权</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乙方承诺提供的设备不存在任何他人知识产权的行为，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288" w:lineRule="auto"/>
        <w:jc w:val="left"/>
        <w:rPr>
          <w:rFonts w:ascii="宋体" w:hAnsi="宋体" w:eastAsia="宋体" w:cs="宋体"/>
          <w:b/>
          <w:sz w:val="24"/>
        </w:rPr>
      </w:pPr>
      <w:r>
        <w:rPr>
          <w:rFonts w:hint="eastAsia" w:ascii="宋体" w:hAnsi="宋体" w:eastAsia="宋体" w:cs="宋体"/>
          <w:b/>
          <w:sz w:val="24"/>
        </w:rPr>
        <w:t>十、合同生效及审核</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本合同经甲方、乙方签字盖章后生效，合同签订的内容不能超出招标文件和投标文件的实质性内容。</w:t>
      </w:r>
    </w:p>
    <w:p>
      <w:pPr>
        <w:spacing w:line="288" w:lineRule="auto"/>
        <w:jc w:val="left"/>
        <w:rPr>
          <w:rFonts w:ascii="宋体" w:hAnsi="宋体" w:eastAsia="宋体" w:cs="宋体"/>
          <w:b/>
          <w:sz w:val="24"/>
        </w:rPr>
      </w:pPr>
      <w:r>
        <w:rPr>
          <w:rFonts w:hint="eastAsia" w:ascii="宋体" w:hAnsi="宋体" w:eastAsia="宋体" w:cs="宋体"/>
          <w:b/>
          <w:sz w:val="24"/>
        </w:rPr>
        <w:t>十一、合同的组成部分</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 xml:space="preserve">本合同条款、供应商中标通知书、招标文件、投标文件构成合同的组成部分。 </w:t>
      </w:r>
    </w:p>
    <w:p>
      <w:pPr>
        <w:spacing w:line="288" w:lineRule="auto"/>
        <w:jc w:val="left"/>
        <w:rPr>
          <w:rFonts w:ascii="宋体" w:hAnsi="宋体" w:eastAsia="宋体" w:cs="宋体"/>
          <w:sz w:val="24"/>
        </w:rPr>
      </w:pPr>
      <w:r>
        <w:rPr>
          <w:rFonts w:hint="eastAsia" w:ascii="宋体" w:hAnsi="宋体" w:eastAsia="宋体" w:cs="宋体"/>
          <w:b/>
          <w:sz w:val="24"/>
        </w:rPr>
        <w:t>十二</w:t>
      </w:r>
      <w:r>
        <w:rPr>
          <w:rFonts w:hint="eastAsia" w:ascii="宋体" w:hAnsi="宋体" w:eastAsia="宋体" w:cs="宋体"/>
          <w:sz w:val="24"/>
        </w:rPr>
        <w:t>、本合同一式五份，以中文书写，甲方、乙方各执四份、一份。</w:t>
      </w:r>
    </w:p>
    <w:p>
      <w:pPr>
        <w:spacing w:line="288" w:lineRule="auto"/>
        <w:jc w:val="left"/>
        <w:rPr>
          <w:rFonts w:ascii="宋体" w:hAnsi="宋体" w:eastAsia="宋体" w:cs="宋体"/>
          <w:sz w:val="24"/>
        </w:rPr>
      </w:pPr>
      <w:r>
        <w:rPr>
          <w:rFonts w:hint="eastAsia" w:ascii="宋体" w:hAnsi="宋体" w:eastAsia="宋体" w:cs="宋体"/>
          <w:b/>
          <w:sz w:val="24"/>
        </w:rPr>
        <w:t>十三、</w:t>
      </w:r>
      <w:r>
        <w:rPr>
          <w:rFonts w:hint="eastAsia" w:ascii="宋体" w:hAnsi="宋体" w:eastAsia="宋体" w:cs="宋体"/>
          <w:sz w:val="24"/>
        </w:rPr>
        <w:t>本合同一切未尽事宜，按合同法有关规定执行，无相关规定的，由甲乙双方协商解决。若协商不成，由成都市龙泉驿区人民法院管辖。</w:t>
      </w:r>
    </w:p>
    <w:p>
      <w:pPr>
        <w:spacing w:line="288" w:lineRule="auto"/>
        <w:jc w:val="left"/>
        <w:rPr>
          <w:rFonts w:ascii="宋体" w:hAnsi="宋体" w:eastAsia="宋体" w:cs="宋体"/>
          <w:b/>
          <w:bCs/>
          <w:sz w:val="24"/>
        </w:rPr>
      </w:pPr>
    </w:p>
    <w:p>
      <w:pPr>
        <w:spacing w:line="288" w:lineRule="auto"/>
        <w:jc w:val="left"/>
        <w:rPr>
          <w:rFonts w:ascii="宋体" w:hAnsi="宋体" w:eastAsia="宋体" w:cs="宋体"/>
          <w:b/>
          <w:bCs/>
          <w:sz w:val="24"/>
        </w:rPr>
      </w:pPr>
    </w:p>
    <w:p>
      <w:pPr>
        <w:spacing w:line="288" w:lineRule="auto"/>
        <w:jc w:val="left"/>
        <w:rPr>
          <w:rFonts w:ascii="宋体" w:hAnsi="宋体" w:eastAsia="宋体" w:cs="宋体"/>
          <w:b/>
          <w:bCs/>
          <w:sz w:val="24"/>
        </w:rPr>
      </w:pPr>
    </w:p>
    <w:p>
      <w:pPr>
        <w:spacing w:line="288" w:lineRule="auto"/>
        <w:ind w:left="-630" w:leftChars="-300" w:right="-840" w:rightChars="-400"/>
        <w:jc w:val="left"/>
        <w:rPr>
          <w:rFonts w:ascii="宋体" w:hAnsi="宋体" w:eastAsia="宋体" w:cs="宋体"/>
          <w:sz w:val="24"/>
        </w:rPr>
      </w:pPr>
      <w:r>
        <w:rPr>
          <w:rFonts w:hint="eastAsia" w:ascii="宋体" w:hAnsi="宋体" w:eastAsia="宋体" w:cs="宋体"/>
          <w:sz w:val="24"/>
        </w:rPr>
        <w:t>甲方：</w:t>
      </w:r>
      <w:r>
        <w:rPr>
          <w:rFonts w:hint="eastAsia" w:ascii="宋体" w:hAnsi="宋体" w:eastAsia="宋体" w:cs="宋体"/>
          <w:b/>
          <w:bCs/>
          <w:sz w:val="24"/>
        </w:rPr>
        <w:t>**************（盖章）                  乙方：</w:t>
      </w:r>
      <w:r>
        <w:rPr>
          <w:rFonts w:hint="eastAsia" w:ascii="宋体" w:hAnsi="宋体" w:eastAsia="宋体" w:cs="宋体"/>
          <w:b/>
          <w:sz w:val="24"/>
        </w:rPr>
        <w:t>***************</w:t>
      </w:r>
      <w:r>
        <w:rPr>
          <w:rFonts w:hint="eastAsia" w:ascii="宋体" w:hAnsi="宋体" w:eastAsia="宋体" w:cs="宋体"/>
          <w:b/>
          <w:bCs/>
          <w:sz w:val="24"/>
        </w:rPr>
        <w:t>（盖章）</w:t>
      </w:r>
      <w:r>
        <w:rPr>
          <w:rFonts w:hint="eastAsia" w:ascii="宋体" w:hAnsi="宋体" w:eastAsia="宋体" w:cs="宋体"/>
          <w:sz w:val="24"/>
        </w:rPr>
        <w:t xml:space="preserve">      </w:t>
      </w:r>
    </w:p>
    <w:p>
      <w:pPr>
        <w:widowControl/>
        <w:snapToGrid w:val="0"/>
        <w:spacing w:line="288" w:lineRule="auto"/>
        <w:ind w:left="5610" w:leftChars="-300" w:right="-840" w:rightChars="-400" w:hanging="6240" w:hangingChars="2600"/>
        <w:jc w:val="left"/>
        <w:rPr>
          <w:rFonts w:ascii="宋体" w:hAnsi="宋体" w:eastAsia="宋体" w:cs="宋体"/>
          <w:spacing w:val="20"/>
          <w:sz w:val="24"/>
          <w:shd w:val="clear" w:color="auto" w:fill="FFFFFF"/>
        </w:rPr>
      </w:pPr>
      <w:r>
        <w:rPr>
          <w:rFonts w:hint="eastAsia" w:ascii="宋体" w:hAnsi="宋体" w:eastAsia="宋体" w:cs="宋体"/>
          <w:sz w:val="24"/>
        </w:rPr>
        <w:t>地址：</w:t>
      </w:r>
      <w:r>
        <w:rPr>
          <w:rFonts w:hint="eastAsia" w:ascii="宋体" w:hAnsi="宋体" w:eastAsia="宋体" w:cs="宋体"/>
          <w:spacing w:val="20"/>
          <w:sz w:val="24"/>
          <w:shd w:val="clear" w:color="auto" w:fill="FFFFFF"/>
        </w:rPr>
        <w:t xml:space="preserve">*******************             </w:t>
      </w:r>
      <w:r>
        <w:rPr>
          <w:rFonts w:hint="eastAsia" w:ascii="宋体" w:hAnsi="宋体" w:eastAsia="宋体" w:cs="宋体"/>
          <w:sz w:val="24"/>
        </w:rPr>
        <w:t>地址：</w:t>
      </w:r>
      <w:r>
        <w:rPr>
          <w:rFonts w:hint="eastAsia" w:ascii="宋体" w:hAnsi="宋体" w:eastAsia="宋体" w:cs="宋体"/>
          <w:spacing w:val="20"/>
          <w:sz w:val="24"/>
          <w:shd w:val="clear" w:color="auto" w:fill="FFFFFF"/>
        </w:rPr>
        <w:t xml:space="preserve"> </w:t>
      </w:r>
    </w:p>
    <w:p>
      <w:pPr>
        <w:widowControl/>
        <w:snapToGrid w:val="0"/>
        <w:spacing w:line="288" w:lineRule="auto"/>
        <w:ind w:left="-630" w:leftChars="-300" w:right="-840" w:rightChars="-400"/>
        <w:jc w:val="left"/>
        <w:rPr>
          <w:rFonts w:ascii="宋体" w:hAnsi="宋体" w:eastAsia="宋体" w:cs="宋体"/>
          <w:sz w:val="24"/>
        </w:rPr>
      </w:pPr>
      <w:r>
        <w:rPr>
          <w:rFonts w:hint="eastAsia" w:ascii="宋体" w:hAnsi="宋体" w:eastAsia="宋体" w:cs="宋体"/>
          <w:sz w:val="24"/>
        </w:rPr>
        <w:t>法定（授权）代表人：                          法定（授权）代表人：</w:t>
      </w:r>
    </w:p>
    <w:p>
      <w:pPr>
        <w:widowControl/>
        <w:snapToGrid w:val="0"/>
        <w:spacing w:line="288" w:lineRule="auto"/>
        <w:ind w:left="-630" w:leftChars="-300" w:right="-840" w:rightChars="-400"/>
        <w:jc w:val="left"/>
        <w:rPr>
          <w:rFonts w:ascii="宋体" w:hAnsi="宋体" w:eastAsia="宋体" w:cs="宋体"/>
          <w:sz w:val="24"/>
        </w:rPr>
      </w:pPr>
      <w:r>
        <w:rPr>
          <w:rFonts w:hint="eastAsia" w:ascii="宋体" w:hAnsi="宋体" w:eastAsia="宋体" w:cs="宋体"/>
          <w:sz w:val="24"/>
        </w:rPr>
        <w:t>联系人：                                      联系人：</w:t>
      </w:r>
    </w:p>
    <w:p>
      <w:pPr>
        <w:widowControl/>
        <w:snapToGrid w:val="0"/>
        <w:spacing w:line="288" w:lineRule="auto"/>
        <w:ind w:left="-630" w:leftChars="-300" w:right="-840" w:rightChars="-400"/>
        <w:jc w:val="left"/>
        <w:rPr>
          <w:rFonts w:ascii="宋体" w:hAnsi="宋体" w:eastAsia="宋体" w:cs="宋体"/>
          <w:sz w:val="24"/>
        </w:rPr>
      </w:pPr>
      <w:r>
        <w:rPr>
          <w:rFonts w:hint="eastAsia" w:ascii="宋体" w:hAnsi="宋体" w:eastAsia="宋体" w:cs="宋体"/>
          <w:sz w:val="24"/>
        </w:rPr>
        <w:t>联系电话：                                    联系电话：</w:t>
      </w:r>
    </w:p>
    <w:p>
      <w:pPr>
        <w:widowControl/>
        <w:snapToGrid w:val="0"/>
        <w:spacing w:line="288" w:lineRule="auto"/>
        <w:ind w:left="-630" w:leftChars="-300" w:right="-840" w:rightChars="-400" w:firstLine="720" w:firstLineChars="300"/>
        <w:jc w:val="left"/>
        <w:rPr>
          <w:rFonts w:ascii="宋体" w:hAnsi="宋体" w:eastAsia="宋体" w:cs="宋体"/>
          <w:sz w:val="24"/>
        </w:rPr>
      </w:pPr>
      <w:r>
        <w:rPr>
          <w:rFonts w:hint="eastAsia" w:ascii="宋体" w:hAnsi="宋体" w:eastAsia="宋体" w:cs="宋体"/>
          <w:sz w:val="24"/>
        </w:rPr>
        <w:t>年    月      日                        年    月    日</w:t>
      </w:r>
    </w:p>
    <w:p>
      <w:pPr>
        <w:widowControl/>
        <w:snapToGrid w:val="0"/>
        <w:spacing w:before="19" w:line="460" w:lineRule="exact"/>
        <w:ind w:firstLine="525" w:firstLineChars="250"/>
        <w:jc w:val="left"/>
        <w:rPr>
          <w:rFonts w:ascii="宋体" w:hAnsi="宋体" w:eastAsia="宋体" w:cs="宋体"/>
          <w:szCs w:val="21"/>
        </w:rPr>
      </w:pPr>
    </w:p>
    <w:bookmarkEnd w:id="26"/>
    <w:bookmarkEnd w:id="27"/>
    <w:p>
      <w:pPr>
        <w:pStyle w:val="6"/>
        <w:rPr>
          <w:rFonts w:hint="eastAsia" w:ascii="仿宋_GB2312" w:hAnsi="Calibri" w:eastAsia="仿宋_GB2312" w:cs="Times New Roman"/>
          <w:b/>
          <w:sz w:val="24"/>
        </w:rPr>
      </w:pPr>
    </w:p>
    <w:p>
      <w:pPr>
        <w:pStyle w:val="35"/>
        <w:ind w:firstLine="2880" w:firstLineChars="1200"/>
        <w:rPr>
          <w:color w:val="000000" w:themeColor="text1"/>
          <w14:textFill>
            <w14:solidFill>
              <w14:schemeClr w14:val="tx1"/>
            </w14:solidFill>
          </w14:textFill>
        </w:rPr>
      </w:pPr>
    </w:p>
    <w:sectPr>
      <w:pgSz w:w="11906" w:h="16838"/>
      <w:pgMar w:top="284" w:right="1133" w:bottom="56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8"/>
        <w:rFonts w:hint="eastAsia"/>
      </w:rPr>
    </w:pPr>
    <w:r>
      <w:rPr>
        <w:rStyle w:val="18"/>
        <w:rFonts w:ascii="宋体" w:hAnsi="宋体"/>
        <w:sz w:val="28"/>
        <w:szCs w:val="28"/>
      </w:rPr>
      <w:fldChar w:fldCharType="begin"/>
    </w:r>
    <w:r>
      <w:rPr>
        <w:rStyle w:val="18"/>
        <w:rFonts w:ascii="宋体" w:hAnsi="宋体"/>
        <w:sz w:val="28"/>
        <w:szCs w:val="28"/>
      </w:rPr>
      <w:instrText xml:space="preserve">PAGE  </w:instrText>
    </w:r>
    <w:r>
      <w:rPr>
        <w:rStyle w:val="18"/>
        <w:rFonts w:ascii="宋体" w:hAnsi="宋体"/>
        <w:sz w:val="28"/>
        <w:szCs w:val="28"/>
      </w:rPr>
      <w:fldChar w:fldCharType="separate"/>
    </w:r>
    <w:r>
      <w:rPr>
        <w:rStyle w:val="18"/>
        <w:rFonts w:ascii="宋体" w:hAnsi="宋体"/>
        <w:sz w:val="28"/>
        <w:szCs w:val="28"/>
      </w:rPr>
      <w:t>- 1 -</w:t>
    </w:r>
    <w:r>
      <w:rPr>
        <w:rStyle w:val="18"/>
        <w:rFonts w:ascii="宋体" w:hAnsi="宋体"/>
        <w:sz w:val="28"/>
        <w:szCs w:val="28"/>
      </w:rPr>
      <w:fldChar w:fldCharType="end"/>
    </w:r>
  </w:p>
  <w:p>
    <w:pPr>
      <w:pStyle w:val="10"/>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8"/>
        <w:rFonts w:hint="eastAsia"/>
      </w:rPr>
    </w:pPr>
    <w:r>
      <w:rPr>
        <w:rStyle w:val="18"/>
      </w:rPr>
      <w:fldChar w:fldCharType="begin"/>
    </w:r>
    <w:r>
      <w:rPr>
        <w:rStyle w:val="18"/>
      </w:rPr>
      <w:instrText xml:space="preserve">PAGE  </w:instrText>
    </w:r>
    <w:r>
      <w:rPr>
        <w:rStyle w:val="18"/>
      </w:rPr>
      <w:fldChar w:fldCharType="end"/>
    </w:r>
  </w:p>
  <w:p>
    <w:pPr>
      <w:pStyle w:val="10"/>
      <w:ind w:right="360"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15 -</w:t>
    </w:r>
    <w:r>
      <w:rPr>
        <w:rFonts w:ascii="宋体" w:hAnsi="宋体"/>
        <w:sz w:val="28"/>
        <w:szCs w:val="28"/>
      </w:rPr>
      <w:fldChar w:fldCharType="end"/>
    </w:r>
  </w:p>
  <w:p>
    <w:pPr>
      <w:pStyle w:val="10"/>
      <w:ind w:right="360" w:firstLine="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8"/>
        <w:rFonts w:hint="eastAsia"/>
      </w:rPr>
    </w:pPr>
    <w:r>
      <w:rPr>
        <w:rStyle w:val="18"/>
      </w:rPr>
      <w:fldChar w:fldCharType="begin"/>
    </w:r>
    <w:r>
      <w:rPr>
        <w:rStyle w:val="18"/>
      </w:rPr>
      <w:instrText xml:space="preserve">PAGE  </w:instrText>
    </w:r>
    <w:r>
      <w:rPr>
        <w:rStyle w:val="18"/>
      </w:rPr>
      <w:fldChar w:fldCharType="end"/>
    </w:r>
  </w:p>
  <w:p>
    <w:pPr>
      <w:pStyle w:val="10"/>
      <w:ind w:right="360"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hint="eastAsia"/>
      </w:rPr>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double" w:color="auto" w:sz="8" w:space="1"/>
      </w:pBdr>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3B8F5"/>
    <w:multiLevelType w:val="singleLevel"/>
    <w:tmpl w:val="8913B8F5"/>
    <w:lvl w:ilvl="0" w:tentative="0">
      <w:start w:val="2"/>
      <w:numFmt w:val="decimal"/>
      <w:suff w:val="space"/>
      <w:lvlText w:val="%1."/>
      <w:lvlJc w:val="left"/>
    </w:lvl>
  </w:abstractNum>
  <w:abstractNum w:abstractNumId="1">
    <w:nsid w:val="AA2696B0"/>
    <w:multiLevelType w:val="singleLevel"/>
    <w:tmpl w:val="AA2696B0"/>
    <w:lvl w:ilvl="0" w:tentative="0">
      <w:start w:val="1"/>
      <w:numFmt w:val="decimal"/>
      <w:suff w:val="space"/>
      <w:lvlText w:val="%1."/>
      <w:lvlJc w:val="left"/>
      <w:pPr>
        <w:ind w:left="120" w:firstLine="0"/>
      </w:pPr>
    </w:lvl>
  </w:abstractNum>
  <w:abstractNum w:abstractNumId="2">
    <w:nsid w:val="CCAA5670"/>
    <w:multiLevelType w:val="singleLevel"/>
    <w:tmpl w:val="CCAA5670"/>
    <w:lvl w:ilvl="0" w:tentative="0">
      <w:start w:val="1"/>
      <w:numFmt w:val="decimal"/>
      <w:suff w:val="nothing"/>
      <w:lvlText w:val="（%1）"/>
      <w:lvlJc w:val="left"/>
    </w:lvl>
  </w:abstractNum>
  <w:abstractNum w:abstractNumId="3">
    <w:nsid w:val="F8A57A93"/>
    <w:multiLevelType w:val="singleLevel"/>
    <w:tmpl w:val="F8A57A93"/>
    <w:lvl w:ilvl="0" w:tentative="0">
      <w:start w:val="1"/>
      <w:numFmt w:val="decimalEnclosedCircleChinese"/>
      <w:suff w:val="nothing"/>
      <w:lvlText w:val="%1　"/>
      <w:lvlJc w:val="left"/>
      <w:pPr>
        <w:ind w:left="0" w:firstLine="400"/>
      </w:pPr>
      <w:rPr>
        <w:rFonts w:hint="eastAsia"/>
      </w:rPr>
    </w:lvl>
  </w:abstractNum>
  <w:abstractNum w:abstractNumId="4">
    <w:nsid w:val="6966AC52"/>
    <w:multiLevelType w:val="singleLevel"/>
    <w:tmpl w:val="6966AC52"/>
    <w:lvl w:ilvl="0" w:tentative="0">
      <w:start w:val="1"/>
      <w:numFmt w:val="decimalEnclosedCircleChinese"/>
      <w:suff w:val="space"/>
      <w:lvlText w:val="%1"/>
      <w:lvlJc w:val="left"/>
      <w:rPr>
        <w:rFonts w:hint="eastAsia"/>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jNmQ0MDFmMWM0MzYxY2MzMzg3ZDc0N2I0ODI5ZGEifQ=="/>
  </w:docVars>
  <w:rsids>
    <w:rsidRoot w:val="00CD1AC1"/>
    <w:rsid w:val="00001970"/>
    <w:rsid w:val="0000206B"/>
    <w:rsid w:val="000029E5"/>
    <w:rsid w:val="000031F9"/>
    <w:rsid w:val="00003A1E"/>
    <w:rsid w:val="000042DA"/>
    <w:rsid w:val="00005975"/>
    <w:rsid w:val="00010197"/>
    <w:rsid w:val="000103FE"/>
    <w:rsid w:val="000111CF"/>
    <w:rsid w:val="00011DFD"/>
    <w:rsid w:val="000137CE"/>
    <w:rsid w:val="000203AF"/>
    <w:rsid w:val="00021C02"/>
    <w:rsid w:val="00021D42"/>
    <w:rsid w:val="00023A0B"/>
    <w:rsid w:val="00024B5C"/>
    <w:rsid w:val="00030BEB"/>
    <w:rsid w:val="00033AB8"/>
    <w:rsid w:val="0003418F"/>
    <w:rsid w:val="0003531A"/>
    <w:rsid w:val="000355B1"/>
    <w:rsid w:val="00035BF1"/>
    <w:rsid w:val="00037DA3"/>
    <w:rsid w:val="0004010B"/>
    <w:rsid w:val="00047703"/>
    <w:rsid w:val="00050718"/>
    <w:rsid w:val="00051CD6"/>
    <w:rsid w:val="00056861"/>
    <w:rsid w:val="00061399"/>
    <w:rsid w:val="00065468"/>
    <w:rsid w:val="00066D32"/>
    <w:rsid w:val="000677E1"/>
    <w:rsid w:val="00071286"/>
    <w:rsid w:val="000747CD"/>
    <w:rsid w:val="00076183"/>
    <w:rsid w:val="00081127"/>
    <w:rsid w:val="000848A3"/>
    <w:rsid w:val="00087FFC"/>
    <w:rsid w:val="00090CED"/>
    <w:rsid w:val="00090F6F"/>
    <w:rsid w:val="00093C1F"/>
    <w:rsid w:val="00094AF3"/>
    <w:rsid w:val="00094C6E"/>
    <w:rsid w:val="00095ED1"/>
    <w:rsid w:val="00097B11"/>
    <w:rsid w:val="000A0D10"/>
    <w:rsid w:val="000A41EF"/>
    <w:rsid w:val="000A6CA4"/>
    <w:rsid w:val="000A74A0"/>
    <w:rsid w:val="000A7F6B"/>
    <w:rsid w:val="000B1915"/>
    <w:rsid w:val="000B1D4D"/>
    <w:rsid w:val="000B4B87"/>
    <w:rsid w:val="000B5945"/>
    <w:rsid w:val="000B5B36"/>
    <w:rsid w:val="000B79BA"/>
    <w:rsid w:val="000C0226"/>
    <w:rsid w:val="000C0332"/>
    <w:rsid w:val="000C163C"/>
    <w:rsid w:val="000C19DE"/>
    <w:rsid w:val="000C317B"/>
    <w:rsid w:val="000C7F80"/>
    <w:rsid w:val="000D091B"/>
    <w:rsid w:val="000D1283"/>
    <w:rsid w:val="000D1790"/>
    <w:rsid w:val="000D6BFF"/>
    <w:rsid w:val="000D7156"/>
    <w:rsid w:val="000E7674"/>
    <w:rsid w:val="000E7FE7"/>
    <w:rsid w:val="000F0971"/>
    <w:rsid w:val="000F0DB1"/>
    <w:rsid w:val="000F10D2"/>
    <w:rsid w:val="000F202A"/>
    <w:rsid w:val="000F5B8E"/>
    <w:rsid w:val="000F5BED"/>
    <w:rsid w:val="000F6DA6"/>
    <w:rsid w:val="000F76C7"/>
    <w:rsid w:val="001000D8"/>
    <w:rsid w:val="001004C9"/>
    <w:rsid w:val="001005F3"/>
    <w:rsid w:val="00101B22"/>
    <w:rsid w:val="00103A11"/>
    <w:rsid w:val="001102B3"/>
    <w:rsid w:val="001118E1"/>
    <w:rsid w:val="0011247B"/>
    <w:rsid w:val="00112A8C"/>
    <w:rsid w:val="00112C68"/>
    <w:rsid w:val="0012408E"/>
    <w:rsid w:val="00131FF4"/>
    <w:rsid w:val="00134634"/>
    <w:rsid w:val="001346CB"/>
    <w:rsid w:val="00136516"/>
    <w:rsid w:val="00136BAB"/>
    <w:rsid w:val="00137393"/>
    <w:rsid w:val="0014186B"/>
    <w:rsid w:val="00141F89"/>
    <w:rsid w:val="00142090"/>
    <w:rsid w:val="00145004"/>
    <w:rsid w:val="00150360"/>
    <w:rsid w:val="00150430"/>
    <w:rsid w:val="00151D5B"/>
    <w:rsid w:val="0015447E"/>
    <w:rsid w:val="0016072D"/>
    <w:rsid w:val="00162728"/>
    <w:rsid w:val="00165C7F"/>
    <w:rsid w:val="0017159E"/>
    <w:rsid w:val="0017200E"/>
    <w:rsid w:val="001724C3"/>
    <w:rsid w:val="00174D18"/>
    <w:rsid w:val="001776ED"/>
    <w:rsid w:val="00177B24"/>
    <w:rsid w:val="001807FA"/>
    <w:rsid w:val="0018128C"/>
    <w:rsid w:val="00193166"/>
    <w:rsid w:val="00194BF9"/>
    <w:rsid w:val="001B059D"/>
    <w:rsid w:val="001B10BA"/>
    <w:rsid w:val="001B1954"/>
    <w:rsid w:val="001B1B9B"/>
    <w:rsid w:val="001B1FE2"/>
    <w:rsid w:val="001B25FB"/>
    <w:rsid w:val="001B2A38"/>
    <w:rsid w:val="001B37FD"/>
    <w:rsid w:val="001B3F1C"/>
    <w:rsid w:val="001B4C91"/>
    <w:rsid w:val="001C001C"/>
    <w:rsid w:val="001C03A3"/>
    <w:rsid w:val="001C4028"/>
    <w:rsid w:val="001C424F"/>
    <w:rsid w:val="001D16E4"/>
    <w:rsid w:val="001D1CAE"/>
    <w:rsid w:val="001D3393"/>
    <w:rsid w:val="001D44D0"/>
    <w:rsid w:val="001D4B62"/>
    <w:rsid w:val="001D5879"/>
    <w:rsid w:val="001D58E8"/>
    <w:rsid w:val="001D5FE6"/>
    <w:rsid w:val="001D77F3"/>
    <w:rsid w:val="001E3D16"/>
    <w:rsid w:val="001F184A"/>
    <w:rsid w:val="001F7504"/>
    <w:rsid w:val="001F7ECF"/>
    <w:rsid w:val="002010C7"/>
    <w:rsid w:val="00201231"/>
    <w:rsid w:val="00201C0C"/>
    <w:rsid w:val="00201D1E"/>
    <w:rsid w:val="00205428"/>
    <w:rsid w:val="00207103"/>
    <w:rsid w:val="00210AD2"/>
    <w:rsid w:val="00211F9E"/>
    <w:rsid w:val="002128AB"/>
    <w:rsid w:val="002145CF"/>
    <w:rsid w:val="0021462F"/>
    <w:rsid w:val="00216C42"/>
    <w:rsid w:val="00223A7B"/>
    <w:rsid w:val="00226ABE"/>
    <w:rsid w:val="00226D7E"/>
    <w:rsid w:val="00237EDA"/>
    <w:rsid w:val="00240DE6"/>
    <w:rsid w:val="0024119F"/>
    <w:rsid w:val="00241DF0"/>
    <w:rsid w:val="00242070"/>
    <w:rsid w:val="0025199D"/>
    <w:rsid w:val="0025404B"/>
    <w:rsid w:val="00256D3C"/>
    <w:rsid w:val="002571BE"/>
    <w:rsid w:val="0025734D"/>
    <w:rsid w:val="00257B33"/>
    <w:rsid w:val="00261800"/>
    <w:rsid w:val="00261B45"/>
    <w:rsid w:val="00265EEE"/>
    <w:rsid w:val="0026626D"/>
    <w:rsid w:val="00270561"/>
    <w:rsid w:val="00275EB8"/>
    <w:rsid w:val="002761EC"/>
    <w:rsid w:val="002764B6"/>
    <w:rsid w:val="002779B4"/>
    <w:rsid w:val="00280CE0"/>
    <w:rsid w:val="0028198A"/>
    <w:rsid w:val="00281B69"/>
    <w:rsid w:val="00282C11"/>
    <w:rsid w:val="00284164"/>
    <w:rsid w:val="002910E7"/>
    <w:rsid w:val="002915C5"/>
    <w:rsid w:val="00295BD9"/>
    <w:rsid w:val="00297D51"/>
    <w:rsid w:val="002A0F2E"/>
    <w:rsid w:val="002A23D6"/>
    <w:rsid w:val="002A5DE4"/>
    <w:rsid w:val="002A5F1F"/>
    <w:rsid w:val="002B081D"/>
    <w:rsid w:val="002B0B31"/>
    <w:rsid w:val="002B320F"/>
    <w:rsid w:val="002C0AA0"/>
    <w:rsid w:val="002C0D3E"/>
    <w:rsid w:val="002C19C9"/>
    <w:rsid w:val="002C1EE8"/>
    <w:rsid w:val="002C31A7"/>
    <w:rsid w:val="002C6854"/>
    <w:rsid w:val="002C6FB5"/>
    <w:rsid w:val="002C7691"/>
    <w:rsid w:val="002D035C"/>
    <w:rsid w:val="002D13D2"/>
    <w:rsid w:val="002D1E73"/>
    <w:rsid w:val="002D26E9"/>
    <w:rsid w:val="002D6E79"/>
    <w:rsid w:val="002E1FBC"/>
    <w:rsid w:val="002E400D"/>
    <w:rsid w:val="002E4ABE"/>
    <w:rsid w:val="002E5D3C"/>
    <w:rsid w:val="002E6921"/>
    <w:rsid w:val="002E6D08"/>
    <w:rsid w:val="002E700D"/>
    <w:rsid w:val="002F6705"/>
    <w:rsid w:val="002F726F"/>
    <w:rsid w:val="00300510"/>
    <w:rsid w:val="00301455"/>
    <w:rsid w:val="00302392"/>
    <w:rsid w:val="00302438"/>
    <w:rsid w:val="00303ED2"/>
    <w:rsid w:val="003042A6"/>
    <w:rsid w:val="00305C6B"/>
    <w:rsid w:val="00305F68"/>
    <w:rsid w:val="0032178E"/>
    <w:rsid w:val="00324B4C"/>
    <w:rsid w:val="00326FFC"/>
    <w:rsid w:val="00327CF6"/>
    <w:rsid w:val="00334320"/>
    <w:rsid w:val="0033452B"/>
    <w:rsid w:val="00334716"/>
    <w:rsid w:val="00334810"/>
    <w:rsid w:val="00334F8F"/>
    <w:rsid w:val="00341ADE"/>
    <w:rsid w:val="00343A72"/>
    <w:rsid w:val="00344767"/>
    <w:rsid w:val="003449E6"/>
    <w:rsid w:val="00344D59"/>
    <w:rsid w:val="0034526A"/>
    <w:rsid w:val="0034672B"/>
    <w:rsid w:val="00350E22"/>
    <w:rsid w:val="003537EF"/>
    <w:rsid w:val="00353A62"/>
    <w:rsid w:val="003574A4"/>
    <w:rsid w:val="003604BE"/>
    <w:rsid w:val="0036241A"/>
    <w:rsid w:val="00363BCA"/>
    <w:rsid w:val="00364573"/>
    <w:rsid w:val="0037026D"/>
    <w:rsid w:val="00371D6D"/>
    <w:rsid w:val="00374344"/>
    <w:rsid w:val="003776F1"/>
    <w:rsid w:val="003818F2"/>
    <w:rsid w:val="00381A78"/>
    <w:rsid w:val="00382ACD"/>
    <w:rsid w:val="00386DAF"/>
    <w:rsid w:val="0038736D"/>
    <w:rsid w:val="00387821"/>
    <w:rsid w:val="00391ED7"/>
    <w:rsid w:val="00395BD3"/>
    <w:rsid w:val="00397492"/>
    <w:rsid w:val="003A089E"/>
    <w:rsid w:val="003A0EBA"/>
    <w:rsid w:val="003A36DB"/>
    <w:rsid w:val="003A5D24"/>
    <w:rsid w:val="003A5DFA"/>
    <w:rsid w:val="003A5EDA"/>
    <w:rsid w:val="003B38BD"/>
    <w:rsid w:val="003B3B1D"/>
    <w:rsid w:val="003B4074"/>
    <w:rsid w:val="003B5C3F"/>
    <w:rsid w:val="003B62D2"/>
    <w:rsid w:val="003B6E36"/>
    <w:rsid w:val="003B75AB"/>
    <w:rsid w:val="003C019A"/>
    <w:rsid w:val="003C1436"/>
    <w:rsid w:val="003C2260"/>
    <w:rsid w:val="003C2597"/>
    <w:rsid w:val="003C3EED"/>
    <w:rsid w:val="003C448B"/>
    <w:rsid w:val="003C4823"/>
    <w:rsid w:val="003C54DB"/>
    <w:rsid w:val="003C5AA0"/>
    <w:rsid w:val="003D638C"/>
    <w:rsid w:val="003D75DF"/>
    <w:rsid w:val="003E0601"/>
    <w:rsid w:val="003E280C"/>
    <w:rsid w:val="003E37B5"/>
    <w:rsid w:val="003E513F"/>
    <w:rsid w:val="003E51B7"/>
    <w:rsid w:val="003E575B"/>
    <w:rsid w:val="003E5D1F"/>
    <w:rsid w:val="003F3EAE"/>
    <w:rsid w:val="003F53D0"/>
    <w:rsid w:val="00403702"/>
    <w:rsid w:val="00404D9F"/>
    <w:rsid w:val="0040528A"/>
    <w:rsid w:val="00405FC8"/>
    <w:rsid w:val="0040679D"/>
    <w:rsid w:val="004073A5"/>
    <w:rsid w:val="00410478"/>
    <w:rsid w:val="00410F7C"/>
    <w:rsid w:val="004113E7"/>
    <w:rsid w:val="0041534A"/>
    <w:rsid w:val="0041629E"/>
    <w:rsid w:val="00416A62"/>
    <w:rsid w:val="00417A6A"/>
    <w:rsid w:val="00420A60"/>
    <w:rsid w:val="004229E1"/>
    <w:rsid w:val="004231A9"/>
    <w:rsid w:val="00423612"/>
    <w:rsid w:val="00430305"/>
    <w:rsid w:val="004304F9"/>
    <w:rsid w:val="00431B9E"/>
    <w:rsid w:val="00432C89"/>
    <w:rsid w:val="00437053"/>
    <w:rsid w:val="004411CC"/>
    <w:rsid w:val="004424E2"/>
    <w:rsid w:val="00442B38"/>
    <w:rsid w:val="00443541"/>
    <w:rsid w:val="00444D91"/>
    <w:rsid w:val="00447F2F"/>
    <w:rsid w:val="00450A4F"/>
    <w:rsid w:val="00451B47"/>
    <w:rsid w:val="00453167"/>
    <w:rsid w:val="004541F1"/>
    <w:rsid w:val="00455B79"/>
    <w:rsid w:val="004605A8"/>
    <w:rsid w:val="00460902"/>
    <w:rsid w:val="00462091"/>
    <w:rsid w:val="00462256"/>
    <w:rsid w:val="004622CD"/>
    <w:rsid w:val="004630A4"/>
    <w:rsid w:val="004654DE"/>
    <w:rsid w:val="0046700E"/>
    <w:rsid w:val="00467284"/>
    <w:rsid w:val="00472FBF"/>
    <w:rsid w:val="00477642"/>
    <w:rsid w:val="00487BDF"/>
    <w:rsid w:val="00491E4C"/>
    <w:rsid w:val="00492A44"/>
    <w:rsid w:val="00496440"/>
    <w:rsid w:val="00496A83"/>
    <w:rsid w:val="004971AA"/>
    <w:rsid w:val="00497501"/>
    <w:rsid w:val="004A304E"/>
    <w:rsid w:val="004A500D"/>
    <w:rsid w:val="004A63CC"/>
    <w:rsid w:val="004A6B31"/>
    <w:rsid w:val="004A6C39"/>
    <w:rsid w:val="004B40DE"/>
    <w:rsid w:val="004B4BFF"/>
    <w:rsid w:val="004B6676"/>
    <w:rsid w:val="004B7CB4"/>
    <w:rsid w:val="004C1532"/>
    <w:rsid w:val="004C32ED"/>
    <w:rsid w:val="004C373F"/>
    <w:rsid w:val="004C669A"/>
    <w:rsid w:val="004C7460"/>
    <w:rsid w:val="004D14B7"/>
    <w:rsid w:val="004D3CC4"/>
    <w:rsid w:val="004D3D70"/>
    <w:rsid w:val="004E0810"/>
    <w:rsid w:val="004E5F24"/>
    <w:rsid w:val="004E6482"/>
    <w:rsid w:val="004E758E"/>
    <w:rsid w:val="004E7EC3"/>
    <w:rsid w:val="004F3938"/>
    <w:rsid w:val="004F3B97"/>
    <w:rsid w:val="004F68DB"/>
    <w:rsid w:val="004F71BD"/>
    <w:rsid w:val="0050110D"/>
    <w:rsid w:val="005013E2"/>
    <w:rsid w:val="005027EC"/>
    <w:rsid w:val="00502986"/>
    <w:rsid w:val="00502E3B"/>
    <w:rsid w:val="0050318F"/>
    <w:rsid w:val="00503305"/>
    <w:rsid w:val="00507C44"/>
    <w:rsid w:val="00510C03"/>
    <w:rsid w:val="00515C85"/>
    <w:rsid w:val="0052256E"/>
    <w:rsid w:val="00522DDB"/>
    <w:rsid w:val="00527F76"/>
    <w:rsid w:val="00530530"/>
    <w:rsid w:val="0053084A"/>
    <w:rsid w:val="00530E01"/>
    <w:rsid w:val="0053303C"/>
    <w:rsid w:val="00537F30"/>
    <w:rsid w:val="0054052F"/>
    <w:rsid w:val="005409F4"/>
    <w:rsid w:val="00541831"/>
    <w:rsid w:val="00543393"/>
    <w:rsid w:val="0054353D"/>
    <w:rsid w:val="005438DB"/>
    <w:rsid w:val="00544429"/>
    <w:rsid w:val="00547836"/>
    <w:rsid w:val="00550975"/>
    <w:rsid w:val="00561213"/>
    <w:rsid w:val="00564FF0"/>
    <w:rsid w:val="00565BD1"/>
    <w:rsid w:val="0057272F"/>
    <w:rsid w:val="00573BB4"/>
    <w:rsid w:val="00575A4C"/>
    <w:rsid w:val="005773EA"/>
    <w:rsid w:val="00577505"/>
    <w:rsid w:val="0058345C"/>
    <w:rsid w:val="00584E56"/>
    <w:rsid w:val="00587213"/>
    <w:rsid w:val="00590533"/>
    <w:rsid w:val="00590FDD"/>
    <w:rsid w:val="00591E05"/>
    <w:rsid w:val="005924A0"/>
    <w:rsid w:val="005941A5"/>
    <w:rsid w:val="00595715"/>
    <w:rsid w:val="005979AA"/>
    <w:rsid w:val="005A2117"/>
    <w:rsid w:val="005A4DED"/>
    <w:rsid w:val="005A51CA"/>
    <w:rsid w:val="005A7FED"/>
    <w:rsid w:val="005B53C5"/>
    <w:rsid w:val="005B7C01"/>
    <w:rsid w:val="005C0A45"/>
    <w:rsid w:val="005C4428"/>
    <w:rsid w:val="005C52DF"/>
    <w:rsid w:val="005C58B8"/>
    <w:rsid w:val="005C6090"/>
    <w:rsid w:val="005D050A"/>
    <w:rsid w:val="005D286F"/>
    <w:rsid w:val="005D2952"/>
    <w:rsid w:val="005D5BA3"/>
    <w:rsid w:val="005D5D58"/>
    <w:rsid w:val="005D714E"/>
    <w:rsid w:val="005D75DA"/>
    <w:rsid w:val="005E052E"/>
    <w:rsid w:val="005E088D"/>
    <w:rsid w:val="005E27AF"/>
    <w:rsid w:val="005E2BF8"/>
    <w:rsid w:val="005E4801"/>
    <w:rsid w:val="005E5BFE"/>
    <w:rsid w:val="005F2349"/>
    <w:rsid w:val="005F3575"/>
    <w:rsid w:val="005F3915"/>
    <w:rsid w:val="005F43D5"/>
    <w:rsid w:val="005F5855"/>
    <w:rsid w:val="00607323"/>
    <w:rsid w:val="00611807"/>
    <w:rsid w:val="006127D0"/>
    <w:rsid w:val="006148CD"/>
    <w:rsid w:val="006154AF"/>
    <w:rsid w:val="00615C5D"/>
    <w:rsid w:val="00616F3B"/>
    <w:rsid w:val="00620A01"/>
    <w:rsid w:val="006220FB"/>
    <w:rsid w:val="00624F26"/>
    <w:rsid w:val="00625150"/>
    <w:rsid w:val="00625A4B"/>
    <w:rsid w:val="00625F87"/>
    <w:rsid w:val="00626227"/>
    <w:rsid w:val="00631FAA"/>
    <w:rsid w:val="006358B8"/>
    <w:rsid w:val="006410AB"/>
    <w:rsid w:val="00641CCF"/>
    <w:rsid w:val="00644912"/>
    <w:rsid w:val="00645D23"/>
    <w:rsid w:val="0064620E"/>
    <w:rsid w:val="00655B6D"/>
    <w:rsid w:val="00655FCF"/>
    <w:rsid w:val="0065663F"/>
    <w:rsid w:val="00661824"/>
    <w:rsid w:val="0066567E"/>
    <w:rsid w:val="00673BBF"/>
    <w:rsid w:val="0067485F"/>
    <w:rsid w:val="006763F4"/>
    <w:rsid w:val="00676D30"/>
    <w:rsid w:val="006822F6"/>
    <w:rsid w:val="00682E86"/>
    <w:rsid w:val="006851C8"/>
    <w:rsid w:val="0068784F"/>
    <w:rsid w:val="006929B5"/>
    <w:rsid w:val="006933DC"/>
    <w:rsid w:val="006953DB"/>
    <w:rsid w:val="00696109"/>
    <w:rsid w:val="006A3ABA"/>
    <w:rsid w:val="006A41BA"/>
    <w:rsid w:val="006B0538"/>
    <w:rsid w:val="006B2A46"/>
    <w:rsid w:val="006B4937"/>
    <w:rsid w:val="006B5892"/>
    <w:rsid w:val="006B778E"/>
    <w:rsid w:val="006B7B10"/>
    <w:rsid w:val="006C0EE1"/>
    <w:rsid w:val="006C130F"/>
    <w:rsid w:val="006C33B0"/>
    <w:rsid w:val="006C3A89"/>
    <w:rsid w:val="006C4308"/>
    <w:rsid w:val="006C6162"/>
    <w:rsid w:val="006C761D"/>
    <w:rsid w:val="006D0608"/>
    <w:rsid w:val="006D10AC"/>
    <w:rsid w:val="006D11A7"/>
    <w:rsid w:val="006D1DBC"/>
    <w:rsid w:val="006D3996"/>
    <w:rsid w:val="006D39D0"/>
    <w:rsid w:val="006D6509"/>
    <w:rsid w:val="006E012B"/>
    <w:rsid w:val="006E4AC3"/>
    <w:rsid w:val="006E6239"/>
    <w:rsid w:val="006E6D44"/>
    <w:rsid w:val="006F0FE0"/>
    <w:rsid w:val="006F1421"/>
    <w:rsid w:val="006F1E34"/>
    <w:rsid w:val="006F1F5F"/>
    <w:rsid w:val="006F20A9"/>
    <w:rsid w:val="006F253C"/>
    <w:rsid w:val="006F2688"/>
    <w:rsid w:val="006F28F5"/>
    <w:rsid w:val="006F2F93"/>
    <w:rsid w:val="006F4DA5"/>
    <w:rsid w:val="006F66E4"/>
    <w:rsid w:val="006F6CB3"/>
    <w:rsid w:val="00701C6B"/>
    <w:rsid w:val="00702FE8"/>
    <w:rsid w:val="00704CE3"/>
    <w:rsid w:val="00706321"/>
    <w:rsid w:val="00707B92"/>
    <w:rsid w:val="00711EA1"/>
    <w:rsid w:val="0071596F"/>
    <w:rsid w:val="00715EA3"/>
    <w:rsid w:val="0071685F"/>
    <w:rsid w:val="007206F1"/>
    <w:rsid w:val="0072216A"/>
    <w:rsid w:val="00722B75"/>
    <w:rsid w:val="00723B2B"/>
    <w:rsid w:val="00724C7D"/>
    <w:rsid w:val="00725607"/>
    <w:rsid w:val="00726007"/>
    <w:rsid w:val="00726B4A"/>
    <w:rsid w:val="00727DE7"/>
    <w:rsid w:val="00730649"/>
    <w:rsid w:val="00734BBB"/>
    <w:rsid w:val="00735DD8"/>
    <w:rsid w:val="00736E2E"/>
    <w:rsid w:val="007416EB"/>
    <w:rsid w:val="00742316"/>
    <w:rsid w:val="00744895"/>
    <w:rsid w:val="0074531D"/>
    <w:rsid w:val="00745DCA"/>
    <w:rsid w:val="007463C3"/>
    <w:rsid w:val="007476C3"/>
    <w:rsid w:val="00750254"/>
    <w:rsid w:val="00751997"/>
    <w:rsid w:val="00753521"/>
    <w:rsid w:val="007542CE"/>
    <w:rsid w:val="0075643C"/>
    <w:rsid w:val="0075760F"/>
    <w:rsid w:val="00760D87"/>
    <w:rsid w:val="007611B9"/>
    <w:rsid w:val="00761E24"/>
    <w:rsid w:val="00764DBB"/>
    <w:rsid w:val="007668C9"/>
    <w:rsid w:val="00773935"/>
    <w:rsid w:val="00775726"/>
    <w:rsid w:val="0078102E"/>
    <w:rsid w:val="007816FC"/>
    <w:rsid w:val="00787F89"/>
    <w:rsid w:val="00790413"/>
    <w:rsid w:val="00796DCE"/>
    <w:rsid w:val="007A1075"/>
    <w:rsid w:val="007A2050"/>
    <w:rsid w:val="007A23D0"/>
    <w:rsid w:val="007A3E80"/>
    <w:rsid w:val="007A4B74"/>
    <w:rsid w:val="007A5B19"/>
    <w:rsid w:val="007A5E72"/>
    <w:rsid w:val="007A5F55"/>
    <w:rsid w:val="007A7F8E"/>
    <w:rsid w:val="007B05EB"/>
    <w:rsid w:val="007B13BA"/>
    <w:rsid w:val="007B3421"/>
    <w:rsid w:val="007B52CC"/>
    <w:rsid w:val="007B52E1"/>
    <w:rsid w:val="007B5E2B"/>
    <w:rsid w:val="007B617B"/>
    <w:rsid w:val="007B7207"/>
    <w:rsid w:val="007C1405"/>
    <w:rsid w:val="007C186F"/>
    <w:rsid w:val="007C1DBD"/>
    <w:rsid w:val="007C5507"/>
    <w:rsid w:val="007C6F79"/>
    <w:rsid w:val="007C7157"/>
    <w:rsid w:val="007C7AC3"/>
    <w:rsid w:val="007D12FF"/>
    <w:rsid w:val="007D19A7"/>
    <w:rsid w:val="007D53B2"/>
    <w:rsid w:val="007D5FAA"/>
    <w:rsid w:val="007D7914"/>
    <w:rsid w:val="007E0AB2"/>
    <w:rsid w:val="007E20E7"/>
    <w:rsid w:val="007E2F83"/>
    <w:rsid w:val="007E718C"/>
    <w:rsid w:val="007F0A52"/>
    <w:rsid w:val="007F1BDE"/>
    <w:rsid w:val="007F327A"/>
    <w:rsid w:val="007F3F74"/>
    <w:rsid w:val="007F5DDB"/>
    <w:rsid w:val="007F7A4D"/>
    <w:rsid w:val="00800654"/>
    <w:rsid w:val="008021F3"/>
    <w:rsid w:val="00804617"/>
    <w:rsid w:val="0081238E"/>
    <w:rsid w:val="00813158"/>
    <w:rsid w:val="00813FE8"/>
    <w:rsid w:val="00814C4A"/>
    <w:rsid w:val="008179A3"/>
    <w:rsid w:val="00817D91"/>
    <w:rsid w:val="00820A7C"/>
    <w:rsid w:val="00820D29"/>
    <w:rsid w:val="00822E00"/>
    <w:rsid w:val="00823151"/>
    <w:rsid w:val="008239FC"/>
    <w:rsid w:val="008306EF"/>
    <w:rsid w:val="0083081B"/>
    <w:rsid w:val="00830CDB"/>
    <w:rsid w:val="0083182F"/>
    <w:rsid w:val="00832027"/>
    <w:rsid w:val="0083337A"/>
    <w:rsid w:val="00834D40"/>
    <w:rsid w:val="00834FB8"/>
    <w:rsid w:val="00835590"/>
    <w:rsid w:val="00835A19"/>
    <w:rsid w:val="00841332"/>
    <w:rsid w:val="008419D8"/>
    <w:rsid w:val="008449CE"/>
    <w:rsid w:val="00845448"/>
    <w:rsid w:val="008473CC"/>
    <w:rsid w:val="00847813"/>
    <w:rsid w:val="00851B75"/>
    <w:rsid w:val="008527F0"/>
    <w:rsid w:val="008540AA"/>
    <w:rsid w:val="00854154"/>
    <w:rsid w:val="00854512"/>
    <w:rsid w:val="008546B8"/>
    <w:rsid w:val="00855932"/>
    <w:rsid w:val="00861166"/>
    <w:rsid w:val="008619AE"/>
    <w:rsid w:val="00862161"/>
    <w:rsid w:val="008628BB"/>
    <w:rsid w:val="00862CF2"/>
    <w:rsid w:val="008640A1"/>
    <w:rsid w:val="0086413A"/>
    <w:rsid w:val="00864AF5"/>
    <w:rsid w:val="00864CB0"/>
    <w:rsid w:val="0086546B"/>
    <w:rsid w:val="0086556B"/>
    <w:rsid w:val="00866601"/>
    <w:rsid w:val="008701E3"/>
    <w:rsid w:val="0087084D"/>
    <w:rsid w:val="00871428"/>
    <w:rsid w:val="00871DEF"/>
    <w:rsid w:val="008721E4"/>
    <w:rsid w:val="0087227B"/>
    <w:rsid w:val="0087250C"/>
    <w:rsid w:val="00875E1E"/>
    <w:rsid w:val="00877F52"/>
    <w:rsid w:val="00886307"/>
    <w:rsid w:val="008905DF"/>
    <w:rsid w:val="00892485"/>
    <w:rsid w:val="00892FA6"/>
    <w:rsid w:val="008961A8"/>
    <w:rsid w:val="008A11B4"/>
    <w:rsid w:val="008A137B"/>
    <w:rsid w:val="008A1916"/>
    <w:rsid w:val="008A2C38"/>
    <w:rsid w:val="008A70DA"/>
    <w:rsid w:val="008A7BFC"/>
    <w:rsid w:val="008B126B"/>
    <w:rsid w:val="008B190D"/>
    <w:rsid w:val="008B360A"/>
    <w:rsid w:val="008B5B84"/>
    <w:rsid w:val="008C4401"/>
    <w:rsid w:val="008C504F"/>
    <w:rsid w:val="008C59CE"/>
    <w:rsid w:val="008C65A3"/>
    <w:rsid w:val="008D0A6F"/>
    <w:rsid w:val="008D1B0A"/>
    <w:rsid w:val="008D2661"/>
    <w:rsid w:val="008D2BE4"/>
    <w:rsid w:val="008D4024"/>
    <w:rsid w:val="008D6046"/>
    <w:rsid w:val="008D69B7"/>
    <w:rsid w:val="008E4DA3"/>
    <w:rsid w:val="008E6E68"/>
    <w:rsid w:val="008F1DAB"/>
    <w:rsid w:val="008F55C2"/>
    <w:rsid w:val="008F6AA8"/>
    <w:rsid w:val="008F6E77"/>
    <w:rsid w:val="008F7CC4"/>
    <w:rsid w:val="008F7FA2"/>
    <w:rsid w:val="00900D46"/>
    <w:rsid w:val="00901393"/>
    <w:rsid w:val="009018E7"/>
    <w:rsid w:val="009039A3"/>
    <w:rsid w:val="00910710"/>
    <w:rsid w:val="00910844"/>
    <w:rsid w:val="00913FDC"/>
    <w:rsid w:val="00920ABA"/>
    <w:rsid w:val="00920DCF"/>
    <w:rsid w:val="00922C1F"/>
    <w:rsid w:val="009238FC"/>
    <w:rsid w:val="00926F0F"/>
    <w:rsid w:val="00927650"/>
    <w:rsid w:val="00927E90"/>
    <w:rsid w:val="00930292"/>
    <w:rsid w:val="00931F86"/>
    <w:rsid w:val="00933A9F"/>
    <w:rsid w:val="00935E4C"/>
    <w:rsid w:val="0093663F"/>
    <w:rsid w:val="00937253"/>
    <w:rsid w:val="00942577"/>
    <w:rsid w:val="00942B05"/>
    <w:rsid w:val="009439E3"/>
    <w:rsid w:val="009448D4"/>
    <w:rsid w:val="00944CC9"/>
    <w:rsid w:val="00945516"/>
    <w:rsid w:val="00946F60"/>
    <w:rsid w:val="0094780F"/>
    <w:rsid w:val="009532BB"/>
    <w:rsid w:val="00954E56"/>
    <w:rsid w:val="0095557A"/>
    <w:rsid w:val="00956FB1"/>
    <w:rsid w:val="00960644"/>
    <w:rsid w:val="00963BB5"/>
    <w:rsid w:val="00964224"/>
    <w:rsid w:val="00965960"/>
    <w:rsid w:val="0097133F"/>
    <w:rsid w:val="0097406D"/>
    <w:rsid w:val="00974356"/>
    <w:rsid w:val="009749A6"/>
    <w:rsid w:val="00981C20"/>
    <w:rsid w:val="00982768"/>
    <w:rsid w:val="00983017"/>
    <w:rsid w:val="0098339F"/>
    <w:rsid w:val="00986245"/>
    <w:rsid w:val="00986A1E"/>
    <w:rsid w:val="009873B3"/>
    <w:rsid w:val="00992584"/>
    <w:rsid w:val="0099558E"/>
    <w:rsid w:val="0099594F"/>
    <w:rsid w:val="00995A73"/>
    <w:rsid w:val="00996EB0"/>
    <w:rsid w:val="0099737C"/>
    <w:rsid w:val="009A1BBA"/>
    <w:rsid w:val="009A1D1C"/>
    <w:rsid w:val="009A1DB2"/>
    <w:rsid w:val="009A2BFF"/>
    <w:rsid w:val="009A519B"/>
    <w:rsid w:val="009B12D9"/>
    <w:rsid w:val="009B23D1"/>
    <w:rsid w:val="009B3160"/>
    <w:rsid w:val="009B50F2"/>
    <w:rsid w:val="009B7599"/>
    <w:rsid w:val="009C0600"/>
    <w:rsid w:val="009C06A8"/>
    <w:rsid w:val="009C0E27"/>
    <w:rsid w:val="009C193F"/>
    <w:rsid w:val="009C198B"/>
    <w:rsid w:val="009C1DCF"/>
    <w:rsid w:val="009C30C0"/>
    <w:rsid w:val="009C7C99"/>
    <w:rsid w:val="009D01AF"/>
    <w:rsid w:val="009D14A4"/>
    <w:rsid w:val="009D172B"/>
    <w:rsid w:val="009D1B6D"/>
    <w:rsid w:val="009D1ECB"/>
    <w:rsid w:val="009D21A1"/>
    <w:rsid w:val="009D43CF"/>
    <w:rsid w:val="009D5B38"/>
    <w:rsid w:val="009D67A9"/>
    <w:rsid w:val="009D79A0"/>
    <w:rsid w:val="009F2038"/>
    <w:rsid w:val="009F35D6"/>
    <w:rsid w:val="009F4780"/>
    <w:rsid w:val="009F5F6A"/>
    <w:rsid w:val="00A00D5C"/>
    <w:rsid w:val="00A06ADB"/>
    <w:rsid w:val="00A10867"/>
    <w:rsid w:val="00A108FA"/>
    <w:rsid w:val="00A11EB3"/>
    <w:rsid w:val="00A13B6E"/>
    <w:rsid w:val="00A147DF"/>
    <w:rsid w:val="00A161C7"/>
    <w:rsid w:val="00A200E6"/>
    <w:rsid w:val="00A2231E"/>
    <w:rsid w:val="00A2305E"/>
    <w:rsid w:val="00A23286"/>
    <w:rsid w:val="00A241D4"/>
    <w:rsid w:val="00A25772"/>
    <w:rsid w:val="00A25AE5"/>
    <w:rsid w:val="00A27370"/>
    <w:rsid w:val="00A27D93"/>
    <w:rsid w:val="00A32097"/>
    <w:rsid w:val="00A32292"/>
    <w:rsid w:val="00A340EF"/>
    <w:rsid w:val="00A3445C"/>
    <w:rsid w:val="00A345AF"/>
    <w:rsid w:val="00A40728"/>
    <w:rsid w:val="00A42B42"/>
    <w:rsid w:val="00A437F9"/>
    <w:rsid w:val="00A446E5"/>
    <w:rsid w:val="00A45B33"/>
    <w:rsid w:val="00A47A8F"/>
    <w:rsid w:val="00A51F6D"/>
    <w:rsid w:val="00A5412C"/>
    <w:rsid w:val="00A56DDE"/>
    <w:rsid w:val="00A63EF2"/>
    <w:rsid w:val="00A654F5"/>
    <w:rsid w:val="00A67CD3"/>
    <w:rsid w:val="00A70A2E"/>
    <w:rsid w:val="00A7215F"/>
    <w:rsid w:val="00A7250A"/>
    <w:rsid w:val="00A72F83"/>
    <w:rsid w:val="00A735B6"/>
    <w:rsid w:val="00A75124"/>
    <w:rsid w:val="00A75642"/>
    <w:rsid w:val="00A77037"/>
    <w:rsid w:val="00A805F2"/>
    <w:rsid w:val="00A80AEF"/>
    <w:rsid w:val="00A81BE0"/>
    <w:rsid w:val="00A82CDC"/>
    <w:rsid w:val="00A854D2"/>
    <w:rsid w:val="00A85B46"/>
    <w:rsid w:val="00A8717E"/>
    <w:rsid w:val="00A87417"/>
    <w:rsid w:val="00A87DAF"/>
    <w:rsid w:val="00A90398"/>
    <w:rsid w:val="00A91845"/>
    <w:rsid w:val="00A92DA7"/>
    <w:rsid w:val="00A94721"/>
    <w:rsid w:val="00A95853"/>
    <w:rsid w:val="00A96CE2"/>
    <w:rsid w:val="00AA1B31"/>
    <w:rsid w:val="00AA37BB"/>
    <w:rsid w:val="00AA4DB6"/>
    <w:rsid w:val="00AA4FE6"/>
    <w:rsid w:val="00AA502A"/>
    <w:rsid w:val="00AA5CC7"/>
    <w:rsid w:val="00AB1E8C"/>
    <w:rsid w:val="00AB23E9"/>
    <w:rsid w:val="00AB2D9A"/>
    <w:rsid w:val="00AB389E"/>
    <w:rsid w:val="00AC14AE"/>
    <w:rsid w:val="00AC2308"/>
    <w:rsid w:val="00AC2552"/>
    <w:rsid w:val="00AC2E7D"/>
    <w:rsid w:val="00AD503F"/>
    <w:rsid w:val="00AD678D"/>
    <w:rsid w:val="00AD72B1"/>
    <w:rsid w:val="00AE0AD8"/>
    <w:rsid w:val="00AE3490"/>
    <w:rsid w:val="00AE4781"/>
    <w:rsid w:val="00AE55A3"/>
    <w:rsid w:val="00AE6FF8"/>
    <w:rsid w:val="00AF1230"/>
    <w:rsid w:val="00AF265D"/>
    <w:rsid w:val="00AF56A4"/>
    <w:rsid w:val="00AF5E01"/>
    <w:rsid w:val="00AF61CA"/>
    <w:rsid w:val="00B0043A"/>
    <w:rsid w:val="00B0339C"/>
    <w:rsid w:val="00B048C0"/>
    <w:rsid w:val="00B0771C"/>
    <w:rsid w:val="00B078C8"/>
    <w:rsid w:val="00B108D5"/>
    <w:rsid w:val="00B133AB"/>
    <w:rsid w:val="00B15361"/>
    <w:rsid w:val="00B15471"/>
    <w:rsid w:val="00B15624"/>
    <w:rsid w:val="00B15A89"/>
    <w:rsid w:val="00B1622B"/>
    <w:rsid w:val="00B17E1F"/>
    <w:rsid w:val="00B2219D"/>
    <w:rsid w:val="00B23617"/>
    <w:rsid w:val="00B272F1"/>
    <w:rsid w:val="00B30BC2"/>
    <w:rsid w:val="00B31FEA"/>
    <w:rsid w:val="00B32442"/>
    <w:rsid w:val="00B33EAA"/>
    <w:rsid w:val="00B3426E"/>
    <w:rsid w:val="00B360DB"/>
    <w:rsid w:val="00B36AE6"/>
    <w:rsid w:val="00B37C5D"/>
    <w:rsid w:val="00B4103A"/>
    <w:rsid w:val="00B410BB"/>
    <w:rsid w:val="00B430B3"/>
    <w:rsid w:val="00B433E3"/>
    <w:rsid w:val="00B44428"/>
    <w:rsid w:val="00B46BB8"/>
    <w:rsid w:val="00B47CA5"/>
    <w:rsid w:val="00B507A5"/>
    <w:rsid w:val="00B53196"/>
    <w:rsid w:val="00B53821"/>
    <w:rsid w:val="00B569BF"/>
    <w:rsid w:val="00B5720B"/>
    <w:rsid w:val="00B61B6F"/>
    <w:rsid w:val="00B63F6F"/>
    <w:rsid w:val="00B648CE"/>
    <w:rsid w:val="00B649C1"/>
    <w:rsid w:val="00B64D47"/>
    <w:rsid w:val="00B65A13"/>
    <w:rsid w:val="00B67C42"/>
    <w:rsid w:val="00B7350B"/>
    <w:rsid w:val="00B7440D"/>
    <w:rsid w:val="00B747D1"/>
    <w:rsid w:val="00B75CB5"/>
    <w:rsid w:val="00B77DB5"/>
    <w:rsid w:val="00B8082B"/>
    <w:rsid w:val="00B84272"/>
    <w:rsid w:val="00B844B4"/>
    <w:rsid w:val="00B85A55"/>
    <w:rsid w:val="00B86E72"/>
    <w:rsid w:val="00B9125D"/>
    <w:rsid w:val="00B9197F"/>
    <w:rsid w:val="00B95A1F"/>
    <w:rsid w:val="00B97D67"/>
    <w:rsid w:val="00B97F36"/>
    <w:rsid w:val="00BA1D4A"/>
    <w:rsid w:val="00BA2288"/>
    <w:rsid w:val="00BA3458"/>
    <w:rsid w:val="00BB00BE"/>
    <w:rsid w:val="00BB035D"/>
    <w:rsid w:val="00BB720A"/>
    <w:rsid w:val="00BC093F"/>
    <w:rsid w:val="00BC1150"/>
    <w:rsid w:val="00BC4051"/>
    <w:rsid w:val="00BC4887"/>
    <w:rsid w:val="00BC5EED"/>
    <w:rsid w:val="00BD144C"/>
    <w:rsid w:val="00BD1757"/>
    <w:rsid w:val="00BD218E"/>
    <w:rsid w:val="00BD312E"/>
    <w:rsid w:val="00BD31FC"/>
    <w:rsid w:val="00BD4E01"/>
    <w:rsid w:val="00BD5703"/>
    <w:rsid w:val="00BD5AC7"/>
    <w:rsid w:val="00BE025D"/>
    <w:rsid w:val="00BE0CFD"/>
    <w:rsid w:val="00BE27CF"/>
    <w:rsid w:val="00BE3012"/>
    <w:rsid w:val="00BE48CE"/>
    <w:rsid w:val="00BE5675"/>
    <w:rsid w:val="00BF232E"/>
    <w:rsid w:val="00BF2B22"/>
    <w:rsid w:val="00BF34C5"/>
    <w:rsid w:val="00BF3C0E"/>
    <w:rsid w:val="00BF54C8"/>
    <w:rsid w:val="00BF6A85"/>
    <w:rsid w:val="00C009EB"/>
    <w:rsid w:val="00C010D9"/>
    <w:rsid w:val="00C02186"/>
    <w:rsid w:val="00C02FEB"/>
    <w:rsid w:val="00C041DA"/>
    <w:rsid w:val="00C04B5B"/>
    <w:rsid w:val="00C05FFC"/>
    <w:rsid w:val="00C066B6"/>
    <w:rsid w:val="00C102BB"/>
    <w:rsid w:val="00C1092C"/>
    <w:rsid w:val="00C128FD"/>
    <w:rsid w:val="00C1409A"/>
    <w:rsid w:val="00C172AE"/>
    <w:rsid w:val="00C21878"/>
    <w:rsid w:val="00C21BA5"/>
    <w:rsid w:val="00C22B48"/>
    <w:rsid w:val="00C23406"/>
    <w:rsid w:val="00C24B72"/>
    <w:rsid w:val="00C27820"/>
    <w:rsid w:val="00C308F1"/>
    <w:rsid w:val="00C32458"/>
    <w:rsid w:val="00C33B45"/>
    <w:rsid w:val="00C344B4"/>
    <w:rsid w:val="00C3532C"/>
    <w:rsid w:val="00C36B3B"/>
    <w:rsid w:val="00C36D44"/>
    <w:rsid w:val="00C41753"/>
    <w:rsid w:val="00C42B07"/>
    <w:rsid w:val="00C42D79"/>
    <w:rsid w:val="00C46B66"/>
    <w:rsid w:val="00C47774"/>
    <w:rsid w:val="00C479CE"/>
    <w:rsid w:val="00C518AD"/>
    <w:rsid w:val="00C52671"/>
    <w:rsid w:val="00C53759"/>
    <w:rsid w:val="00C54C69"/>
    <w:rsid w:val="00C554E1"/>
    <w:rsid w:val="00C606B3"/>
    <w:rsid w:val="00C61D9F"/>
    <w:rsid w:val="00C624CF"/>
    <w:rsid w:val="00C62A97"/>
    <w:rsid w:val="00C64A91"/>
    <w:rsid w:val="00C670E6"/>
    <w:rsid w:val="00C702C3"/>
    <w:rsid w:val="00C72383"/>
    <w:rsid w:val="00C72C1A"/>
    <w:rsid w:val="00C7337D"/>
    <w:rsid w:val="00C76BED"/>
    <w:rsid w:val="00C81FB2"/>
    <w:rsid w:val="00C85078"/>
    <w:rsid w:val="00C871B3"/>
    <w:rsid w:val="00C87D28"/>
    <w:rsid w:val="00C90877"/>
    <w:rsid w:val="00C91645"/>
    <w:rsid w:val="00C91751"/>
    <w:rsid w:val="00C92430"/>
    <w:rsid w:val="00C95F8C"/>
    <w:rsid w:val="00C97736"/>
    <w:rsid w:val="00CA1189"/>
    <w:rsid w:val="00CA1F5F"/>
    <w:rsid w:val="00CA3173"/>
    <w:rsid w:val="00CA6A7F"/>
    <w:rsid w:val="00CB0A67"/>
    <w:rsid w:val="00CB2D7E"/>
    <w:rsid w:val="00CB3A0E"/>
    <w:rsid w:val="00CB480C"/>
    <w:rsid w:val="00CB4B46"/>
    <w:rsid w:val="00CB69B2"/>
    <w:rsid w:val="00CC0E8F"/>
    <w:rsid w:val="00CC3449"/>
    <w:rsid w:val="00CC36A5"/>
    <w:rsid w:val="00CC3F51"/>
    <w:rsid w:val="00CC4049"/>
    <w:rsid w:val="00CC5303"/>
    <w:rsid w:val="00CC6594"/>
    <w:rsid w:val="00CC72DB"/>
    <w:rsid w:val="00CD11E5"/>
    <w:rsid w:val="00CD1AC1"/>
    <w:rsid w:val="00CD278C"/>
    <w:rsid w:val="00CD4049"/>
    <w:rsid w:val="00CD69FC"/>
    <w:rsid w:val="00CD72C3"/>
    <w:rsid w:val="00CD7E81"/>
    <w:rsid w:val="00CE0D88"/>
    <w:rsid w:val="00CE104A"/>
    <w:rsid w:val="00CE1E19"/>
    <w:rsid w:val="00CE201E"/>
    <w:rsid w:val="00CE238B"/>
    <w:rsid w:val="00CE5DEA"/>
    <w:rsid w:val="00CE64A5"/>
    <w:rsid w:val="00CE6849"/>
    <w:rsid w:val="00CF1965"/>
    <w:rsid w:val="00CF1FEF"/>
    <w:rsid w:val="00CF699E"/>
    <w:rsid w:val="00D0056B"/>
    <w:rsid w:val="00D00B17"/>
    <w:rsid w:val="00D0173B"/>
    <w:rsid w:val="00D0408D"/>
    <w:rsid w:val="00D05D2F"/>
    <w:rsid w:val="00D13EBE"/>
    <w:rsid w:val="00D142D7"/>
    <w:rsid w:val="00D15C41"/>
    <w:rsid w:val="00D15C4E"/>
    <w:rsid w:val="00D16E6A"/>
    <w:rsid w:val="00D278F9"/>
    <w:rsid w:val="00D27F2E"/>
    <w:rsid w:val="00D31578"/>
    <w:rsid w:val="00D31F3D"/>
    <w:rsid w:val="00D40B20"/>
    <w:rsid w:val="00D41D27"/>
    <w:rsid w:val="00D43AAF"/>
    <w:rsid w:val="00D471EE"/>
    <w:rsid w:val="00D50BBC"/>
    <w:rsid w:val="00D50BEB"/>
    <w:rsid w:val="00D5126D"/>
    <w:rsid w:val="00D537BA"/>
    <w:rsid w:val="00D5703D"/>
    <w:rsid w:val="00D61438"/>
    <w:rsid w:val="00D63783"/>
    <w:rsid w:val="00D64C92"/>
    <w:rsid w:val="00D6556F"/>
    <w:rsid w:val="00D6670B"/>
    <w:rsid w:val="00D66983"/>
    <w:rsid w:val="00D72D6E"/>
    <w:rsid w:val="00D733AC"/>
    <w:rsid w:val="00D75E1E"/>
    <w:rsid w:val="00D77CEB"/>
    <w:rsid w:val="00D802BF"/>
    <w:rsid w:val="00D8042F"/>
    <w:rsid w:val="00D80794"/>
    <w:rsid w:val="00D83268"/>
    <w:rsid w:val="00D83E7F"/>
    <w:rsid w:val="00D84340"/>
    <w:rsid w:val="00D864E2"/>
    <w:rsid w:val="00D86CE4"/>
    <w:rsid w:val="00D87952"/>
    <w:rsid w:val="00D906A9"/>
    <w:rsid w:val="00D90F92"/>
    <w:rsid w:val="00D91828"/>
    <w:rsid w:val="00D93242"/>
    <w:rsid w:val="00D93E92"/>
    <w:rsid w:val="00D9527E"/>
    <w:rsid w:val="00DA0FB3"/>
    <w:rsid w:val="00DA3D6F"/>
    <w:rsid w:val="00DA51F2"/>
    <w:rsid w:val="00DA6913"/>
    <w:rsid w:val="00DB1864"/>
    <w:rsid w:val="00DB293B"/>
    <w:rsid w:val="00DB3675"/>
    <w:rsid w:val="00DB3C4C"/>
    <w:rsid w:val="00DB4244"/>
    <w:rsid w:val="00DB5FCC"/>
    <w:rsid w:val="00DB6B77"/>
    <w:rsid w:val="00DC0473"/>
    <w:rsid w:val="00DC0888"/>
    <w:rsid w:val="00DC0E35"/>
    <w:rsid w:val="00DC22BA"/>
    <w:rsid w:val="00DC48F4"/>
    <w:rsid w:val="00DC6915"/>
    <w:rsid w:val="00DC6F98"/>
    <w:rsid w:val="00DD1EE9"/>
    <w:rsid w:val="00DD27C3"/>
    <w:rsid w:val="00DE0EEA"/>
    <w:rsid w:val="00DE45BB"/>
    <w:rsid w:val="00DF3C0F"/>
    <w:rsid w:val="00E01D32"/>
    <w:rsid w:val="00E047EC"/>
    <w:rsid w:val="00E1031A"/>
    <w:rsid w:val="00E10E57"/>
    <w:rsid w:val="00E1112E"/>
    <w:rsid w:val="00E11EBD"/>
    <w:rsid w:val="00E123EF"/>
    <w:rsid w:val="00E1695C"/>
    <w:rsid w:val="00E21B45"/>
    <w:rsid w:val="00E222AC"/>
    <w:rsid w:val="00E228FC"/>
    <w:rsid w:val="00E22CC8"/>
    <w:rsid w:val="00E22F7A"/>
    <w:rsid w:val="00E244C9"/>
    <w:rsid w:val="00E25462"/>
    <w:rsid w:val="00E25D14"/>
    <w:rsid w:val="00E307DE"/>
    <w:rsid w:val="00E32193"/>
    <w:rsid w:val="00E33DAE"/>
    <w:rsid w:val="00E346AC"/>
    <w:rsid w:val="00E3495A"/>
    <w:rsid w:val="00E34EEF"/>
    <w:rsid w:val="00E362D2"/>
    <w:rsid w:val="00E37948"/>
    <w:rsid w:val="00E41C9F"/>
    <w:rsid w:val="00E44354"/>
    <w:rsid w:val="00E4461C"/>
    <w:rsid w:val="00E44BC9"/>
    <w:rsid w:val="00E45ED2"/>
    <w:rsid w:val="00E465CE"/>
    <w:rsid w:val="00E50614"/>
    <w:rsid w:val="00E51741"/>
    <w:rsid w:val="00E518C6"/>
    <w:rsid w:val="00E5206B"/>
    <w:rsid w:val="00E55E2D"/>
    <w:rsid w:val="00E65EB8"/>
    <w:rsid w:val="00E65FBB"/>
    <w:rsid w:val="00E66E46"/>
    <w:rsid w:val="00E67860"/>
    <w:rsid w:val="00E700E5"/>
    <w:rsid w:val="00E723C2"/>
    <w:rsid w:val="00E75BE4"/>
    <w:rsid w:val="00E7642A"/>
    <w:rsid w:val="00E834B7"/>
    <w:rsid w:val="00E84D56"/>
    <w:rsid w:val="00E85474"/>
    <w:rsid w:val="00E90DB0"/>
    <w:rsid w:val="00E93970"/>
    <w:rsid w:val="00E943EE"/>
    <w:rsid w:val="00E94CB9"/>
    <w:rsid w:val="00E95574"/>
    <w:rsid w:val="00E96678"/>
    <w:rsid w:val="00E97C7A"/>
    <w:rsid w:val="00EA0D55"/>
    <w:rsid w:val="00EA36D6"/>
    <w:rsid w:val="00EA3BBF"/>
    <w:rsid w:val="00EA448C"/>
    <w:rsid w:val="00EA53E5"/>
    <w:rsid w:val="00EA5F9E"/>
    <w:rsid w:val="00EA6503"/>
    <w:rsid w:val="00EB113B"/>
    <w:rsid w:val="00EB12B4"/>
    <w:rsid w:val="00EB5B42"/>
    <w:rsid w:val="00EB7295"/>
    <w:rsid w:val="00EB74B0"/>
    <w:rsid w:val="00EC26A4"/>
    <w:rsid w:val="00EC4028"/>
    <w:rsid w:val="00ED0149"/>
    <w:rsid w:val="00ED2E28"/>
    <w:rsid w:val="00ED2F90"/>
    <w:rsid w:val="00ED6A4A"/>
    <w:rsid w:val="00ED75FC"/>
    <w:rsid w:val="00EE2128"/>
    <w:rsid w:val="00EE4280"/>
    <w:rsid w:val="00EE6692"/>
    <w:rsid w:val="00EF1331"/>
    <w:rsid w:val="00EF1ADB"/>
    <w:rsid w:val="00EF29C5"/>
    <w:rsid w:val="00EF5A2B"/>
    <w:rsid w:val="00F01421"/>
    <w:rsid w:val="00F039C8"/>
    <w:rsid w:val="00F063C2"/>
    <w:rsid w:val="00F06BEF"/>
    <w:rsid w:val="00F0704A"/>
    <w:rsid w:val="00F117E5"/>
    <w:rsid w:val="00F12F83"/>
    <w:rsid w:val="00F12FF5"/>
    <w:rsid w:val="00F166D1"/>
    <w:rsid w:val="00F17F8E"/>
    <w:rsid w:val="00F211E8"/>
    <w:rsid w:val="00F224FE"/>
    <w:rsid w:val="00F2328F"/>
    <w:rsid w:val="00F233B6"/>
    <w:rsid w:val="00F235EE"/>
    <w:rsid w:val="00F2438E"/>
    <w:rsid w:val="00F2440F"/>
    <w:rsid w:val="00F24E1D"/>
    <w:rsid w:val="00F261DA"/>
    <w:rsid w:val="00F26D8F"/>
    <w:rsid w:val="00F26F1B"/>
    <w:rsid w:val="00F31C2F"/>
    <w:rsid w:val="00F32C0B"/>
    <w:rsid w:val="00F377C1"/>
    <w:rsid w:val="00F41FF2"/>
    <w:rsid w:val="00F42B31"/>
    <w:rsid w:val="00F433FF"/>
    <w:rsid w:val="00F43B69"/>
    <w:rsid w:val="00F455EC"/>
    <w:rsid w:val="00F45CAD"/>
    <w:rsid w:val="00F45F61"/>
    <w:rsid w:val="00F47494"/>
    <w:rsid w:val="00F475E8"/>
    <w:rsid w:val="00F476F5"/>
    <w:rsid w:val="00F505C1"/>
    <w:rsid w:val="00F512B3"/>
    <w:rsid w:val="00F51EEE"/>
    <w:rsid w:val="00F54E64"/>
    <w:rsid w:val="00F561DD"/>
    <w:rsid w:val="00F575AF"/>
    <w:rsid w:val="00F6040B"/>
    <w:rsid w:val="00F612A3"/>
    <w:rsid w:val="00F62D4B"/>
    <w:rsid w:val="00F631CA"/>
    <w:rsid w:val="00F65B29"/>
    <w:rsid w:val="00F662EE"/>
    <w:rsid w:val="00F71A11"/>
    <w:rsid w:val="00F71FCC"/>
    <w:rsid w:val="00F720E8"/>
    <w:rsid w:val="00F7253B"/>
    <w:rsid w:val="00F729CD"/>
    <w:rsid w:val="00F729F1"/>
    <w:rsid w:val="00F745B7"/>
    <w:rsid w:val="00F77E1C"/>
    <w:rsid w:val="00F826E6"/>
    <w:rsid w:val="00F83D02"/>
    <w:rsid w:val="00F84B75"/>
    <w:rsid w:val="00F86EF5"/>
    <w:rsid w:val="00F8734B"/>
    <w:rsid w:val="00F87448"/>
    <w:rsid w:val="00F924DA"/>
    <w:rsid w:val="00F9254B"/>
    <w:rsid w:val="00F9347F"/>
    <w:rsid w:val="00F942E3"/>
    <w:rsid w:val="00F944A7"/>
    <w:rsid w:val="00F9472E"/>
    <w:rsid w:val="00F95C08"/>
    <w:rsid w:val="00F97BA6"/>
    <w:rsid w:val="00FA2D45"/>
    <w:rsid w:val="00FA4755"/>
    <w:rsid w:val="00FA67FE"/>
    <w:rsid w:val="00FA6E47"/>
    <w:rsid w:val="00FA7072"/>
    <w:rsid w:val="00FB49D1"/>
    <w:rsid w:val="00FB64B7"/>
    <w:rsid w:val="00FB6F3D"/>
    <w:rsid w:val="00FC57BD"/>
    <w:rsid w:val="00FD24CA"/>
    <w:rsid w:val="00FD53C6"/>
    <w:rsid w:val="00FE1688"/>
    <w:rsid w:val="00FE2592"/>
    <w:rsid w:val="00FE2F61"/>
    <w:rsid w:val="00FE47CD"/>
    <w:rsid w:val="00FE5126"/>
    <w:rsid w:val="00FE75ED"/>
    <w:rsid w:val="00FF14E6"/>
    <w:rsid w:val="00FF1718"/>
    <w:rsid w:val="00FF1B34"/>
    <w:rsid w:val="00FF261B"/>
    <w:rsid w:val="00FF5D10"/>
    <w:rsid w:val="00FF67AC"/>
    <w:rsid w:val="012E59E9"/>
    <w:rsid w:val="01A56A21"/>
    <w:rsid w:val="02A564AB"/>
    <w:rsid w:val="07621C2C"/>
    <w:rsid w:val="0992531D"/>
    <w:rsid w:val="0C3772BC"/>
    <w:rsid w:val="0C7415C3"/>
    <w:rsid w:val="0C8F6A5F"/>
    <w:rsid w:val="0CF26B1F"/>
    <w:rsid w:val="0D3A6AE1"/>
    <w:rsid w:val="0D401C43"/>
    <w:rsid w:val="0D865199"/>
    <w:rsid w:val="0DCE1212"/>
    <w:rsid w:val="0F502321"/>
    <w:rsid w:val="18A057AA"/>
    <w:rsid w:val="1AFD3018"/>
    <w:rsid w:val="1B4A6D75"/>
    <w:rsid w:val="1CA42C54"/>
    <w:rsid w:val="1D8B02FF"/>
    <w:rsid w:val="1DB64FF7"/>
    <w:rsid w:val="1F332CA6"/>
    <w:rsid w:val="1FBE27C5"/>
    <w:rsid w:val="212136FE"/>
    <w:rsid w:val="21246D4B"/>
    <w:rsid w:val="22E83DA8"/>
    <w:rsid w:val="234E00AF"/>
    <w:rsid w:val="23C05EBC"/>
    <w:rsid w:val="26D86B34"/>
    <w:rsid w:val="276176FA"/>
    <w:rsid w:val="29564161"/>
    <w:rsid w:val="2BC76C50"/>
    <w:rsid w:val="2D256324"/>
    <w:rsid w:val="2F794705"/>
    <w:rsid w:val="3216623C"/>
    <w:rsid w:val="335F034F"/>
    <w:rsid w:val="3A923361"/>
    <w:rsid w:val="3B8E0AA1"/>
    <w:rsid w:val="3D50471B"/>
    <w:rsid w:val="3F034114"/>
    <w:rsid w:val="3F383D74"/>
    <w:rsid w:val="3F5E64D8"/>
    <w:rsid w:val="40001D99"/>
    <w:rsid w:val="407A208B"/>
    <w:rsid w:val="42652037"/>
    <w:rsid w:val="42AC04F6"/>
    <w:rsid w:val="440A2C5A"/>
    <w:rsid w:val="441E71D2"/>
    <w:rsid w:val="511D4F82"/>
    <w:rsid w:val="539E5044"/>
    <w:rsid w:val="548E3F00"/>
    <w:rsid w:val="54C016F5"/>
    <w:rsid w:val="55AA6B17"/>
    <w:rsid w:val="572B1EDA"/>
    <w:rsid w:val="58AF754D"/>
    <w:rsid w:val="5E800D5D"/>
    <w:rsid w:val="612D6A24"/>
    <w:rsid w:val="6178150D"/>
    <w:rsid w:val="64876760"/>
    <w:rsid w:val="651639C8"/>
    <w:rsid w:val="68282249"/>
    <w:rsid w:val="690B012A"/>
    <w:rsid w:val="69794D27"/>
    <w:rsid w:val="6B116506"/>
    <w:rsid w:val="6CB70040"/>
    <w:rsid w:val="6F684060"/>
    <w:rsid w:val="72071122"/>
    <w:rsid w:val="72C85252"/>
    <w:rsid w:val="74561EEC"/>
    <w:rsid w:val="74DF4B7F"/>
    <w:rsid w:val="751D0C5C"/>
    <w:rsid w:val="75363ACC"/>
    <w:rsid w:val="756F043C"/>
    <w:rsid w:val="76C75A3E"/>
    <w:rsid w:val="79357018"/>
    <w:rsid w:val="7E151C7B"/>
    <w:rsid w:val="7E6E0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2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26"/>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29"/>
    <w:qFormat/>
    <w:uiPriority w:val="0"/>
    <w:pPr>
      <w:ind w:firstLine="420" w:firstLineChars="200"/>
    </w:pPr>
    <w:rPr>
      <w:rFonts w:ascii="Times New Roman" w:hAnsi="Times New Roman" w:eastAsia="宋体" w:cs="Times New Roman"/>
      <w:szCs w:val="24"/>
    </w:rPr>
  </w:style>
  <w:style w:type="paragraph" w:styleId="6">
    <w:name w:val="Body Text"/>
    <w:basedOn w:val="1"/>
    <w:link w:val="33"/>
    <w:qFormat/>
    <w:uiPriority w:val="99"/>
    <w:pPr>
      <w:spacing w:after="120"/>
    </w:pPr>
    <w:rPr>
      <w:szCs w:val="24"/>
    </w:rPr>
  </w:style>
  <w:style w:type="paragraph" w:styleId="7">
    <w:name w:val="Body Text Indent"/>
    <w:basedOn w:val="1"/>
    <w:link w:val="27"/>
    <w:qFormat/>
    <w:uiPriority w:val="0"/>
    <w:pPr>
      <w:ind w:firstLine="630"/>
    </w:pPr>
    <w:rPr>
      <w:rFonts w:ascii="Times New Roman" w:hAnsi="Times New Roman" w:eastAsia="宋体" w:cs="Times New Roman"/>
      <w:sz w:val="32"/>
      <w:szCs w:val="20"/>
    </w:rPr>
  </w:style>
  <w:style w:type="paragraph" w:styleId="8">
    <w:name w:val="Body Text Indent 2"/>
    <w:basedOn w:val="1"/>
    <w:link w:val="32"/>
    <w:qFormat/>
    <w:uiPriority w:val="0"/>
    <w:pPr>
      <w:spacing w:after="120" w:line="480" w:lineRule="auto"/>
      <w:ind w:left="420" w:leftChars="200"/>
    </w:pPr>
    <w:rPr>
      <w:rFonts w:ascii="Times New Roman" w:hAnsi="Times New Roman" w:eastAsia="宋体" w:cs="Times New Roman"/>
      <w:szCs w:val="24"/>
    </w:rPr>
  </w:style>
  <w:style w:type="paragraph" w:styleId="9">
    <w:name w:val="Balloon Text"/>
    <w:basedOn w:val="1"/>
    <w:link w:val="41"/>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HTML Preformatted"/>
    <w:basedOn w:val="1"/>
    <w:link w:val="3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5">
    <w:name w:val="Table Grid"/>
    <w:basedOn w:val="14"/>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22"/>
    <w:rPr>
      <w:b/>
      <w:bCs/>
    </w:rPr>
  </w:style>
  <w:style w:type="character" w:styleId="18">
    <w:name w:val="page number"/>
    <w:basedOn w:val="16"/>
    <w:qFormat/>
    <w:uiPriority w:val="0"/>
  </w:style>
  <w:style w:type="character" w:styleId="19">
    <w:name w:val="Hyperlink"/>
    <w:unhideWhenUsed/>
    <w:qFormat/>
    <w:uiPriority w:val="99"/>
    <w:rPr>
      <w:color w:val="0000FF"/>
      <w:u w:val="single"/>
    </w:rPr>
  </w:style>
  <w:style w:type="character" w:customStyle="1" w:styleId="20">
    <w:name w:val="标题 2 Char"/>
    <w:basedOn w:val="16"/>
    <w:link w:val="3"/>
    <w:qFormat/>
    <w:uiPriority w:val="9"/>
    <w:rPr>
      <w:rFonts w:ascii="宋体" w:hAnsi="宋体" w:eastAsia="宋体" w:cs="宋体"/>
      <w:b/>
      <w:bCs/>
      <w:kern w:val="0"/>
      <w:sz w:val="36"/>
      <w:szCs w:val="36"/>
    </w:rPr>
  </w:style>
  <w:style w:type="character" w:customStyle="1" w:styleId="21">
    <w:name w:val="apple-converted-space"/>
    <w:basedOn w:val="16"/>
    <w:qFormat/>
    <w:uiPriority w:val="0"/>
  </w:style>
  <w:style w:type="paragraph" w:styleId="22">
    <w:name w:val="List Paragraph"/>
    <w:basedOn w:val="1"/>
    <w:qFormat/>
    <w:uiPriority w:val="99"/>
    <w:pPr>
      <w:ind w:firstLine="420" w:firstLineChars="200"/>
    </w:pPr>
  </w:style>
  <w:style w:type="character" w:customStyle="1" w:styleId="23">
    <w:name w:val="页眉 Char"/>
    <w:basedOn w:val="16"/>
    <w:link w:val="11"/>
    <w:qFormat/>
    <w:uiPriority w:val="99"/>
    <w:rPr>
      <w:sz w:val="18"/>
      <w:szCs w:val="18"/>
    </w:rPr>
  </w:style>
  <w:style w:type="character" w:customStyle="1" w:styleId="24">
    <w:name w:val="页脚 Char"/>
    <w:basedOn w:val="16"/>
    <w:link w:val="10"/>
    <w:qFormat/>
    <w:uiPriority w:val="99"/>
    <w:rPr>
      <w:sz w:val="18"/>
      <w:szCs w:val="18"/>
    </w:rPr>
  </w:style>
  <w:style w:type="character" w:customStyle="1" w:styleId="25">
    <w:name w:val="标题 1 Char"/>
    <w:basedOn w:val="16"/>
    <w:link w:val="2"/>
    <w:qFormat/>
    <w:uiPriority w:val="0"/>
    <w:rPr>
      <w:rFonts w:ascii="Times New Roman" w:hAnsi="Times New Roman" w:eastAsia="宋体" w:cs="Times New Roman"/>
      <w:b/>
      <w:bCs/>
      <w:kern w:val="44"/>
      <w:sz w:val="44"/>
      <w:szCs w:val="44"/>
    </w:rPr>
  </w:style>
  <w:style w:type="character" w:customStyle="1" w:styleId="26">
    <w:name w:val="标题 3 Char"/>
    <w:basedOn w:val="16"/>
    <w:link w:val="4"/>
    <w:qFormat/>
    <w:uiPriority w:val="0"/>
    <w:rPr>
      <w:rFonts w:ascii="Times New Roman" w:hAnsi="Times New Roman" w:eastAsia="宋体" w:cs="Times New Roman"/>
      <w:b/>
      <w:bCs/>
      <w:sz w:val="32"/>
      <w:szCs w:val="32"/>
    </w:rPr>
  </w:style>
  <w:style w:type="character" w:customStyle="1" w:styleId="27">
    <w:name w:val="正文文本缩进 Char"/>
    <w:basedOn w:val="16"/>
    <w:link w:val="7"/>
    <w:qFormat/>
    <w:uiPriority w:val="0"/>
    <w:rPr>
      <w:rFonts w:ascii="Times New Roman" w:hAnsi="Times New Roman" w:eastAsia="宋体" w:cs="Times New Roman"/>
      <w:sz w:val="32"/>
      <w:szCs w:val="20"/>
    </w:rPr>
  </w:style>
  <w:style w:type="paragraph" w:customStyle="1" w:styleId="2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29">
    <w:name w:val="正文缩进 Char"/>
    <w:link w:val="5"/>
    <w:qFormat/>
    <w:uiPriority w:val="0"/>
    <w:rPr>
      <w:rFonts w:ascii="Times New Roman" w:hAnsi="Times New Roman" w:eastAsia="宋体" w:cs="Times New Roman"/>
      <w:szCs w:val="24"/>
    </w:rPr>
  </w:style>
  <w:style w:type="paragraph" w:customStyle="1" w:styleId="30">
    <w:name w:val="Table Paragraph"/>
    <w:basedOn w:val="1"/>
    <w:qFormat/>
    <w:uiPriority w:val="1"/>
    <w:pPr>
      <w:jc w:val="left"/>
    </w:pPr>
    <w:rPr>
      <w:rFonts w:ascii="宋体" w:hAnsi="宋体" w:eastAsia="宋体" w:cs="宋体"/>
      <w:kern w:val="0"/>
      <w:sz w:val="22"/>
      <w:lang w:eastAsia="en-US"/>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2">
    <w:name w:val="正文文本缩进 2 Char"/>
    <w:basedOn w:val="16"/>
    <w:link w:val="8"/>
    <w:qFormat/>
    <w:uiPriority w:val="0"/>
    <w:rPr>
      <w:rFonts w:ascii="Times New Roman" w:hAnsi="Times New Roman" w:eastAsia="宋体" w:cs="Times New Roman"/>
      <w:szCs w:val="24"/>
    </w:rPr>
  </w:style>
  <w:style w:type="character" w:customStyle="1" w:styleId="33">
    <w:name w:val="正文文本 Char"/>
    <w:link w:val="6"/>
    <w:qFormat/>
    <w:locked/>
    <w:uiPriority w:val="99"/>
    <w:rPr>
      <w:szCs w:val="24"/>
    </w:rPr>
  </w:style>
  <w:style w:type="character" w:customStyle="1" w:styleId="34">
    <w:name w:val="正文文本 Char1"/>
    <w:basedOn w:val="16"/>
    <w:semiHidden/>
    <w:qFormat/>
    <w:uiPriority w:val="99"/>
  </w:style>
  <w:style w:type="paragraph" w:customStyle="1" w:styleId="35">
    <w:name w:val="样式 首行缩进:  2 字符"/>
    <w:basedOn w:val="1"/>
    <w:qFormat/>
    <w:uiPriority w:val="0"/>
    <w:pPr>
      <w:spacing w:line="400" w:lineRule="exact"/>
      <w:ind w:firstLine="200" w:firstLineChars="200"/>
    </w:pPr>
    <w:rPr>
      <w:rFonts w:ascii="Times New Roman" w:hAnsi="Times New Roman" w:eastAsia="宋体" w:cs="宋体"/>
      <w:sz w:val="24"/>
      <w:szCs w:val="24"/>
    </w:rPr>
  </w:style>
  <w:style w:type="paragraph" w:customStyle="1" w:styleId="36">
    <w:name w:val="GW-正文"/>
    <w:basedOn w:val="1"/>
    <w:link w:val="37"/>
    <w:qFormat/>
    <w:uiPriority w:val="0"/>
    <w:pPr>
      <w:spacing w:line="360" w:lineRule="auto"/>
      <w:ind w:firstLine="200" w:firstLineChars="200"/>
    </w:pPr>
    <w:rPr>
      <w:rFonts w:ascii="Times New Roman" w:hAnsi="Times New Roman" w:eastAsia="仿宋_GB2312" w:cs="Times New Roman"/>
      <w:sz w:val="24"/>
      <w:szCs w:val="24"/>
    </w:rPr>
  </w:style>
  <w:style w:type="character" w:customStyle="1" w:styleId="37">
    <w:name w:val="GW-正文 Char"/>
    <w:link w:val="36"/>
    <w:qFormat/>
    <w:uiPriority w:val="0"/>
    <w:rPr>
      <w:rFonts w:ascii="Times New Roman" w:hAnsi="Times New Roman" w:eastAsia="仿宋_GB2312" w:cs="Times New Roman"/>
      <w:sz w:val="24"/>
      <w:szCs w:val="24"/>
    </w:rPr>
  </w:style>
  <w:style w:type="paragraph" w:customStyle="1" w:styleId="38">
    <w:name w:val="cjk"/>
    <w:basedOn w:val="1"/>
    <w:qFormat/>
    <w:uiPriority w:val="0"/>
    <w:pPr>
      <w:widowControl/>
      <w:spacing w:before="100" w:beforeAutospacing="1" w:after="119"/>
    </w:pPr>
    <w:rPr>
      <w:rFonts w:ascii="宋体" w:hAnsi="宋体" w:eastAsia="宋体" w:cs="宋体"/>
      <w:kern w:val="0"/>
      <w:sz w:val="20"/>
      <w:szCs w:val="20"/>
    </w:rPr>
  </w:style>
  <w:style w:type="character" w:customStyle="1" w:styleId="39">
    <w:name w:val="HTML 预设格式 Char"/>
    <w:basedOn w:val="16"/>
    <w:link w:val="12"/>
    <w:qFormat/>
    <w:uiPriority w:val="0"/>
    <w:rPr>
      <w:rFonts w:ascii="宋体" w:hAnsi="宋体" w:eastAsia="宋体" w:cs="Times New Roman"/>
      <w:sz w:val="24"/>
      <w:szCs w:val="24"/>
    </w:rPr>
  </w:style>
  <w:style w:type="paragraph" w:customStyle="1" w:styleId="40">
    <w:name w:val="列出段落1"/>
    <w:basedOn w:val="1"/>
    <w:qFormat/>
    <w:uiPriority w:val="34"/>
    <w:pPr>
      <w:ind w:firstLine="420" w:firstLineChars="200"/>
      <w:jc w:val="left"/>
    </w:pPr>
    <w:rPr>
      <w:rFonts w:ascii="宋体" w:hAnsi="宋体" w:eastAsia="宋体" w:cs="宋体"/>
      <w:kern w:val="0"/>
      <w:sz w:val="22"/>
      <w:lang w:eastAsia="en-US"/>
    </w:rPr>
  </w:style>
  <w:style w:type="character" w:customStyle="1" w:styleId="41">
    <w:name w:val="批注框文本 Char"/>
    <w:basedOn w:val="16"/>
    <w:link w:val="9"/>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946CA0A-7F16-4B69-AE5F-95AA89B7859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13819</Words>
  <Characters>14865</Characters>
  <Lines>118</Lines>
  <Paragraphs>33</Paragraphs>
  <TotalTime>6</TotalTime>
  <ScaleCrop>false</ScaleCrop>
  <LinksUpToDate>false</LinksUpToDate>
  <CharactersWithSpaces>15618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2021-09-10T07:53:00Z</dcterms:created>
  <dc:creator>微软用户</dc:creator>
  <cp:lastModifiedBy>余华</cp:lastModifiedBy>
  <cp:lastPrinted>2021-10-21T08:04:00Z</cp:lastPrinted>
  <dcterms:modified xsi:type="dcterms:W3CDTF">2022-07-08T07:19:29Z</dcterms:modified>
  <cp:revision>216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2EFE53C54C0146C4AD1476A0AF6AAAB0</vt:lpwstr>
  </property>
</Properties>
</file>