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E8867C8"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2-2</w:t>
      </w:r>
      <w:r w:rsidR="00FE59D5">
        <w:rPr>
          <w:rFonts w:ascii="宋体" w:hint="eastAsia"/>
          <w:b/>
          <w:sz w:val="28"/>
          <w:szCs w:val="28"/>
        </w:rPr>
        <w:t>6</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0CCCCDFE"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3D516B">
        <w:rPr>
          <w:rFonts w:ascii="宋体" w:hAnsi="宋体" w:hint="eastAsia"/>
          <w:b/>
          <w:sz w:val="36"/>
          <w:szCs w:val="36"/>
          <w:u w:val="single"/>
        </w:rPr>
        <w:t>金刚石</w:t>
      </w:r>
      <w:r w:rsidR="00FE59D5">
        <w:rPr>
          <w:rFonts w:ascii="宋体" w:hAnsi="宋体" w:hint="eastAsia"/>
          <w:b/>
          <w:sz w:val="36"/>
          <w:szCs w:val="36"/>
          <w:u w:val="single"/>
        </w:rPr>
        <w:t>砂轮</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31517569" w14:textId="77777777" w:rsidR="00244603" w:rsidRDefault="00244603" w:rsidP="006209EC">
      <w:pPr>
        <w:spacing w:line="500" w:lineRule="exact"/>
        <w:jc w:val="center"/>
        <w:rPr>
          <w:rFonts w:ascii="黑体" w:eastAsia="黑体" w:hAnsi="黑体" w:hint="eastAsia"/>
          <w:sz w:val="44"/>
          <w:szCs w:val="44"/>
        </w:rPr>
      </w:pPr>
    </w:p>
    <w:p w14:paraId="1D120467" w14:textId="77777777" w:rsidR="00244603" w:rsidRDefault="00244603" w:rsidP="006209EC">
      <w:pPr>
        <w:spacing w:line="500" w:lineRule="exact"/>
        <w:jc w:val="center"/>
        <w:rPr>
          <w:rFonts w:ascii="黑体" w:eastAsia="黑体" w:hAnsi="黑体" w:hint="eastAsia"/>
          <w:sz w:val="44"/>
          <w:szCs w:val="44"/>
        </w:rPr>
      </w:pPr>
    </w:p>
    <w:p w14:paraId="573FB34A" w14:textId="77777777" w:rsidR="00244603" w:rsidRDefault="00244603" w:rsidP="006209EC">
      <w:pPr>
        <w:spacing w:line="500" w:lineRule="exact"/>
        <w:jc w:val="center"/>
        <w:rPr>
          <w:rFonts w:ascii="黑体" w:eastAsia="黑体" w:hAnsi="黑体" w:hint="eastAsia"/>
          <w:sz w:val="44"/>
          <w:szCs w:val="44"/>
        </w:rPr>
      </w:pPr>
    </w:p>
    <w:p w14:paraId="41CE0FD9" w14:textId="77777777" w:rsidR="00244603" w:rsidRDefault="00244603" w:rsidP="006209EC">
      <w:pPr>
        <w:spacing w:line="500" w:lineRule="exact"/>
        <w:jc w:val="center"/>
        <w:rPr>
          <w:rFonts w:ascii="黑体" w:eastAsia="黑体" w:hAnsi="黑体" w:hint="eastAsia"/>
          <w:sz w:val="44"/>
          <w:szCs w:val="44"/>
        </w:rPr>
      </w:pPr>
    </w:p>
    <w:p w14:paraId="1942DC3D" w14:textId="77777777" w:rsidR="00244603" w:rsidRDefault="00244603" w:rsidP="006209EC">
      <w:pPr>
        <w:spacing w:line="500" w:lineRule="exact"/>
        <w:jc w:val="center"/>
        <w:rPr>
          <w:rFonts w:ascii="黑体" w:eastAsia="黑体" w:hAnsi="黑体" w:hint="eastAsia"/>
          <w:sz w:val="44"/>
          <w:szCs w:val="44"/>
        </w:rPr>
      </w:pPr>
    </w:p>
    <w:p w14:paraId="3507D2EC" w14:textId="77777777" w:rsidR="00244603" w:rsidRDefault="00244603"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E9F71DB"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3D516B">
        <w:rPr>
          <w:rFonts w:asciiTheme="minorEastAsia" w:eastAsiaTheme="minorEastAsia" w:hAnsiTheme="minorEastAsia" w:hint="eastAsia"/>
          <w:b/>
          <w:sz w:val="24"/>
          <w:u w:val="single"/>
        </w:rPr>
        <w:t>金刚石</w:t>
      </w:r>
      <w:r w:rsidR="00FE59D5">
        <w:rPr>
          <w:rFonts w:asciiTheme="minorEastAsia" w:eastAsiaTheme="minorEastAsia" w:hAnsiTheme="minorEastAsia" w:hint="eastAsia"/>
          <w:b/>
          <w:sz w:val="24"/>
          <w:u w:val="single"/>
        </w:rPr>
        <w:t>砂轮</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244603">
        <w:rPr>
          <w:rFonts w:asciiTheme="minorEastAsia" w:eastAsiaTheme="minorEastAsia" w:hAnsiTheme="minorEastAsia" w:hint="eastAsia"/>
          <w:sz w:val="24"/>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523A3B84"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3D516B">
        <w:rPr>
          <w:rFonts w:asciiTheme="minorEastAsia" w:eastAsiaTheme="minorEastAsia" w:hAnsiTheme="minorEastAsia" w:hint="eastAsia"/>
          <w:sz w:val="24"/>
        </w:rPr>
        <w:t>金刚石</w:t>
      </w:r>
      <w:r w:rsidR="00FE59D5">
        <w:rPr>
          <w:rFonts w:asciiTheme="minorEastAsia" w:eastAsiaTheme="minorEastAsia" w:hAnsiTheme="minorEastAsia" w:hint="eastAsia"/>
          <w:sz w:val="24"/>
        </w:rPr>
        <w:t>砂轮</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4D7085E9"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244603">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244603">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244603">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3BDC0A3B"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1D7DDE">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244603">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244603">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7C41C508"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244603">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bookmarkStart w:id="0" w:name="_GoBack"/>
      <w:bookmarkEnd w:id="0"/>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248244C0" w14:textId="77777777" w:rsidR="00974C73" w:rsidRDefault="00974C73"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Pr>
          <w:rFonts w:ascii="黑体" w:eastAsia="黑体" w:hAnsi="黑体" w:hint="eastAsia"/>
          <w:sz w:val="44"/>
          <w:szCs w:val="44"/>
        </w:rPr>
        <w:t>（部分）</w:t>
      </w:r>
    </w:p>
    <w:p w14:paraId="43F6919A" w14:textId="09EA1EC0"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Pr>
          <w:rFonts w:ascii="宋体" w:hint="eastAsia"/>
          <w:b/>
          <w:sz w:val="28"/>
          <w:szCs w:val="28"/>
        </w:rPr>
        <w:t>DD</w:t>
      </w:r>
      <w:r w:rsidRPr="004F5114">
        <w:rPr>
          <w:rFonts w:ascii="宋体" w:hint="eastAsia"/>
          <w:b/>
          <w:sz w:val="28"/>
          <w:szCs w:val="28"/>
        </w:rPr>
        <w:t>-202</w:t>
      </w:r>
      <w:r w:rsidR="00FE59D5">
        <w:rPr>
          <w:rFonts w:ascii="宋体" w:hint="eastAsia"/>
          <w:b/>
          <w:sz w:val="28"/>
          <w:szCs w:val="28"/>
        </w:rPr>
        <w:t>2-26</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地址：江苏省丹阳市开发区九曲路2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E76E4B3" w14:textId="23A10AEB"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甲方向乙方开展2022</w:t>
      </w:r>
      <w:r w:rsidR="003D516B">
        <w:rPr>
          <w:rFonts w:asciiTheme="majorEastAsia" w:eastAsiaTheme="majorEastAsia" w:hAnsiTheme="majorEastAsia" w:hint="eastAsia"/>
          <w:sz w:val="24"/>
        </w:rPr>
        <w:t>年度金刚石</w:t>
      </w:r>
      <w:r w:rsidR="00FE59D5">
        <w:rPr>
          <w:rFonts w:asciiTheme="majorEastAsia" w:eastAsiaTheme="majorEastAsia" w:hAnsiTheme="majorEastAsia" w:hint="eastAsia"/>
          <w:sz w:val="24"/>
        </w:rPr>
        <w:t>砂轮</w:t>
      </w:r>
      <w:r w:rsidRPr="0025003F">
        <w:rPr>
          <w:rFonts w:asciiTheme="majorEastAsia" w:eastAsiaTheme="majorEastAsia" w:hAnsiTheme="majorEastAsia" w:hint="eastAsia"/>
          <w:sz w:val="24"/>
        </w:rPr>
        <w:t>定点采购项目，为保证双方权利和义务，特订立本协议（合同），以便共同遵守。</w:t>
      </w:r>
    </w:p>
    <w:p w14:paraId="22307076" w14:textId="4B025032" w:rsidR="0025003F" w:rsidRPr="0025003F" w:rsidRDefault="0025003F" w:rsidP="0025003F">
      <w:pPr>
        <w:spacing w:line="360" w:lineRule="auto"/>
        <w:ind w:firstLineChars="150" w:firstLine="360"/>
        <w:rPr>
          <w:rFonts w:asciiTheme="majorEastAsia" w:eastAsiaTheme="majorEastAsia" w:hAnsiTheme="majorEastAsia"/>
          <w:sz w:val="24"/>
        </w:rPr>
      </w:pPr>
      <w:r w:rsidRPr="0025003F">
        <w:rPr>
          <w:rFonts w:asciiTheme="majorEastAsia" w:eastAsiaTheme="majorEastAsia" w:hAnsiTheme="majorEastAsia" w:hint="eastAsia"/>
          <w:sz w:val="24"/>
        </w:rPr>
        <w:t>采购内容：2022</w:t>
      </w:r>
      <w:r w:rsidR="00FE59D5">
        <w:rPr>
          <w:rFonts w:asciiTheme="majorEastAsia" w:eastAsiaTheme="majorEastAsia" w:hAnsiTheme="majorEastAsia" w:hint="eastAsia"/>
          <w:sz w:val="24"/>
        </w:rPr>
        <w:t>年度金刚石砂轮</w:t>
      </w:r>
      <w:r w:rsidR="003D516B">
        <w:rPr>
          <w:rFonts w:asciiTheme="majorEastAsia" w:eastAsiaTheme="majorEastAsia" w:hAnsiTheme="majorEastAsia" w:hint="eastAsia"/>
          <w:sz w:val="24"/>
        </w:rPr>
        <w:t>片</w:t>
      </w:r>
      <w:r w:rsidRPr="0025003F">
        <w:rPr>
          <w:rFonts w:asciiTheme="majorEastAsia" w:eastAsiaTheme="majorEastAsia" w:hAnsiTheme="majorEastAsia" w:hint="eastAsia"/>
          <w:sz w:val="24"/>
        </w:rPr>
        <w:t>定点采购；</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22730B20"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（1）甲方负责向乙方发出采购订单；</w:t>
      </w:r>
    </w:p>
    <w:p w14:paraId="327E9388"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（2）甲方负责向乙方提供与采购订单的产品的规格、型号及技术要求，包括但不限于工艺技术标准、质量标准等；</w:t>
      </w:r>
    </w:p>
    <w:p w14:paraId="3CEE982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（3）在乙方按甲方要求完成采购订单任务且交付后，经过甲方受入检合格，甲方应按合同约定对乙方进行结算。</w:t>
      </w:r>
    </w:p>
    <w:p w14:paraId="284F0E05" w14:textId="432D8B4C"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7BD99C1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（1）乙方负责按照甲方提供的采购订单要求，按质、按量、按期交货。</w:t>
      </w:r>
    </w:p>
    <w:p w14:paraId="6646537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）乙方对甲方提供的技术、质量文件资料负完全保密责任，不得将相关资料泄露给任何第三方；否则一经查实，甲方有权取消乙方定点供应商资格。</w:t>
      </w:r>
      <w:r w:rsidRPr="0025003F">
        <w:rPr>
          <w:rFonts w:asciiTheme="majorEastAsia" w:eastAsiaTheme="majorEastAsia" w:hAnsiTheme="majorEastAsia"/>
          <w:sz w:val="24"/>
        </w:rPr>
        <w:t xml:space="preserve"> </w:t>
      </w:r>
    </w:p>
    <w:p w14:paraId="32FC8A6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四、产品质量标准：以甲方提供的产品规格、型号及技术要求为准。</w:t>
      </w:r>
    </w:p>
    <w:p w14:paraId="1D5604D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五、验收标准及方法：按照甲方提供的规格、型号、技术要求、质量管理标准执行，若验收不合格并按照以下规定执行：</w:t>
      </w:r>
    </w:p>
    <w:p w14:paraId="0804257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（1）由乙方负责调换或重新制作，并承担由此造成的一切损失。</w:t>
      </w:r>
    </w:p>
    <w:p w14:paraId="221D0D2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）在协议执行过程中若发生</w:t>
      </w:r>
      <w:r w:rsidRPr="0025003F">
        <w:rPr>
          <w:rFonts w:asciiTheme="majorEastAsia" w:eastAsiaTheme="majorEastAsia" w:hAnsiTheme="majorEastAsia"/>
          <w:sz w:val="24"/>
        </w:rPr>
        <w:t>5</w:t>
      </w:r>
      <w:r w:rsidRPr="0025003F">
        <w:rPr>
          <w:rFonts w:asciiTheme="majorEastAsia" w:eastAsiaTheme="majorEastAsia" w:hAnsiTheme="majorEastAsia" w:hint="eastAsia"/>
          <w:sz w:val="24"/>
        </w:rPr>
        <w:t>次以上不合格的，甲方有权解除协议。</w:t>
      </w:r>
    </w:p>
    <w:p w14:paraId="4F8E9EB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六、运输方式：采购的产品由乙方送达甲方公司。运费及运输途中的一切风险由乙方承担。</w:t>
      </w:r>
    </w:p>
    <w:p w14:paraId="2D6B642A"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七、纳期：交货期按照单次采购订单为准，任何一方要求提前或延期的，应当事先与对方达成协议，并按协议执行。</w:t>
      </w:r>
    </w:p>
    <w:p w14:paraId="0BEE740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八、合同期限及费用结算：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4F6BF5F0" w14:textId="77777777" w:rsidR="0025003F" w:rsidRPr="0025003F" w:rsidRDefault="0025003F" w:rsidP="0025003F">
      <w:pPr>
        <w:spacing w:line="460" w:lineRule="exact"/>
        <w:rPr>
          <w:rFonts w:asciiTheme="majorEastAsia" w:eastAsiaTheme="majorEastAsia" w:hAnsiTheme="majorEastAsia"/>
          <w:sz w:val="24"/>
        </w:rPr>
      </w:pPr>
      <w:r w:rsidRPr="0025003F">
        <w:rPr>
          <w:rFonts w:asciiTheme="majorEastAsia" w:eastAsiaTheme="majorEastAsia" w:hAnsiTheme="majorEastAsia" w:hint="eastAsia"/>
          <w:sz w:val="24"/>
        </w:rPr>
        <w:t>（2）结算方式：月结算。上月26日至下月25日作为结算起止日期。</w:t>
      </w:r>
    </w:p>
    <w:p w14:paraId="7BC6D34C" w14:textId="77777777" w:rsidR="0025003F" w:rsidRPr="0025003F" w:rsidRDefault="0025003F" w:rsidP="0025003F">
      <w:pPr>
        <w:spacing w:line="460" w:lineRule="exact"/>
        <w:rPr>
          <w:rFonts w:asciiTheme="majorEastAsia" w:eastAsiaTheme="majorEastAsia" w:hAnsiTheme="majorEastAsia"/>
          <w:color w:val="FF0000"/>
          <w:sz w:val="24"/>
        </w:rPr>
      </w:pPr>
      <w:r w:rsidRPr="0025003F">
        <w:rPr>
          <w:rFonts w:asciiTheme="majorEastAsia" w:eastAsiaTheme="majorEastAsia" w:hAnsiTheme="majorEastAsia" w:hint="eastAsia"/>
          <w:sz w:val="24"/>
        </w:rPr>
        <w:t>（3）结算流程：甲方采购员应在结算截止日后2天内对当月验收合格后的采购产品进行统计，编制结算清单发送给乙方，乙方确认无误后，</w:t>
      </w:r>
      <w:r w:rsidRPr="0025003F">
        <w:rPr>
          <w:rFonts w:asciiTheme="majorEastAsia" w:eastAsiaTheme="majorEastAsia" w:hAnsiTheme="majorEastAsia" w:hint="eastAsia"/>
          <w:color w:val="FF0000"/>
          <w:sz w:val="24"/>
        </w:rPr>
        <w:t>开具增值税专用发票</w:t>
      </w:r>
      <w:r w:rsidRPr="0025003F">
        <w:rPr>
          <w:rFonts w:asciiTheme="majorEastAsia" w:eastAsiaTheme="majorEastAsia" w:hAnsiTheme="majorEastAsia" w:hint="eastAsia"/>
          <w:sz w:val="24"/>
        </w:rPr>
        <w:t>；甲方收到发票后</w:t>
      </w:r>
      <w:r w:rsidRPr="0025003F">
        <w:rPr>
          <w:rFonts w:asciiTheme="majorEastAsia" w:eastAsiaTheme="majorEastAsia" w:hAnsiTheme="majorEastAsia"/>
          <w:sz w:val="24"/>
        </w:rPr>
        <w:t>10</w:t>
      </w:r>
      <w:r w:rsidRPr="0025003F">
        <w:rPr>
          <w:rFonts w:asciiTheme="majorEastAsia" w:eastAsiaTheme="majorEastAsia" w:hAnsiTheme="majorEastAsia" w:hint="eastAsia"/>
          <w:sz w:val="24"/>
        </w:rPr>
        <w:t>日内付款。</w:t>
      </w:r>
      <w:r w:rsidRPr="0025003F">
        <w:rPr>
          <w:rFonts w:asciiTheme="majorEastAsia" w:eastAsiaTheme="majorEastAsia" w:hAnsiTheme="majorEastAsia" w:hint="eastAsia"/>
          <w:color w:val="FF0000"/>
          <w:sz w:val="24"/>
        </w:rPr>
        <w:t>由于乙方开具发票不符合相关法规要求，给甲方造成的涉税损失由乙方全额承担。</w:t>
      </w:r>
    </w:p>
    <w:p w14:paraId="15A5060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九、采购业务内容</w:t>
      </w:r>
    </w:p>
    <w:tbl>
      <w:tblPr>
        <w:tblW w:w="11020" w:type="dxa"/>
        <w:tblInd w:w="-963" w:type="dxa"/>
        <w:tblLook w:val="04A0" w:firstRow="1" w:lastRow="0" w:firstColumn="1" w:lastColumn="0" w:noHBand="0" w:noVBand="1"/>
      </w:tblPr>
      <w:tblGrid>
        <w:gridCol w:w="1600"/>
        <w:gridCol w:w="2100"/>
        <w:gridCol w:w="2620"/>
        <w:gridCol w:w="920"/>
        <w:gridCol w:w="1180"/>
        <w:gridCol w:w="1180"/>
        <w:gridCol w:w="1420"/>
      </w:tblGrid>
      <w:tr w:rsidR="00FE59D5" w:rsidRPr="00FE59D5" w14:paraId="78B0FF0E" w14:textId="77777777" w:rsidTr="00FE59D5">
        <w:trPr>
          <w:trHeight w:val="810"/>
        </w:trPr>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B9C997"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序号</w:t>
            </w:r>
          </w:p>
        </w:tc>
        <w:tc>
          <w:tcPr>
            <w:tcW w:w="2100" w:type="dxa"/>
            <w:tcBorders>
              <w:top w:val="single" w:sz="4" w:space="0" w:color="auto"/>
              <w:left w:val="nil"/>
              <w:bottom w:val="single" w:sz="4" w:space="0" w:color="auto"/>
              <w:right w:val="single" w:sz="4" w:space="0" w:color="auto"/>
            </w:tcBorders>
            <w:shd w:val="clear" w:color="auto" w:fill="auto"/>
            <w:vAlign w:val="center"/>
            <w:hideMark/>
          </w:tcPr>
          <w:p w14:paraId="3B778E75"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物资名称</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74A0E7DB"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型号</w:t>
            </w:r>
          </w:p>
        </w:tc>
        <w:tc>
          <w:tcPr>
            <w:tcW w:w="920" w:type="dxa"/>
            <w:tcBorders>
              <w:top w:val="single" w:sz="4" w:space="0" w:color="auto"/>
              <w:left w:val="nil"/>
              <w:bottom w:val="single" w:sz="4" w:space="0" w:color="auto"/>
              <w:right w:val="single" w:sz="4" w:space="0" w:color="auto"/>
            </w:tcBorders>
            <w:shd w:val="clear" w:color="auto" w:fill="auto"/>
            <w:vAlign w:val="center"/>
            <w:hideMark/>
          </w:tcPr>
          <w:p w14:paraId="5BEBB617"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单位</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7CB58205"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单价</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5A49E8B6"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交付期</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6071615C"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备注</w:t>
            </w:r>
          </w:p>
        </w:tc>
      </w:tr>
      <w:tr w:rsidR="00FE59D5" w:rsidRPr="00FE59D5" w14:paraId="3F0505A0"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3935A6DC"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1</w:t>
            </w:r>
          </w:p>
        </w:tc>
        <w:tc>
          <w:tcPr>
            <w:tcW w:w="2100" w:type="dxa"/>
            <w:tcBorders>
              <w:top w:val="nil"/>
              <w:left w:val="nil"/>
              <w:bottom w:val="single" w:sz="4" w:space="0" w:color="auto"/>
              <w:right w:val="single" w:sz="4" w:space="0" w:color="auto"/>
            </w:tcBorders>
            <w:shd w:val="clear" w:color="auto" w:fill="auto"/>
            <w:vAlign w:val="center"/>
            <w:hideMark/>
          </w:tcPr>
          <w:p w14:paraId="5A4F199E"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2796981E" w14:textId="77777777" w:rsidR="00FE59D5" w:rsidRPr="00FE59D5" w:rsidRDefault="00FE59D5" w:rsidP="00FE59D5">
            <w:pPr>
              <w:widowControl/>
              <w:jc w:val="center"/>
              <w:rPr>
                <w:rFonts w:ascii="Calibri" w:hAnsi="Calibri" w:cs="Calibri"/>
                <w:color w:val="000000"/>
                <w:kern w:val="0"/>
                <w:sz w:val="22"/>
                <w:szCs w:val="22"/>
              </w:rPr>
            </w:pPr>
            <w:r w:rsidRPr="00FE59D5">
              <w:rPr>
                <w:rFonts w:ascii="Calibri" w:hAnsi="Calibri" w:cs="Calibri"/>
                <w:color w:val="000000"/>
                <w:kern w:val="0"/>
                <w:sz w:val="22"/>
                <w:szCs w:val="22"/>
              </w:rPr>
              <w:t xml:space="preserve">150# </w:t>
            </w:r>
            <w:r w:rsidRPr="00FE59D5">
              <w:rPr>
                <w:rFonts w:ascii="宋体" w:hAnsi="宋体" w:cs="Calibri" w:hint="eastAsia"/>
                <w:color w:val="000000"/>
                <w:kern w:val="0"/>
                <w:sz w:val="22"/>
                <w:szCs w:val="22"/>
              </w:rPr>
              <w:t>Ф</w:t>
            </w:r>
            <w:r w:rsidRPr="00FE59D5">
              <w:rPr>
                <w:rFonts w:ascii="Calibri" w:hAnsi="Calibri" w:cs="Calibri"/>
                <w:color w:val="000000"/>
                <w:kern w:val="0"/>
                <w:sz w:val="22"/>
                <w:szCs w:val="22"/>
              </w:rPr>
              <w:t>200*</w:t>
            </w:r>
            <w:r w:rsidRPr="00FE59D5">
              <w:rPr>
                <w:rFonts w:ascii="宋体" w:hAnsi="宋体" w:cs="Calibri" w:hint="eastAsia"/>
                <w:color w:val="000000"/>
                <w:kern w:val="0"/>
                <w:sz w:val="22"/>
                <w:szCs w:val="22"/>
              </w:rPr>
              <w:t>Ф</w:t>
            </w:r>
            <w:r w:rsidRPr="00FE59D5">
              <w:rPr>
                <w:rFonts w:ascii="Calibri"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vAlign w:val="center"/>
            <w:hideMark/>
          </w:tcPr>
          <w:p w14:paraId="575688F2"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片</w:t>
            </w:r>
          </w:p>
        </w:tc>
        <w:tc>
          <w:tcPr>
            <w:tcW w:w="1180" w:type="dxa"/>
            <w:tcBorders>
              <w:top w:val="nil"/>
              <w:left w:val="nil"/>
              <w:bottom w:val="single" w:sz="4" w:space="0" w:color="auto"/>
              <w:right w:val="single" w:sz="4" w:space="0" w:color="auto"/>
            </w:tcBorders>
            <w:shd w:val="clear" w:color="auto" w:fill="auto"/>
            <w:vAlign w:val="center"/>
          </w:tcPr>
          <w:p w14:paraId="2DD081C9" w14:textId="649A9A5A" w:rsidR="00FE59D5" w:rsidRPr="00FE59D5" w:rsidRDefault="00FE59D5" w:rsidP="00FE59D5">
            <w:pPr>
              <w:widowControl/>
              <w:jc w:val="center"/>
              <w:rPr>
                <w:rFonts w:ascii="仿宋_GB2312" w:eastAsia="仿宋_GB2312" w:hAnsi="宋体" w:cs="宋体"/>
                <w:color w:val="000000"/>
                <w:kern w:val="0"/>
                <w:sz w:val="24"/>
              </w:rPr>
            </w:pPr>
          </w:p>
        </w:tc>
        <w:tc>
          <w:tcPr>
            <w:tcW w:w="1180" w:type="dxa"/>
            <w:tcBorders>
              <w:top w:val="nil"/>
              <w:left w:val="nil"/>
              <w:bottom w:val="single" w:sz="4" w:space="0" w:color="auto"/>
              <w:right w:val="single" w:sz="4" w:space="0" w:color="auto"/>
            </w:tcBorders>
            <w:shd w:val="clear" w:color="auto" w:fill="auto"/>
            <w:vAlign w:val="center"/>
            <w:hideMark/>
          </w:tcPr>
          <w:p w14:paraId="330FB5A4"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c>
          <w:tcPr>
            <w:tcW w:w="1420" w:type="dxa"/>
            <w:tcBorders>
              <w:top w:val="nil"/>
              <w:left w:val="nil"/>
              <w:bottom w:val="single" w:sz="4" w:space="0" w:color="auto"/>
              <w:right w:val="single" w:sz="4" w:space="0" w:color="auto"/>
            </w:tcBorders>
            <w:shd w:val="clear" w:color="auto" w:fill="auto"/>
            <w:vAlign w:val="center"/>
            <w:hideMark/>
          </w:tcPr>
          <w:p w14:paraId="7CB82233"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r>
      <w:tr w:rsidR="00FE59D5" w:rsidRPr="00FE59D5" w14:paraId="0792025B"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3EB591C8"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2</w:t>
            </w:r>
          </w:p>
        </w:tc>
        <w:tc>
          <w:tcPr>
            <w:tcW w:w="2100" w:type="dxa"/>
            <w:tcBorders>
              <w:top w:val="nil"/>
              <w:left w:val="nil"/>
              <w:bottom w:val="single" w:sz="4" w:space="0" w:color="auto"/>
              <w:right w:val="single" w:sz="4" w:space="0" w:color="auto"/>
            </w:tcBorders>
            <w:shd w:val="clear" w:color="auto" w:fill="auto"/>
            <w:vAlign w:val="center"/>
            <w:hideMark/>
          </w:tcPr>
          <w:p w14:paraId="56A68A82"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4E1C89CC"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120# </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200*</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vAlign w:val="center"/>
            <w:hideMark/>
          </w:tcPr>
          <w:p w14:paraId="37DF3884"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片</w:t>
            </w:r>
          </w:p>
        </w:tc>
        <w:tc>
          <w:tcPr>
            <w:tcW w:w="1180" w:type="dxa"/>
            <w:tcBorders>
              <w:top w:val="nil"/>
              <w:left w:val="nil"/>
              <w:bottom w:val="single" w:sz="4" w:space="0" w:color="auto"/>
              <w:right w:val="single" w:sz="4" w:space="0" w:color="auto"/>
            </w:tcBorders>
            <w:shd w:val="clear" w:color="auto" w:fill="auto"/>
            <w:vAlign w:val="center"/>
          </w:tcPr>
          <w:p w14:paraId="0987FEE4" w14:textId="1A205606" w:rsidR="00FE59D5" w:rsidRPr="00FE59D5" w:rsidRDefault="00FE59D5" w:rsidP="00FE59D5">
            <w:pPr>
              <w:widowControl/>
              <w:jc w:val="center"/>
              <w:rPr>
                <w:rFonts w:ascii="仿宋_GB2312" w:eastAsia="仿宋_GB2312" w:hAnsi="宋体" w:cs="宋体"/>
                <w:color w:val="000000"/>
                <w:kern w:val="0"/>
                <w:sz w:val="24"/>
              </w:rPr>
            </w:pPr>
          </w:p>
        </w:tc>
        <w:tc>
          <w:tcPr>
            <w:tcW w:w="1180" w:type="dxa"/>
            <w:tcBorders>
              <w:top w:val="nil"/>
              <w:left w:val="nil"/>
              <w:bottom w:val="single" w:sz="4" w:space="0" w:color="auto"/>
              <w:right w:val="single" w:sz="4" w:space="0" w:color="auto"/>
            </w:tcBorders>
            <w:shd w:val="clear" w:color="auto" w:fill="auto"/>
            <w:vAlign w:val="center"/>
            <w:hideMark/>
          </w:tcPr>
          <w:p w14:paraId="414A29A0"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c>
          <w:tcPr>
            <w:tcW w:w="1420" w:type="dxa"/>
            <w:tcBorders>
              <w:top w:val="nil"/>
              <w:left w:val="nil"/>
              <w:bottom w:val="single" w:sz="4" w:space="0" w:color="auto"/>
              <w:right w:val="single" w:sz="4" w:space="0" w:color="auto"/>
            </w:tcBorders>
            <w:shd w:val="clear" w:color="auto" w:fill="auto"/>
            <w:vAlign w:val="center"/>
            <w:hideMark/>
          </w:tcPr>
          <w:p w14:paraId="552BACD3"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r>
      <w:tr w:rsidR="00FE59D5" w:rsidRPr="00FE59D5" w14:paraId="22565228"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noWrap/>
            <w:vAlign w:val="center"/>
            <w:hideMark/>
          </w:tcPr>
          <w:p w14:paraId="07711F86"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3</w:t>
            </w:r>
          </w:p>
        </w:tc>
        <w:tc>
          <w:tcPr>
            <w:tcW w:w="2100" w:type="dxa"/>
            <w:tcBorders>
              <w:top w:val="nil"/>
              <w:left w:val="nil"/>
              <w:bottom w:val="single" w:sz="4" w:space="0" w:color="auto"/>
              <w:right w:val="single" w:sz="4" w:space="0" w:color="auto"/>
            </w:tcBorders>
            <w:shd w:val="clear" w:color="auto" w:fill="auto"/>
            <w:vAlign w:val="center"/>
            <w:hideMark/>
          </w:tcPr>
          <w:p w14:paraId="19D30F94"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51096792" w14:textId="77777777" w:rsidR="00FE59D5" w:rsidRPr="00FE59D5" w:rsidRDefault="00FE59D5" w:rsidP="00FE59D5">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100# </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200*</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noWrap/>
            <w:vAlign w:val="center"/>
            <w:hideMark/>
          </w:tcPr>
          <w:p w14:paraId="70D73ED4"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片</w:t>
            </w:r>
          </w:p>
        </w:tc>
        <w:tc>
          <w:tcPr>
            <w:tcW w:w="1180" w:type="dxa"/>
            <w:tcBorders>
              <w:top w:val="nil"/>
              <w:left w:val="nil"/>
              <w:bottom w:val="single" w:sz="4" w:space="0" w:color="auto"/>
              <w:right w:val="single" w:sz="4" w:space="0" w:color="auto"/>
            </w:tcBorders>
            <w:shd w:val="clear" w:color="auto" w:fill="auto"/>
            <w:noWrap/>
            <w:vAlign w:val="center"/>
            <w:hideMark/>
          </w:tcPr>
          <w:p w14:paraId="0C922F59"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5F2F2533"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14:paraId="2EB2F463" w14:textId="77777777" w:rsidR="00FE59D5" w:rsidRPr="00FE59D5" w:rsidRDefault="00FE59D5" w:rsidP="00FE59D5">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r>
    </w:tbl>
    <w:p w14:paraId="02B992CD"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十一、乙方的违约责任：</w:t>
      </w:r>
    </w:p>
    <w:p w14:paraId="0F0BADE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（1）采购产品必须满足甲方质量，技术要求，未达到要求的，视实际情况承担相应责任；</w:t>
      </w:r>
    </w:p>
    <w:p w14:paraId="4E1A901E"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w:t>
      </w:r>
      <w:r w:rsidRPr="0025003F">
        <w:rPr>
          <w:rFonts w:asciiTheme="majorEastAsia" w:eastAsiaTheme="majorEastAsia" w:hAnsiTheme="majorEastAsia" w:hint="eastAsia"/>
          <w:color w:val="FF0000"/>
          <w:sz w:val="24"/>
        </w:rPr>
        <w:t>逾期交付产品，每逾期一天向甲方偿付该批产品采购费5%的违约金</w:t>
      </w:r>
      <w:r w:rsidRPr="0025003F">
        <w:rPr>
          <w:rFonts w:asciiTheme="majorEastAsia" w:eastAsiaTheme="majorEastAsia" w:hAnsiTheme="majorEastAsia" w:hint="eastAsia"/>
          <w:sz w:val="24"/>
        </w:rPr>
        <w:t>。</w:t>
      </w:r>
    </w:p>
    <w:p w14:paraId="6C17A0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3</w:t>
      </w:r>
      <w:r w:rsidRPr="0025003F">
        <w:rPr>
          <w:rFonts w:asciiTheme="majorEastAsia" w:eastAsiaTheme="majorEastAsia" w:hAnsiTheme="majorEastAsia" w:hint="eastAsia"/>
          <w:sz w:val="24"/>
        </w:rPr>
        <w:t>）乙方不得无故拒绝接收采购订单，否则，由此造成的一切损失由乙方承担。</w:t>
      </w:r>
    </w:p>
    <w:p w14:paraId="617ABA4C" w14:textId="58B95215"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十二、不在以上报价项目内的其他</w:t>
      </w:r>
      <w:r w:rsidR="00ED5F1C">
        <w:rPr>
          <w:rFonts w:asciiTheme="majorEastAsia" w:eastAsiaTheme="majorEastAsia" w:hAnsiTheme="majorEastAsia" w:hint="eastAsia"/>
          <w:sz w:val="24"/>
        </w:rPr>
        <w:t>采购</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十三、本合同如发生纠纷，当事人双方应当及时协商解决，协商不成，由丹阳市人民法院处理。</w:t>
      </w:r>
    </w:p>
    <w:p w14:paraId="7A0C596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十四、本合同未尽事宜，由双方共同协商，作出补充规定，补充规定与本合同具有同等法律效力。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F8C01C4" w14:textId="117309D6" w:rsidR="002D6E27" w:rsidRPr="00FE59D5" w:rsidRDefault="0025003F" w:rsidP="00FE59D5">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092C6904" w14:textId="77777777" w:rsidR="002D6E27" w:rsidRDefault="002D6E27" w:rsidP="00C268BC">
      <w:pPr>
        <w:spacing w:line="540" w:lineRule="exact"/>
        <w:ind w:firstLineChars="500" w:firstLine="2200"/>
        <w:rPr>
          <w:rFonts w:ascii="黑体" w:eastAsia="黑体" w:hAnsi="黑体"/>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75A1A57"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3D516B">
        <w:rPr>
          <w:rFonts w:asciiTheme="minorEastAsia" w:eastAsiaTheme="minorEastAsia" w:hAnsiTheme="minorEastAsia" w:hint="eastAsia"/>
          <w:sz w:val="36"/>
          <w:szCs w:val="36"/>
        </w:rPr>
        <w:t>金刚石</w:t>
      </w:r>
      <w:r w:rsidR="00FE59D5">
        <w:rPr>
          <w:rFonts w:asciiTheme="minorEastAsia" w:eastAsiaTheme="minorEastAsia" w:hAnsiTheme="minorEastAsia" w:hint="eastAsia"/>
          <w:sz w:val="36"/>
          <w:szCs w:val="36"/>
        </w:rPr>
        <w:t>砂轮</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1020" w:type="dxa"/>
        <w:tblInd w:w="-821" w:type="dxa"/>
        <w:tblLook w:val="04A0" w:firstRow="1" w:lastRow="0" w:firstColumn="1" w:lastColumn="0" w:noHBand="0" w:noVBand="1"/>
      </w:tblPr>
      <w:tblGrid>
        <w:gridCol w:w="1600"/>
        <w:gridCol w:w="2100"/>
        <w:gridCol w:w="2620"/>
        <w:gridCol w:w="920"/>
        <w:gridCol w:w="1180"/>
        <w:gridCol w:w="1180"/>
        <w:gridCol w:w="1420"/>
      </w:tblGrid>
      <w:tr w:rsidR="00FE59D5" w:rsidRPr="00FE59D5" w14:paraId="0AD5F19F" w14:textId="77777777" w:rsidTr="00FE59D5">
        <w:trPr>
          <w:trHeight w:val="810"/>
        </w:trPr>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B178CF"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序号</w:t>
            </w:r>
          </w:p>
        </w:tc>
        <w:tc>
          <w:tcPr>
            <w:tcW w:w="2100" w:type="dxa"/>
            <w:tcBorders>
              <w:top w:val="single" w:sz="4" w:space="0" w:color="auto"/>
              <w:left w:val="nil"/>
              <w:bottom w:val="single" w:sz="4" w:space="0" w:color="auto"/>
              <w:right w:val="single" w:sz="4" w:space="0" w:color="auto"/>
            </w:tcBorders>
            <w:shd w:val="clear" w:color="auto" w:fill="auto"/>
            <w:vAlign w:val="center"/>
            <w:hideMark/>
          </w:tcPr>
          <w:p w14:paraId="71748B1E"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物资名称</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1F09E9A6"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型号</w:t>
            </w:r>
          </w:p>
        </w:tc>
        <w:tc>
          <w:tcPr>
            <w:tcW w:w="920" w:type="dxa"/>
            <w:tcBorders>
              <w:top w:val="single" w:sz="4" w:space="0" w:color="auto"/>
              <w:left w:val="nil"/>
              <w:bottom w:val="single" w:sz="4" w:space="0" w:color="auto"/>
              <w:right w:val="single" w:sz="4" w:space="0" w:color="auto"/>
            </w:tcBorders>
            <w:shd w:val="clear" w:color="auto" w:fill="auto"/>
            <w:vAlign w:val="center"/>
            <w:hideMark/>
          </w:tcPr>
          <w:p w14:paraId="5A55406C"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单位</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13955524"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单价</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14:paraId="62EFFAC0"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交付期</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2B738C31"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备注</w:t>
            </w:r>
          </w:p>
        </w:tc>
      </w:tr>
      <w:tr w:rsidR="00FE59D5" w:rsidRPr="00FE59D5" w14:paraId="5C78002D"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4CA30E9E"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1</w:t>
            </w:r>
          </w:p>
        </w:tc>
        <w:tc>
          <w:tcPr>
            <w:tcW w:w="2100" w:type="dxa"/>
            <w:tcBorders>
              <w:top w:val="nil"/>
              <w:left w:val="nil"/>
              <w:bottom w:val="single" w:sz="4" w:space="0" w:color="auto"/>
              <w:right w:val="single" w:sz="4" w:space="0" w:color="auto"/>
            </w:tcBorders>
            <w:shd w:val="clear" w:color="auto" w:fill="auto"/>
            <w:vAlign w:val="center"/>
            <w:hideMark/>
          </w:tcPr>
          <w:p w14:paraId="2674A389"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63B273F7" w14:textId="77777777" w:rsidR="00FE59D5" w:rsidRPr="00FE59D5" w:rsidRDefault="00FE59D5" w:rsidP="007937B4">
            <w:pPr>
              <w:widowControl/>
              <w:jc w:val="center"/>
              <w:rPr>
                <w:rFonts w:ascii="Calibri" w:hAnsi="Calibri" w:cs="Calibri"/>
                <w:color w:val="000000"/>
                <w:kern w:val="0"/>
                <w:sz w:val="22"/>
                <w:szCs w:val="22"/>
              </w:rPr>
            </w:pPr>
            <w:r w:rsidRPr="00FE59D5">
              <w:rPr>
                <w:rFonts w:ascii="Calibri" w:hAnsi="Calibri" w:cs="Calibri"/>
                <w:color w:val="000000"/>
                <w:kern w:val="0"/>
                <w:sz w:val="22"/>
                <w:szCs w:val="22"/>
              </w:rPr>
              <w:t xml:space="preserve">150# </w:t>
            </w:r>
            <w:r w:rsidRPr="00FE59D5">
              <w:rPr>
                <w:rFonts w:ascii="宋体" w:hAnsi="宋体" w:cs="Calibri" w:hint="eastAsia"/>
                <w:color w:val="000000"/>
                <w:kern w:val="0"/>
                <w:sz w:val="22"/>
                <w:szCs w:val="22"/>
              </w:rPr>
              <w:t>Ф</w:t>
            </w:r>
            <w:r w:rsidRPr="00FE59D5">
              <w:rPr>
                <w:rFonts w:ascii="Calibri" w:hAnsi="Calibri" w:cs="Calibri"/>
                <w:color w:val="000000"/>
                <w:kern w:val="0"/>
                <w:sz w:val="22"/>
                <w:szCs w:val="22"/>
              </w:rPr>
              <w:t>200*</w:t>
            </w:r>
            <w:r w:rsidRPr="00FE59D5">
              <w:rPr>
                <w:rFonts w:ascii="宋体" w:hAnsi="宋体" w:cs="Calibri" w:hint="eastAsia"/>
                <w:color w:val="000000"/>
                <w:kern w:val="0"/>
                <w:sz w:val="22"/>
                <w:szCs w:val="22"/>
              </w:rPr>
              <w:t>Ф</w:t>
            </w:r>
            <w:r w:rsidRPr="00FE59D5">
              <w:rPr>
                <w:rFonts w:ascii="Calibri"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vAlign w:val="center"/>
            <w:hideMark/>
          </w:tcPr>
          <w:p w14:paraId="5017C995"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片</w:t>
            </w:r>
          </w:p>
        </w:tc>
        <w:tc>
          <w:tcPr>
            <w:tcW w:w="1180" w:type="dxa"/>
            <w:tcBorders>
              <w:top w:val="nil"/>
              <w:left w:val="nil"/>
              <w:bottom w:val="single" w:sz="4" w:space="0" w:color="auto"/>
              <w:right w:val="single" w:sz="4" w:space="0" w:color="auto"/>
            </w:tcBorders>
            <w:shd w:val="clear" w:color="auto" w:fill="auto"/>
            <w:vAlign w:val="center"/>
          </w:tcPr>
          <w:p w14:paraId="3B9D46D3" w14:textId="77777777" w:rsidR="00FE59D5" w:rsidRPr="00FE59D5" w:rsidRDefault="00FE59D5" w:rsidP="007937B4">
            <w:pPr>
              <w:widowControl/>
              <w:jc w:val="center"/>
              <w:rPr>
                <w:rFonts w:ascii="仿宋_GB2312" w:eastAsia="仿宋_GB2312" w:hAnsi="宋体" w:cs="宋体"/>
                <w:color w:val="000000"/>
                <w:kern w:val="0"/>
                <w:sz w:val="24"/>
              </w:rPr>
            </w:pPr>
          </w:p>
        </w:tc>
        <w:tc>
          <w:tcPr>
            <w:tcW w:w="1180" w:type="dxa"/>
            <w:tcBorders>
              <w:top w:val="nil"/>
              <w:left w:val="nil"/>
              <w:bottom w:val="single" w:sz="4" w:space="0" w:color="auto"/>
              <w:right w:val="single" w:sz="4" w:space="0" w:color="auto"/>
            </w:tcBorders>
            <w:shd w:val="clear" w:color="auto" w:fill="auto"/>
            <w:vAlign w:val="center"/>
            <w:hideMark/>
          </w:tcPr>
          <w:p w14:paraId="1BB2E37F"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c>
          <w:tcPr>
            <w:tcW w:w="1420" w:type="dxa"/>
            <w:tcBorders>
              <w:top w:val="nil"/>
              <w:left w:val="nil"/>
              <w:bottom w:val="single" w:sz="4" w:space="0" w:color="auto"/>
              <w:right w:val="single" w:sz="4" w:space="0" w:color="auto"/>
            </w:tcBorders>
            <w:shd w:val="clear" w:color="auto" w:fill="auto"/>
            <w:vAlign w:val="center"/>
            <w:hideMark/>
          </w:tcPr>
          <w:p w14:paraId="38CE469E"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r>
      <w:tr w:rsidR="00FE59D5" w:rsidRPr="00FE59D5" w14:paraId="4979CC8D"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02ABA3F4"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2</w:t>
            </w:r>
          </w:p>
        </w:tc>
        <w:tc>
          <w:tcPr>
            <w:tcW w:w="2100" w:type="dxa"/>
            <w:tcBorders>
              <w:top w:val="nil"/>
              <w:left w:val="nil"/>
              <w:bottom w:val="single" w:sz="4" w:space="0" w:color="auto"/>
              <w:right w:val="single" w:sz="4" w:space="0" w:color="auto"/>
            </w:tcBorders>
            <w:shd w:val="clear" w:color="auto" w:fill="auto"/>
            <w:vAlign w:val="center"/>
            <w:hideMark/>
          </w:tcPr>
          <w:p w14:paraId="0DBD86CF"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3AE96B66"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120# </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200*</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vAlign w:val="center"/>
            <w:hideMark/>
          </w:tcPr>
          <w:p w14:paraId="27C9FB60"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片</w:t>
            </w:r>
          </w:p>
        </w:tc>
        <w:tc>
          <w:tcPr>
            <w:tcW w:w="1180" w:type="dxa"/>
            <w:tcBorders>
              <w:top w:val="nil"/>
              <w:left w:val="nil"/>
              <w:bottom w:val="single" w:sz="4" w:space="0" w:color="auto"/>
              <w:right w:val="single" w:sz="4" w:space="0" w:color="auto"/>
            </w:tcBorders>
            <w:shd w:val="clear" w:color="auto" w:fill="auto"/>
            <w:vAlign w:val="center"/>
          </w:tcPr>
          <w:p w14:paraId="0ABD6B1E" w14:textId="77777777" w:rsidR="00FE59D5" w:rsidRPr="00FE59D5" w:rsidRDefault="00FE59D5" w:rsidP="007937B4">
            <w:pPr>
              <w:widowControl/>
              <w:jc w:val="center"/>
              <w:rPr>
                <w:rFonts w:ascii="仿宋_GB2312" w:eastAsia="仿宋_GB2312" w:hAnsi="宋体" w:cs="宋体"/>
                <w:color w:val="000000"/>
                <w:kern w:val="0"/>
                <w:sz w:val="24"/>
              </w:rPr>
            </w:pPr>
          </w:p>
        </w:tc>
        <w:tc>
          <w:tcPr>
            <w:tcW w:w="1180" w:type="dxa"/>
            <w:tcBorders>
              <w:top w:val="nil"/>
              <w:left w:val="nil"/>
              <w:bottom w:val="single" w:sz="4" w:space="0" w:color="auto"/>
              <w:right w:val="single" w:sz="4" w:space="0" w:color="auto"/>
            </w:tcBorders>
            <w:shd w:val="clear" w:color="auto" w:fill="auto"/>
            <w:vAlign w:val="center"/>
            <w:hideMark/>
          </w:tcPr>
          <w:p w14:paraId="1FC31E30"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c>
          <w:tcPr>
            <w:tcW w:w="1420" w:type="dxa"/>
            <w:tcBorders>
              <w:top w:val="nil"/>
              <w:left w:val="nil"/>
              <w:bottom w:val="single" w:sz="4" w:space="0" w:color="auto"/>
              <w:right w:val="single" w:sz="4" w:space="0" w:color="auto"/>
            </w:tcBorders>
            <w:shd w:val="clear" w:color="auto" w:fill="auto"/>
            <w:vAlign w:val="center"/>
            <w:hideMark/>
          </w:tcPr>
          <w:p w14:paraId="1B69EB6F"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　</w:t>
            </w:r>
          </w:p>
        </w:tc>
      </w:tr>
      <w:tr w:rsidR="00FE59D5" w:rsidRPr="00FE59D5" w14:paraId="30E2778F" w14:textId="77777777" w:rsidTr="00FE59D5">
        <w:trPr>
          <w:trHeight w:val="810"/>
        </w:trPr>
        <w:tc>
          <w:tcPr>
            <w:tcW w:w="1600" w:type="dxa"/>
            <w:tcBorders>
              <w:top w:val="nil"/>
              <w:left w:val="single" w:sz="4" w:space="0" w:color="auto"/>
              <w:bottom w:val="single" w:sz="4" w:space="0" w:color="auto"/>
              <w:right w:val="single" w:sz="4" w:space="0" w:color="auto"/>
            </w:tcBorders>
            <w:shd w:val="clear" w:color="auto" w:fill="auto"/>
            <w:noWrap/>
            <w:vAlign w:val="center"/>
            <w:hideMark/>
          </w:tcPr>
          <w:p w14:paraId="60A92526"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3</w:t>
            </w:r>
          </w:p>
        </w:tc>
        <w:tc>
          <w:tcPr>
            <w:tcW w:w="2100" w:type="dxa"/>
            <w:tcBorders>
              <w:top w:val="nil"/>
              <w:left w:val="nil"/>
              <w:bottom w:val="single" w:sz="4" w:space="0" w:color="auto"/>
              <w:right w:val="single" w:sz="4" w:space="0" w:color="auto"/>
            </w:tcBorders>
            <w:shd w:val="clear" w:color="auto" w:fill="auto"/>
            <w:vAlign w:val="center"/>
            <w:hideMark/>
          </w:tcPr>
          <w:p w14:paraId="5402FA2C"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金刚石砂轮</w:t>
            </w:r>
          </w:p>
        </w:tc>
        <w:tc>
          <w:tcPr>
            <w:tcW w:w="2620" w:type="dxa"/>
            <w:tcBorders>
              <w:top w:val="nil"/>
              <w:left w:val="nil"/>
              <w:bottom w:val="single" w:sz="4" w:space="0" w:color="auto"/>
              <w:right w:val="single" w:sz="4" w:space="0" w:color="auto"/>
            </w:tcBorders>
            <w:shd w:val="clear" w:color="auto" w:fill="auto"/>
            <w:vAlign w:val="center"/>
            <w:hideMark/>
          </w:tcPr>
          <w:p w14:paraId="11443BE2" w14:textId="77777777" w:rsidR="00FE59D5" w:rsidRPr="00FE59D5" w:rsidRDefault="00FE59D5" w:rsidP="007937B4">
            <w:pPr>
              <w:widowControl/>
              <w:jc w:val="center"/>
              <w:rPr>
                <w:rFonts w:ascii="仿宋_GB2312" w:eastAsia="仿宋_GB2312" w:hAnsi="宋体" w:cs="宋体"/>
                <w:color w:val="000000"/>
                <w:kern w:val="0"/>
                <w:sz w:val="24"/>
              </w:rPr>
            </w:pPr>
            <w:r w:rsidRPr="00FE59D5">
              <w:rPr>
                <w:rFonts w:ascii="仿宋_GB2312" w:eastAsia="仿宋_GB2312" w:hAnsi="宋体" w:cs="宋体" w:hint="eastAsia"/>
                <w:color w:val="000000"/>
                <w:kern w:val="0"/>
                <w:sz w:val="24"/>
              </w:rPr>
              <w:t xml:space="preserve">100# </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200*</w:t>
            </w:r>
            <w:r w:rsidRPr="00FE59D5">
              <w:rPr>
                <w:rFonts w:ascii="宋体" w:hAnsi="宋体" w:cs="宋体" w:hint="eastAsia"/>
                <w:color w:val="000000"/>
                <w:kern w:val="0"/>
                <w:sz w:val="22"/>
                <w:szCs w:val="22"/>
              </w:rPr>
              <w:t>Ф</w:t>
            </w:r>
            <w:r w:rsidRPr="00FE59D5">
              <w:rPr>
                <w:rFonts w:ascii="Calibri" w:eastAsia="仿宋_GB2312" w:hAnsi="Calibri" w:cs="Calibri"/>
                <w:color w:val="000000"/>
                <w:kern w:val="0"/>
                <w:sz w:val="22"/>
                <w:szCs w:val="22"/>
              </w:rPr>
              <w:t>18*20</w:t>
            </w:r>
          </w:p>
        </w:tc>
        <w:tc>
          <w:tcPr>
            <w:tcW w:w="920" w:type="dxa"/>
            <w:tcBorders>
              <w:top w:val="nil"/>
              <w:left w:val="nil"/>
              <w:bottom w:val="single" w:sz="4" w:space="0" w:color="auto"/>
              <w:right w:val="single" w:sz="4" w:space="0" w:color="auto"/>
            </w:tcBorders>
            <w:shd w:val="clear" w:color="auto" w:fill="auto"/>
            <w:noWrap/>
            <w:vAlign w:val="center"/>
            <w:hideMark/>
          </w:tcPr>
          <w:p w14:paraId="01BA1509"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片</w:t>
            </w:r>
          </w:p>
        </w:tc>
        <w:tc>
          <w:tcPr>
            <w:tcW w:w="1180" w:type="dxa"/>
            <w:tcBorders>
              <w:top w:val="nil"/>
              <w:left w:val="nil"/>
              <w:bottom w:val="single" w:sz="4" w:space="0" w:color="auto"/>
              <w:right w:val="single" w:sz="4" w:space="0" w:color="auto"/>
            </w:tcBorders>
            <w:shd w:val="clear" w:color="auto" w:fill="auto"/>
            <w:noWrap/>
            <w:vAlign w:val="center"/>
            <w:hideMark/>
          </w:tcPr>
          <w:p w14:paraId="5AC5BC21"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c>
          <w:tcPr>
            <w:tcW w:w="1180" w:type="dxa"/>
            <w:tcBorders>
              <w:top w:val="nil"/>
              <w:left w:val="nil"/>
              <w:bottom w:val="single" w:sz="4" w:space="0" w:color="auto"/>
              <w:right w:val="single" w:sz="4" w:space="0" w:color="auto"/>
            </w:tcBorders>
            <w:shd w:val="clear" w:color="auto" w:fill="auto"/>
            <w:noWrap/>
            <w:vAlign w:val="center"/>
            <w:hideMark/>
          </w:tcPr>
          <w:p w14:paraId="6ECF313A"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14:paraId="1DA07CDA" w14:textId="77777777" w:rsidR="00FE59D5" w:rsidRPr="00FE59D5" w:rsidRDefault="00FE59D5" w:rsidP="007937B4">
            <w:pPr>
              <w:widowControl/>
              <w:jc w:val="center"/>
              <w:rPr>
                <w:rFonts w:ascii="宋体" w:hAnsi="宋体" w:cs="宋体"/>
                <w:color w:val="000000"/>
                <w:kern w:val="0"/>
                <w:sz w:val="22"/>
                <w:szCs w:val="22"/>
              </w:rPr>
            </w:pPr>
            <w:r w:rsidRPr="00FE59D5">
              <w:rPr>
                <w:rFonts w:ascii="宋体" w:hAnsi="宋体" w:cs="宋体" w:hint="eastAsia"/>
                <w:color w:val="000000"/>
                <w:kern w:val="0"/>
                <w:sz w:val="22"/>
                <w:szCs w:val="22"/>
              </w:rPr>
              <w:t xml:space="preserve">　</w:t>
            </w: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C320D1" w14:textId="77777777" w:rsidR="00C33603" w:rsidRDefault="00C33603" w:rsidP="003072B7">
      <w:r>
        <w:separator/>
      </w:r>
    </w:p>
  </w:endnote>
  <w:endnote w:type="continuationSeparator" w:id="0">
    <w:p w14:paraId="4C88AE95" w14:textId="77777777" w:rsidR="00C33603" w:rsidRDefault="00C3360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C33603" w:rsidRPr="00C33603">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EE792A" w14:textId="77777777" w:rsidR="00C33603" w:rsidRDefault="00C33603" w:rsidP="003072B7">
      <w:r>
        <w:separator/>
      </w:r>
    </w:p>
  </w:footnote>
  <w:footnote w:type="continuationSeparator" w:id="0">
    <w:p w14:paraId="4CCA461E" w14:textId="77777777" w:rsidR="00C33603" w:rsidRDefault="00C3360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DDE"/>
    <w:rsid w:val="001D7F20"/>
    <w:rsid w:val="001E3B8C"/>
    <w:rsid w:val="001F046B"/>
    <w:rsid w:val="001F06CE"/>
    <w:rsid w:val="001F20BA"/>
    <w:rsid w:val="001F558B"/>
    <w:rsid w:val="001F5BA4"/>
    <w:rsid w:val="002068FC"/>
    <w:rsid w:val="002129C6"/>
    <w:rsid w:val="00220690"/>
    <w:rsid w:val="002227A3"/>
    <w:rsid w:val="002232E6"/>
    <w:rsid w:val="00224555"/>
    <w:rsid w:val="00226144"/>
    <w:rsid w:val="002317BD"/>
    <w:rsid w:val="0023226C"/>
    <w:rsid w:val="00241005"/>
    <w:rsid w:val="0024219E"/>
    <w:rsid w:val="002435A5"/>
    <w:rsid w:val="002440BF"/>
    <w:rsid w:val="00244603"/>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7FC"/>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82EC1"/>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74C73"/>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3603"/>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F8FDF2-3835-4368-B582-4AFDB7749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357</TotalTime>
  <Pages>13</Pages>
  <Words>727</Words>
  <Characters>4146</Characters>
  <Application>Microsoft Office Word</Application>
  <DocSecurity>0</DocSecurity>
  <Lines>34</Lines>
  <Paragraphs>9</Paragraphs>
  <ScaleCrop>false</ScaleCrop>
  <Company>CDGMGD</Company>
  <LinksUpToDate>false</LinksUpToDate>
  <CharactersWithSpaces>4864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40</cp:revision>
  <cp:lastPrinted>2016-01-18T07:21:00Z</cp:lastPrinted>
  <dcterms:created xsi:type="dcterms:W3CDTF">2020-04-16T00:23:00Z</dcterms:created>
  <dcterms:modified xsi:type="dcterms:W3CDTF">2022-02-22T03:09:00Z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