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after="300" w:afterAutospacing="0"/>
        <w:ind w:firstLine="562" w:firstLineChars="200"/>
        <w:jc w:val="center"/>
        <w:rPr>
          <w:rFonts w:hint="default" w:ascii="仿宋" w:hAnsi="仿宋" w:eastAsia="仿宋" w:cs="仿宋"/>
          <w:color w:val="3B3B3B"/>
          <w:sz w:val="28"/>
          <w:szCs w:val="28"/>
        </w:rPr>
      </w:pPr>
      <w:bookmarkStart w:id="0" w:name="_GoBack"/>
      <w:r>
        <w:rPr>
          <w:rFonts w:ascii="仿宋" w:hAnsi="仿宋" w:eastAsia="仿宋" w:cs="仿宋"/>
          <w:color w:val="3B3B3B"/>
          <w:sz w:val="28"/>
          <w:szCs w:val="28"/>
        </w:rPr>
        <w:t>南阳光明光电有限公司压型业务能力提升项目可行性研究报告</w:t>
      </w:r>
      <w:bookmarkEnd w:id="0"/>
      <w:r>
        <w:rPr>
          <w:rFonts w:ascii="仿宋" w:hAnsi="仿宋" w:eastAsia="仿宋" w:cs="仿宋"/>
          <w:color w:val="3B3B3B"/>
          <w:sz w:val="28"/>
          <w:szCs w:val="28"/>
        </w:rPr>
        <w:t>调整报告、施工图设计</w:t>
      </w:r>
    </w:p>
    <w:p>
      <w:pPr>
        <w:pStyle w:val="7"/>
        <w:widowControl/>
        <w:spacing w:line="495" w:lineRule="atLeast"/>
        <w:ind w:firstLine="482" w:firstLineChars="200"/>
        <w:jc w:val="center"/>
        <w:rPr>
          <w:rFonts w:ascii="宋体" w:hAnsi="宋体" w:eastAsia="宋体" w:cs="宋体"/>
        </w:rPr>
      </w:pPr>
      <w:r>
        <w:rPr>
          <w:rStyle w:val="10"/>
          <w:rFonts w:hint="eastAsia" w:ascii="宋体" w:hAnsi="宋体" w:eastAsia="宋体" w:cs="宋体"/>
        </w:rPr>
        <w:t>第一部分  询价采购邀请函</w:t>
      </w:r>
    </w:p>
    <w:p>
      <w:pPr>
        <w:pStyle w:val="7"/>
        <w:widowControl/>
        <w:spacing w:line="465" w:lineRule="atLeast"/>
        <w:rPr>
          <w:rFonts w:ascii="宋体" w:hAnsi="宋体" w:eastAsia="宋体" w:cs="宋体"/>
        </w:rPr>
      </w:pPr>
      <w:r>
        <w:rPr>
          <w:rFonts w:hint="eastAsia" w:ascii="宋体" w:hAnsi="宋体" w:eastAsia="宋体" w:cs="宋体"/>
        </w:rPr>
        <w:t>各设计单位：</w:t>
      </w:r>
    </w:p>
    <w:p>
      <w:pPr>
        <w:pStyle w:val="7"/>
        <w:widowControl/>
        <w:ind w:firstLine="480" w:firstLineChars="200"/>
        <w:rPr>
          <w:rFonts w:ascii="宋体" w:hAnsi="宋体" w:eastAsia="宋体" w:cs="宋体"/>
        </w:rPr>
      </w:pPr>
      <w:r>
        <w:rPr>
          <w:rFonts w:hint="eastAsia" w:ascii="宋体" w:hAnsi="宋体" w:eastAsia="宋体" w:cs="宋体"/>
        </w:rPr>
        <w:t>南阳光明光电有限公司就</w:t>
      </w:r>
      <w:r>
        <w:rPr>
          <w:rFonts w:hint="eastAsia" w:ascii="宋体" w:hAnsi="宋体" w:eastAsia="宋体" w:cs="宋体"/>
          <w:u w:val="single"/>
        </w:rPr>
        <w:t>南阳光明光电有限公司压型业务能力提升项目</w:t>
      </w:r>
      <w:r>
        <w:rPr>
          <w:rFonts w:hint="eastAsia" w:ascii="宋体" w:hAnsi="宋体" w:eastAsia="宋体" w:cs="宋体"/>
        </w:rPr>
        <w:t>询价采购，欢迎具备相应资质单位前来报价。</w:t>
      </w:r>
    </w:p>
    <w:p>
      <w:pPr>
        <w:pStyle w:val="7"/>
        <w:widowControl/>
        <w:spacing w:line="465" w:lineRule="atLeast"/>
        <w:ind w:firstLine="482" w:firstLineChars="200"/>
        <w:rPr>
          <w:rFonts w:ascii="宋体" w:hAnsi="宋体" w:eastAsia="宋体" w:cs="宋体"/>
        </w:rPr>
      </w:pPr>
      <w:r>
        <w:rPr>
          <w:rStyle w:val="10"/>
          <w:rFonts w:hint="eastAsia" w:ascii="宋体" w:hAnsi="宋体" w:eastAsia="宋体" w:cs="宋体"/>
        </w:rPr>
        <w:t>一、项目概要</w:t>
      </w:r>
    </w:p>
    <w:p>
      <w:pPr>
        <w:pStyle w:val="7"/>
        <w:widowControl/>
        <w:spacing w:line="465" w:lineRule="atLeast"/>
        <w:ind w:firstLine="480" w:firstLineChars="200"/>
        <w:rPr>
          <w:rFonts w:ascii="宋体" w:hAnsi="宋体" w:eastAsia="宋体" w:cs="宋体"/>
        </w:rPr>
      </w:pPr>
      <w:r>
        <w:rPr>
          <w:rFonts w:hint="eastAsia" w:ascii="宋体" w:hAnsi="宋体" w:eastAsia="宋体" w:cs="宋体"/>
        </w:rPr>
        <w:t>1、邀请人：南阳光明光电有限公司</w:t>
      </w:r>
    </w:p>
    <w:p>
      <w:pPr>
        <w:pStyle w:val="7"/>
        <w:widowControl/>
        <w:spacing w:line="465" w:lineRule="atLeast"/>
        <w:ind w:firstLine="480" w:firstLineChars="200"/>
        <w:rPr>
          <w:rFonts w:ascii="宋体" w:hAnsi="宋体" w:eastAsia="宋体" w:cs="宋体"/>
        </w:rPr>
      </w:pPr>
      <w:r>
        <w:rPr>
          <w:rFonts w:hint="eastAsia" w:ascii="宋体" w:hAnsi="宋体" w:eastAsia="宋体" w:cs="宋体"/>
        </w:rPr>
        <w:t>2、项目名称：</w:t>
      </w:r>
      <w:r>
        <w:rPr>
          <w:rFonts w:hint="eastAsia" w:ascii="宋体" w:hAnsi="宋体" w:eastAsia="宋体" w:cs="宋体"/>
          <w:u w:val="single"/>
        </w:rPr>
        <w:t>南阳光明光电有限公司压型业务能力提升项目</w:t>
      </w:r>
    </w:p>
    <w:p>
      <w:pPr>
        <w:pStyle w:val="7"/>
        <w:widowControl/>
        <w:spacing w:line="465" w:lineRule="atLeast"/>
        <w:ind w:firstLine="480" w:firstLineChars="200"/>
        <w:rPr>
          <w:rFonts w:ascii="宋体" w:hAnsi="宋体" w:eastAsia="宋体" w:cs="宋体"/>
        </w:rPr>
      </w:pPr>
      <w:r>
        <w:rPr>
          <w:rFonts w:hint="eastAsia" w:ascii="宋体" w:hAnsi="宋体" w:eastAsia="宋体" w:cs="宋体"/>
        </w:rPr>
        <w:t>3、项目投资：</w:t>
      </w:r>
      <w:r>
        <w:rPr>
          <w:rFonts w:hint="eastAsia" w:ascii="宋体" w:hAnsi="宋体" w:eastAsia="宋体" w:cs="宋体"/>
          <w:u w:val="single"/>
        </w:rPr>
        <w:t>南阳光明光电有限公司压型业务能力提升项目投资1000万元</w:t>
      </w:r>
      <w:r>
        <w:rPr>
          <w:rFonts w:hint="eastAsia" w:ascii="宋体" w:hAnsi="宋体" w:eastAsia="宋体" w:cs="宋体"/>
        </w:rPr>
        <w:t>（全部为固定资产投资，固定资产投资资金来源：全部由企业自筹。）</w:t>
      </w:r>
    </w:p>
    <w:p>
      <w:pPr>
        <w:pStyle w:val="7"/>
        <w:widowControl/>
        <w:spacing w:line="465" w:lineRule="atLeast"/>
        <w:ind w:firstLine="480" w:firstLineChars="200"/>
        <w:rPr>
          <w:rFonts w:ascii="宋体" w:hAnsi="宋体" w:eastAsia="宋体" w:cs="宋体"/>
        </w:rPr>
      </w:pPr>
      <w:r>
        <w:rPr>
          <w:rFonts w:hint="eastAsia" w:ascii="宋体" w:hAnsi="宋体" w:eastAsia="宋体" w:cs="宋体"/>
        </w:rPr>
        <w:t>4、项目地点：南阳市卧龙区龙升工业园</w:t>
      </w:r>
    </w:p>
    <w:p>
      <w:pPr>
        <w:pStyle w:val="7"/>
        <w:widowControl/>
        <w:spacing w:line="465" w:lineRule="atLeast"/>
        <w:ind w:firstLine="480" w:firstLineChars="200"/>
        <w:rPr>
          <w:rFonts w:ascii="宋体" w:hAnsi="宋体" w:eastAsia="宋体" w:cs="宋体"/>
        </w:rPr>
      </w:pPr>
      <w:r>
        <w:rPr>
          <w:rFonts w:hint="eastAsia" w:ascii="宋体" w:hAnsi="宋体" w:eastAsia="宋体" w:cs="宋体"/>
        </w:rPr>
        <w:t>5、评选方式：综合评选法。</w:t>
      </w:r>
    </w:p>
    <w:p>
      <w:pPr>
        <w:pStyle w:val="7"/>
        <w:widowControl/>
        <w:spacing w:line="465" w:lineRule="atLeast"/>
        <w:ind w:firstLine="482" w:firstLineChars="200"/>
        <w:rPr>
          <w:rFonts w:ascii="宋体" w:hAnsi="宋体" w:eastAsia="宋体" w:cs="宋体"/>
        </w:rPr>
      </w:pPr>
      <w:r>
        <w:rPr>
          <w:rStyle w:val="10"/>
          <w:rFonts w:hint="eastAsia" w:ascii="宋体" w:hAnsi="宋体" w:eastAsia="宋体" w:cs="宋体"/>
        </w:rPr>
        <w:t>二、报价单位资格要求</w:t>
      </w:r>
    </w:p>
    <w:p>
      <w:pPr>
        <w:pStyle w:val="7"/>
        <w:widowControl/>
        <w:spacing w:line="465" w:lineRule="atLeast"/>
        <w:ind w:firstLine="540" w:firstLineChars="200"/>
        <w:rPr>
          <w:rFonts w:ascii="宋体" w:hAnsi="宋体" w:eastAsia="宋体" w:cs="宋体"/>
        </w:rPr>
      </w:pPr>
      <w:r>
        <w:rPr>
          <w:rFonts w:hint="eastAsia" w:ascii="宋体" w:hAnsi="宋体" w:eastAsia="宋体" w:cs="宋体"/>
          <w:spacing w:val="15"/>
        </w:rPr>
        <w:t>参加本次采购活动具备下列条件：</w:t>
      </w:r>
    </w:p>
    <w:p>
      <w:pPr>
        <w:pStyle w:val="7"/>
        <w:widowControl/>
        <w:spacing w:line="465" w:lineRule="atLeast"/>
        <w:ind w:firstLine="540" w:firstLineChars="200"/>
        <w:rPr>
          <w:rFonts w:ascii="宋体" w:hAnsi="宋体" w:eastAsia="宋体" w:cs="宋体"/>
        </w:rPr>
      </w:pPr>
      <w:r>
        <w:rPr>
          <w:rFonts w:hint="eastAsia" w:ascii="宋体" w:hAnsi="宋体" w:eastAsia="宋体" w:cs="宋体"/>
          <w:spacing w:val="15"/>
        </w:rPr>
        <w:t>（一）报价单位须企业财务资信状况良好，具有独立承担民事责任的法人或其他经济组织；</w:t>
      </w:r>
    </w:p>
    <w:p>
      <w:pPr>
        <w:pStyle w:val="7"/>
        <w:widowControl/>
        <w:spacing w:line="465" w:lineRule="atLeast"/>
        <w:ind w:firstLine="540" w:firstLineChars="200"/>
        <w:rPr>
          <w:rFonts w:ascii="宋体" w:hAnsi="宋体" w:eastAsia="宋体" w:cs="宋体"/>
        </w:rPr>
      </w:pPr>
      <w:r>
        <w:rPr>
          <w:rFonts w:hint="eastAsia" w:ascii="宋体" w:hAnsi="宋体" w:eastAsia="宋体" w:cs="宋体"/>
          <w:spacing w:val="15"/>
        </w:rPr>
        <w:t>（二）报价单位必须具备本项目所需建筑工程设计资质乙级或以上，具有建筑工程咨询专业在全国投资在线平台备过案，具有编制安全设施设计专篇、职业卫生设施设计专篇、消防设施设计专篇的能力。并在人员专业配备及设备配置等方面具有相应的设计能力。 </w:t>
      </w:r>
    </w:p>
    <w:p>
      <w:pPr>
        <w:pStyle w:val="7"/>
        <w:widowControl/>
        <w:spacing w:line="465" w:lineRule="atLeast"/>
        <w:ind w:firstLine="482" w:firstLineChars="200"/>
        <w:rPr>
          <w:rFonts w:ascii="宋体" w:hAnsi="宋体" w:eastAsia="宋体" w:cs="宋体"/>
        </w:rPr>
      </w:pPr>
      <w:r>
        <w:rPr>
          <w:rStyle w:val="10"/>
          <w:rFonts w:hint="eastAsia" w:ascii="宋体" w:hAnsi="宋体" w:eastAsia="宋体" w:cs="宋体"/>
        </w:rPr>
        <w:t>三、询价采购公告</w:t>
      </w:r>
    </w:p>
    <w:p>
      <w:pPr>
        <w:pStyle w:val="7"/>
        <w:widowControl/>
        <w:spacing w:line="465" w:lineRule="atLeast"/>
        <w:ind w:firstLine="480" w:firstLineChars="200"/>
        <w:rPr>
          <w:rFonts w:ascii="宋体" w:hAnsi="宋体" w:eastAsia="宋体" w:cs="宋体"/>
        </w:rPr>
      </w:pPr>
      <w:r>
        <w:rPr>
          <w:rFonts w:hint="eastAsia" w:ascii="宋体" w:hAnsi="宋体" w:eastAsia="宋体" w:cs="宋体"/>
          <w:color w:val="000000"/>
        </w:rPr>
        <w:t>公告时间：2022年1月12日—2022年1月21日 。</w:t>
      </w:r>
    </w:p>
    <w:p>
      <w:pPr>
        <w:pStyle w:val="7"/>
        <w:widowControl/>
        <w:spacing w:line="465" w:lineRule="atLeast"/>
        <w:ind w:firstLine="482" w:firstLineChars="200"/>
        <w:rPr>
          <w:rFonts w:ascii="宋体" w:hAnsi="宋体" w:eastAsia="宋体" w:cs="宋体"/>
        </w:rPr>
      </w:pPr>
      <w:r>
        <w:rPr>
          <w:rStyle w:val="10"/>
          <w:rFonts w:hint="eastAsia" w:ascii="宋体" w:hAnsi="宋体" w:eastAsia="宋体" w:cs="宋体"/>
          <w:color w:val="000000"/>
        </w:rPr>
        <w:t>四、报价文件接收信息</w:t>
      </w:r>
    </w:p>
    <w:p>
      <w:pPr>
        <w:pStyle w:val="7"/>
        <w:widowControl/>
        <w:spacing w:line="465" w:lineRule="atLeast"/>
        <w:rPr>
          <w:rFonts w:ascii="宋体" w:hAnsi="宋体" w:eastAsia="宋体" w:cs="宋体"/>
        </w:rPr>
      </w:pPr>
      <w:r>
        <w:rPr>
          <w:rFonts w:hint="eastAsia" w:ascii="宋体" w:hAnsi="宋体" w:eastAsia="宋体" w:cs="宋体"/>
          <w:color w:val="000000"/>
        </w:rPr>
        <w:t>（一）报价文件接收截止时间： 2022年1月</w:t>
      </w:r>
      <w:r>
        <w:rPr>
          <w:rFonts w:hint="eastAsia" w:ascii="宋体" w:hAnsi="宋体" w:eastAsia="宋体" w:cs="宋体"/>
        </w:rPr>
        <w:t>21日17:00。</w:t>
      </w:r>
    </w:p>
    <w:p>
      <w:pPr>
        <w:pStyle w:val="7"/>
        <w:widowControl/>
        <w:spacing w:line="465" w:lineRule="atLeast"/>
        <w:rPr>
          <w:rFonts w:ascii="宋体" w:hAnsi="宋体" w:eastAsia="宋体" w:cs="宋体"/>
        </w:rPr>
      </w:pPr>
      <w:r>
        <w:rPr>
          <w:rFonts w:hint="eastAsia" w:ascii="宋体" w:hAnsi="宋体" w:eastAsia="宋体" w:cs="宋体"/>
        </w:rPr>
        <w:t>（二）报价文件接收地点：河南省南阳市北京路1218号，南阳光明光电有限公司办公室</w:t>
      </w:r>
    </w:p>
    <w:p>
      <w:pPr>
        <w:pStyle w:val="7"/>
        <w:widowControl/>
        <w:spacing w:line="465" w:lineRule="atLeast"/>
        <w:rPr>
          <w:rFonts w:ascii="宋体" w:hAnsi="宋体" w:eastAsia="宋体" w:cs="宋体"/>
          <w:color w:val="0D0D0D"/>
        </w:rPr>
      </w:pPr>
      <w:r>
        <w:rPr>
          <w:rFonts w:hint="eastAsia" w:ascii="宋体" w:hAnsi="宋体" w:eastAsia="宋体" w:cs="宋体"/>
        </w:rPr>
        <w:t xml:space="preserve">（三）报价文件接收人：张冲  </w:t>
      </w:r>
      <w:r>
        <w:rPr>
          <w:rFonts w:hint="eastAsia" w:ascii="宋体" w:hAnsi="宋体" w:eastAsia="宋体" w:cs="宋体"/>
          <w:color w:val="FF0000"/>
        </w:rPr>
        <w:t>       </w:t>
      </w:r>
      <w:r>
        <w:rPr>
          <w:rFonts w:hint="eastAsia" w:ascii="宋体" w:hAnsi="宋体" w:eastAsia="宋体" w:cs="宋体"/>
          <w:color w:val="0D0D0D"/>
        </w:rPr>
        <w:t>联系电话：18637785560</w:t>
      </w:r>
    </w:p>
    <w:p>
      <w:pPr>
        <w:pStyle w:val="7"/>
        <w:widowControl/>
        <w:spacing w:line="465" w:lineRule="atLeast"/>
        <w:rPr>
          <w:rFonts w:hint="default" w:ascii="宋体" w:hAnsi="宋体" w:eastAsia="宋体" w:cs="宋体"/>
          <w:lang w:val="en-US" w:eastAsia="zh-CN"/>
        </w:rPr>
      </w:pPr>
      <w:r>
        <w:rPr>
          <w:rFonts w:hint="eastAsia" w:ascii="宋体" w:hAnsi="宋体" w:eastAsia="宋体" w:cs="宋体"/>
        </w:rPr>
        <w:t>（四）采购单位监督人：吴</w:t>
      </w:r>
      <w:r>
        <w:rPr>
          <w:rFonts w:hint="eastAsia" w:ascii="宋体" w:hAnsi="宋体" w:eastAsia="宋体" w:cs="宋体"/>
          <w:lang w:eastAsia="zh-CN"/>
        </w:rPr>
        <w:t>女士</w:t>
      </w:r>
      <w:r>
        <w:rPr>
          <w:rFonts w:hint="eastAsia" w:ascii="宋体" w:hAnsi="宋体" w:eastAsia="宋体" w:cs="宋体"/>
        </w:rPr>
        <w:t xml:space="preserve">  </w:t>
      </w:r>
      <w:r>
        <w:rPr>
          <w:rFonts w:hint="eastAsia" w:ascii="宋体" w:hAnsi="宋体" w:eastAsia="宋体" w:cs="宋体"/>
          <w:color w:val="FF0000"/>
        </w:rPr>
        <w:t>      </w:t>
      </w:r>
      <w:r>
        <w:rPr>
          <w:rFonts w:hint="eastAsia" w:ascii="宋体" w:hAnsi="宋体" w:eastAsia="宋体" w:cs="宋体"/>
          <w:color w:val="0D0D0D"/>
        </w:rPr>
        <w:t>联系电话：</w:t>
      </w:r>
      <w:r>
        <w:rPr>
          <w:rFonts w:hint="eastAsia" w:ascii="宋体" w:hAnsi="宋体" w:eastAsia="宋体" w:cs="宋体"/>
          <w:color w:val="0D0D0D"/>
          <w:lang w:val="en-US" w:eastAsia="zh-CN"/>
        </w:rPr>
        <w:t>0377-63873679</w:t>
      </w:r>
    </w:p>
    <w:p>
      <w:pPr>
        <w:pStyle w:val="7"/>
        <w:widowControl/>
        <w:spacing w:line="495" w:lineRule="atLeast"/>
        <w:ind w:firstLine="480" w:firstLineChars="200"/>
        <w:jc w:val="center"/>
        <w:rPr>
          <w:rFonts w:ascii="宋体" w:hAnsi="宋体" w:eastAsia="宋体" w:cs="宋体"/>
        </w:rPr>
      </w:pPr>
    </w:p>
    <w:p>
      <w:pPr>
        <w:pStyle w:val="7"/>
        <w:widowControl/>
        <w:spacing w:line="495" w:lineRule="atLeast"/>
        <w:ind w:firstLine="482" w:firstLineChars="200"/>
        <w:jc w:val="center"/>
      </w:pPr>
      <w:r>
        <w:rPr>
          <w:rStyle w:val="10"/>
          <w:rFonts w:hint="eastAsia" w:ascii="宋体" w:hAnsi="宋体" w:eastAsia="宋体" w:cs="宋体"/>
        </w:rPr>
        <w:t>第二部分  投标单位须知</w:t>
      </w:r>
    </w:p>
    <w:p>
      <w:pPr>
        <w:pStyle w:val="7"/>
        <w:widowControl/>
        <w:spacing w:line="495" w:lineRule="atLeast"/>
        <w:ind w:firstLine="482" w:firstLineChars="200"/>
      </w:pPr>
      <w:r>
        <w:rPr>
          <w:rStyle w:val="10"/>
          <w:rFonts w:hint="eastAsia" w:ascii="宋体" w:hAnsi="宋体" w:eastAsia="宋体" w:cs="宋体"/>
        </w:rPr>
        <w:t>1.前附表：</w:t>
      </w:r>
    </w:p>
    <w:tbl>
      <w:tblPr>
        <w:tblStyle w:val="8"/>
        <w:tblW w:w="0" w:type="auto"/>
        <w:tblInd w:w="0" w:type="dxa"/>
        <w:tblLayout w:type="fixed"/>
        <w:tblCellMar>
          <w:top w:w="15" w:type="dxa"/>
          <w:left w:w="15" w:type="dxa"/>
          <w:bottom w:w="15" w:type="dxa"/>
          <w:right w:w="15" w:type="dxa"/>
        </w:tblCellMar>
      </w:tblPr>
      <w:tblGrid>
        <w:gridCol w:w="336"/>
        <w:gridCol w:w="2294"/>
        <w:gridCol w:w="5886"/>
      </w:tblGrid>
      <w:tr>
        <w:tblPrEx>
          <w:tblCellMar>
            <w:top w:w="15" w:type="dxa"/>
            <w:left w:w="15" w:type="dxa"/>
            <w:bottom w:w="15" w:type="dxa"/>
            <w:right w:w="15" w:type="dxa"/>
          </w:tblCellMar>
        </w:tblPrEx>
        <w:trPr>
          <w:trHeight w:val="405" w:hRule="atLeast"/>
        </w:trPr>
        <w:tc>
          <w:tcPr>
            <w:tcW w:w="33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序号</w:t>
            </w:r>
          </w:p>
        </w:tc>
        <w:tc>
          <w:tcPr>
            <w:tcW w:w="8180" w:type="dxa"/>
            <w:gridSpan w:val="2"/>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内容、要求</w:t>
            </w:r>
          </w:p>
        </w:tc>
      </w:tr>
      <w:tr>
        <w:tblPrEx>
          <w:tblCellMar>
            <w:top w:w="15" w:type="dxa"/>
            <w:left w:w="15" w:type="dxa"/>
            <w:bottom w:w="15" w:type="dxa"/>
            <w:right w:w="15" w:type="dxa"/>
          </w:tblCellMar>
        </w:tblPrEx>
        <w:trPr>
          <w:trHeight w:val="493" w:hRule="atLeast"/>
        </w:trPr>
        <w:tc>
          <w:tcPr>
            <w:tcW w:w="33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1</w:t>
            </w:r>
          </w:p>
        </w:tc>
        <w:tc>
          <w:tcPr>
            <w:tcW w:w="2294"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联系人</w:t>
            </w:r>
          </w:p>
        </w:tc>
        <w:tc>
          <w:tcPr>
            <w:tcW w:w="5886"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ind w:firstLine="420" w:firstLineChars="200"/>
            </w:pPr>
            <w:r>
              <w:t>名称：</w:t>
            </w:r>
            <w:r>
              <w:rPr>
                <w:rFonts w:hint="eastAsia"/>
              </w:rPr>
              <w:t>南阳光明光电有限公司</w:t>
            </w:r>
          </w:p>
          <w:p>
            <w:pPr>
              <w:ind w:firstLine="420" w:firstLineChars="200"/>
            </w:pPr>
            <w:r>
              <w:t>地址：河南省南阳市北京路1218号</w:t>
            </w:r>
          </w:p>
          <w:p>
            <w:pPr>
              <w:ind w:firstLine="420" w:firstLineChars="200"/>
            </w:pPr>
            <w:r>
              <w:t>联系人：张</w:t>
            </w:r>
            <w:r>
              <w:rPr>
                <w:rFonts w:hint="eastAsia"/>
              </w:rPr>
              <w:t>先生</w:t>
            </w:r>
          </w:p>
          <w:p>
            <w:pPr>
              <w:ind w:firstLine="420" w:firstLineChars="200"/>
            </w:pPr>
            <w:r>
              <w:rPr>
                <w:rFonts w:hint="eastAsia"/>
              </w:rPr>
              <w:t>电  话：</w:t>
            </w:r>
            <w:r>
              <w:rPr>
                <w:rFonts w:hint="eastAsia" w:ascii="宋体" w:hAnsi="宋体" w:eastAsia="宋体" w:cs="宋体"/>
                <w:color w:val="0D0D0D"/>
                <w:sz w:val="24"/>
              </w:rPr>
              <w:t>18637785560</w:t>
            </w:r>
          </w:p>
        </w:tc>
      </w:tr>
      <w:tr>
        <w:tblPrEx>
          <w:tblCellMar>
            <w:top w:w="15" w:type="dxa"/>
            <w:left w:w="15" w:type="dxa"/>
            <w:bottom w:w="15" w:type="dxa"/>
            <w:right w:w="15" w:type="dxa"/>
          </w:tblCellMar>
        </w:tblPrEx>
        <w:trPr>
          <w:trHeight w:val="345" w:hRule="atLeast"/>
        </w:trPr>
        <w:tc>
          <w:tcPr>
            <w:tcW w:w="33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2</w:t>
            </w:r>
          </w:p>
        </w:tc>
        <w:tc>
          <w:tcPr>
            <w:tcW w:w="2294"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询价采购项目名称</w:t>
            </w:r>
          </w:p>
        </w:tc>
        <w:tc>
          <w:tcPr>
            <w:tcW w:w="5886"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南阳光明光电有限公司压型业务能力提升项目</w:t>
            </w:r>
          </w:p>
        </w:tc>
      </w:tr>
      <w:tr>
        <w:tblPrEx>
          <w:tblCellMar>
            <w:top w:w="15" w:type="dxa"/>
            <w:left w:w="15" w:type="dxa"/>
            <w:bottom w:w="15" w:type="dxa"/>
            <w:right w:w="15" w:type="dxa"/>
          </w:tblCellMar>
        </w:tblPrEx>
        <w:trPr>
          <w:trHeight w:val="90" w:hRule="atLeast"/>
        </w:trPr>
        <w:tc>
          <w:tcPr>
            <w:tcW w:w="33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3</w:t>
            </w:r>
          </w:p>
        </w:tc>
        <w:tc>
          <w:tcPr>
            <w:tcW w:w="2294"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建设地点</w:t>
            </w:r>
          </w:p>
        </w:tc>
        <w:tc>
          <w:tcPr>
            <w:tcW w:w="5886"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t>南阳市卧龙区龙升工业园</w:t>
            </w:r>
            <w:r>
              <w:rPr>
                <w:rFonts w:hint="eastAsia"/>
              </w:rPr>
              <w:t>1</w:t>
            </w:r>
            <w:r>
              <w:t>号厂房</w:t>
            </w:r>
          </w:p>
        </w:tc>
      </w:tr>
      <w:tr>
        <w:tblPrEx>
          <w:tblCellMar>
            <w:top w:w="15" w:type="dxa"/>
            <w:left w:w="15" w:type="dxa"/>
            <w:bottom w:w="15" w:type="dxa"/>
            <w:right w:w="15" w:type="dxa"/>
          </w:tblCellMar>
        </w:tblPrEx>
        <w:trPr>
          <w:trHeight w:val="630" w:hRule="atLeast"/>
        </w:trPr>
        <w:tc>
          <w:tcPr>
            <w:tcW w:w="33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4</w:t>
            </w:r>
          </w:p>
        </w:tc>
        <w:tc>
          <w:tcPr>
            <w:tcW w:w="2294"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资质条件、能力和信誉</w:t>
            </w:r>
          </w:p>
        </w:tc>
        <w:tc>
          <w:tcPr>
            <w:tcW w:w="5886" w:type="dxa"/>
            <w:tcBorders>
              <w:top w:val="nil"/>
              <w:left w:val="nil"/>
              <w:bottom w:val="single" w:color="auto" w:sz="6" w:space="0"/>
              <w:right w:val="single" w:color="auto" w:sz="6" w:space="0"/>
            </w:tcBorders>
            <w:shd w:val="clear" w:color="auto" w:fill="auto"/>
            <w:tcMar>
              <w:top w:w="0" w:type="dxa"/>
              <w:left w:w="105" w:type="dxa"/>
              <w:bottom w:w="0" w:type="dxa"/>
              <w:right w:w="105" w:type="dxa"/>
            </w:tcMar>
          </w:tcPr>
          <w:p>
            <w:pPr>
              <w:ind w:firstLine="420" w:firstLineChars="200"/>
            </w:pPr>
            <w:r>
              <w:t>资质条件：报价单位必须具备本项目所需建筑工程乙级及以上资质，</w:t>
            </w:r>
            <w:r>
              <w:rPr>
                <w:rFonts w:hint="eastAsia"/>
              </w:rPr>
              <w:t>建筑</w:t>
            </w:r>
            <w:r>
              <w:t>工程咨询乙级及以上</w:t>
            </w:r>
            <w:r>
              <w:rPr>
                <w:rFonts w:hint="eastAsia"/>
              </w:rPr>
              <w:t>在全国投资在线平台备过案</w:t>
            </w:r>
            <w:r>
              <w:t>。</w:t>
            </w:r>
          </w:p>
          <w:p>
            <w:pPr>
              <w:ind w:firstLine="210" w:firstLineChars="100"/>
            </w:pPr>
            <w:r>
              <w:t xml:space="preserve">财务要求：报价单位须企业财务资信状况良好，具有独立承担民事责任的法人或其他经济组织   </w:t>
            </w:r>
          </w:p>
        </w:tc>
      </w:tr>
      <w:tr>
        <w:tblPrEx>
          <w:tblCellMar>
            <w:top w:w="15" w:type="dxa"/>
            <w:left w:w="15" w:type="dxa"/>
            <w:bottom w:w="15" w:type="dxa"/>
            <w:right w:w="15" w:type="dxa"/>
          </w:tblCellMar>
        </w:tblPrEx>
        <w:trPr>
          <w:trHeight w:val="225" w:hRule="atLeast"/>
        </w:trPr>
        <w:tc>
          <w:tcPr>
            <w:tcW w:w="33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5</w:t>
            </w:r>
          </w:p>
        </w:tc>
        <w:tc>
          <w:tcPr>
            <w:tcW w:w="2294"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是否接受联合体询价</w:t>
            </w:r>
          </w:p>
        </w:tc>
        <w:tc>
          <w:tcPr>
            <w:tcW w:w="5886"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不接受</w:t>
            </w:r>
          </w:p>
        </w:tc>
      </w:tr>
      <w:tr>
        <w:tblPrEx>
          <w:tblCellMar>
            <w:top w:w="15" w:type="dxa"/>
            <w:left w:w="15" w:type="dxa"/>
            <w:bottom w:w="15" w:type="dxa"/>
            <w:right w:w="15" w:type="dxa"/>
          </w:tblCellMar>
        </w:tblPrEx>
        <w:trPr>
          <w:trHeight w:val="525" w:hRule="atLeast"/>
        </w:trPr>
        <w:tc>
          <w:tcPr>
            <w:tcW w:w="33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6</w:t>
            </w:r>
          </w:p>
        </w:tc>
        <w:tc>
          <w:tcPr>
            <w:tcW w:w="2294"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最高限价</w:t>
            </w:r>
          </w:p>
        </w:tc>
        <w:tc>
          <w:tcPr>
            <w:tcW w:w="5886"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ind w:firstLine="420" w:firstLineChars="200"/>
            </w:pPr>
            <w:r>
              <w:rPr>
                <w:rFonts w:hint="eastAsia"/>
              </w:rPr>
              <w:t>可行性研究报告调整报告（代初步设计）；施工图设计（含初步设计）</w:t>
            </w:r>
          </w:p>
          <w:p>
            <w:pPr>
              <w:ind w:firstLine="420" w:firstLineChars="200"/>
            </w:pPr>
            <w:r>
              <w:rPr>
                <w:rFonts w:hint="eastAsia"/>
              </w:rPr>
              <w:t>合计低于11万元人民币（含税）</w:t>
            </w:r>
          </w:p>
        </w:tc>
      </w:tr>
      <w:tr>
        <w:tblPrEx>
          <w:tblCellMar>
            <w:top w:w="15" w:type="dxa"/>
            <w:left w:w="15" w:type="dxa"/>
            <w:bottom w:w="15" w:type="dxa"/>
            <w:right w:w="15" w:type="dxa"/>
          </w:tblCellMar>
        </w:tblPrEx>
        <w:trPr>
          <w:trHeight w:val="90" w:hRule="atLeast"/>
        </w:trPr>
        <w:tc>
          <w:tcPr>
            <w:tcW w:w="33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7</w:t>
            </w:r>
          </w:p>
        </w:tc>
        <w:tc>
          <w:tcPr>
            <w:tcW w:w="2294"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投标保证金</w:t>
            </w:r>
          </w:p>
        </w:tc>
        <w:tc>
          <w:tcPr>
            <w:tcW w:w="5886"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不收取</w:t>
            </w:r>
          </w:p>
        </w:tc>
      </w:tr>
      <w:tr>
        <w:tblPrEx>
          <w:tblCellMar>
            <w:top w:w="15" w:type="dxa"/>
            <w:left w:w="15" w:type="dxa"/>
            <w:bottom w:w="15" w:type="dxa"/>
            <w:right w:w="15" w:type="dxa"/>
          </w:tblCellMar>
        </w:tblPrEx>
        <w:trPr>
          <w:trHeight w:val="720" w:hRule="atLeast"/>
        </w:trPr>
        <w:tc>
          <w:tcPr>
            <w:tcW w:w="33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8</w:t>
            </w:r>
          </w:p>
        </w:tc>
        <w:tc>
          <w:tcPr>
            <w:tcW w:w="2294"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提出问题的截止时间</w:t>
            </w:r>
          </w:p>
        </w:tc>
        <w:tc>
          <w:tcPr>
            <w:tcW w:w="5886"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答疑：如报价单位对采购文件有疑问，距采购截止日前三天，以书面形式向邀请单位提出。</w:t>
            </w:r>
          </w:p>
        </w:tc>
      </w:tr>
      <w:tr>
        <w:tblPrEx>
          <w:tblCellMar>
            <w:top w:w="15" w:type="dxa"/>
            <w:left w:w="15" w:type="dxa"/>
            <w:bottom w:w="15" w:type="dxa"/>
            <w:right w:w="15" w:type="dxa"/>
          </w:tblCellMar>
        </w:tblPrEx>
        <w:trPr>
          <w:trHeight w:val="435" w:hRule="atLeast"/>
        </w:trPr>
        <w:tc>
          <w:tcPr>
            <w:tcW w:w="33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9</w:t>
            </w:r>
          </w:p>
        </w:tc>
        <w:tc>
          <w:tcPr>
            <w:tcW w:w="2294" w:type="dxa"/>
            <w:tcBorders>
              <w:top w:val="nil"/>
              <w:left w:val="nil"/>
              <w:bottom w:val="single" w:color="auto" w:sz="6" w:space="0"/>
              <w:right w:val="single" w:color="auto" w:sz="6" w:space="0"/>
            </w:tcBorders>
            <w:shd w:val="clear" w:color="auto" w:fill="auto"/>
            <w:tcMar>
              <w:top w:w="0" w:type="dxa"/>
              <w:left w:w="105" w:type="dxa"/>
              <w:bottom w:w="0" w:type="dxa"/>
              <w:right w:w="105" w:type="dxa"/>
            </w:tcMar>
          </w:tcPr>
          <w:p>
            <w:r>
              <w:rPr>
                <w:rFonts w:hint="eastAsia"/>
              </w:rPr>
              <w:t>响应文件签字或盖章要求</w:t>
            </w:r>
          </w:p>
        </w:tc>
        <w:tc>
          <w:tcPr>
            <w:tcW w:w="5886"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响应文件由报价单位的法定代表人或其委托代理人签字或盖单位章。</w:t>
            </w:r>
          </w:p>
        </w:tc>
      </w:tr>
      <w:tr>
        <w:tblPrEx>
          <w:tblCellMar>
            <w:top w:w="15" w:type="dxa"/>
            <w:left w:w="15" w:type="dxa"/>
            <w:bottom w:w="15" w:type="dxa"/>
            <w:right w:w="15" w:type="dxa"/>
          </w:tblCellMar>
        </w:tblPrEx>
        <w:trPr>
          <w:trHeight w:val="435" w:hRule="atLeast"/>
        </w:trPr>
        <w:tc>
          <w:tcPr>
            <w:tcW w:w="33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10</w:t>
            </w:r>
          </w:p>
        </w:tc>
        <w:tc>
          <w:tcPr>
            <w:tcW w:w="2294" w:type="dxa"/>
            <w:tcBorders>
              <w:top w:val="nil"/>
              <w:left w:val="nil"/>
              <w:bottom w:val="single" w:color="auto" w:sz="6" w:space="0"/>
              <w:right w:val="single" w:color="auto" w:sz="6" w:space="0"/>
            </w:tcBorders>
            <w:shd w:val="clear" w:color="auto" w:fill="auto"/>
            <w:tcMar>
              <w:top w:w="0" w:type="dxa"/>
              <w:left w:w="105" w:type="dxa"/>
              <w:bottom w:w="0" w:type="dxa"/>
              <w:right w:w="105" w:type="dxa"/>
            </w:tcMar>
          </w:tcPr>
          <w:p>
            <w:r>
              <w:rPr>
                <w:rFonts w:hint="eastAsia"/>
              </w:rPr>
              <w:t>响应文件装订要求</w:t>
            </w:r>
          </w:p>
        </w:tc>
        <w:tc>
          <w:tcPr>
            <w:tcW w:w="5886"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t>装订牢固，并应编制目录和连续页码（封面和扉页除外）；一式两本，不一致时以正本为准。</w:t>
            </w:r>
          </w:p>
        </w:tc>
      </w:tr>
      <w:tr>
        <w:tblPrEx>
          <w:tblCellMar>
            <w:top w:w="15" w:type="dxa"/>
            <w:left w:w="15" w:type="dxa"/>
            <w:bottom w:w="15" w:type="dxa"/>
            <w:right w:w="15" w:type="dxa"/>
          </w:tblCellMar>
        </w:tblPrEx>
        <w:trPr>
          <w:trHeight w:val="435" w:hRule="atLeast"/>
        </w:trPr>
        <w:tc>
          <w:tcPr>
            <w:tcW w:w="33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11</w:t>
            </w:r>
          </w:p>
        </w:tc>
        <w:tc>
          <w:tcPr>
            <w:tcW w:w="2294"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封套上写明</w:t>
            </w:r>
          </w:p>
        </w:tc>
        <w:tc>
          <w:tcPr>
            <w:tcW w:w="5886"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ind w:firstLine="420" w:firstLineChars="200"/>
            </w:pPr>
            <w:r>
              <w:t>邀请单位地址：河南省南阳市北京路1218号</w:t>
            </w:r>
          </w:p>
          <w:p>
            <w:pPr>
              <w:ind w:firstLine="420" w:firstLineChars="200"/>
            </w:pPr>
            <w:r>
              <w:t>邀请单位名称：</w:t>
            </w:r>
            <w:r>
              <w:rPr>
                <w:rFonts w:hint="eastAsia"/>
              </w:rPr>
              <w:t>南阳光明光电有限公司</w:t>
            </w:r>
          </w:p>
          <w:p>
            <w:pPr>
              <w:ind w:firstLine="420" w:firstLineChars="200"/>
            </w:pPr>
            <w:r>
              <w:rPr>
                <w:rFonts w:hint="eastAsia"/>
              </w:rPr>
              <w:t>南阳光明光电有限公司压型业务能力提升项目可研报告调整报告</w:t>
            </w:r>
            <w:r>
              <w:t>、施工图设计报价文件</w:t>
            </w:r>
          </w:p>
          <w:p>
            <w:pPr>
              <w:ind w:firstLine="420" w:firstLineChars="200"/>
            </w:pPr>
            <w:r>
              <w:rPr>
                <w:rFonts w:hint="eastAsia"/>
              </w:rPr>
              <w:t> 报价文件在比选前保证密封，不得开启</w:t>
            </w:r>
          </w:p>
        </w:tc>
      </w:tr>
      <w:tr>
        <w:tblPrEx>
          <w:tblCellMar>
            <w:top w:w="15" w:type="dxa"/>
            <w:left w:w="15" w:type="dxa"/>
            <w:bottom w:w="15" w:type="dxa"/>
            <w:right w:w="15" w:type="dxa"/>
          </w:tblCellMar>
        </w:tblPrEx>
        <w:trPr>
          <w:trHeight w:val="90" w:hRule="atLeast"/>
        </w:trPr>
        <w:tc>
          <w:tcPr>
            <w:tcW w:w="33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12</w:t>
            </w:r>
          </w:p>
        </w:tc>
        <w:tc>
          <w:tcPr>
            <w:tcW w:w="2294"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询价有效期</w:t>
            </w:r>
          </w:p>
        </w:tc>
        <w:tc>
          <w:tcPr>
            <w:tcW w:w="5886"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有效期  60  天</w:t>
            </w:r>
          </w:p>
        </w:tc>
      </w:tr>
      <w:tr>
        <w:tblPrEx>
          <w:tblCellMar>
            <w:top w:w="15" w:type="dxa"/>
            <w:left w:w="15" w:type="dxa"/>
            <w:bottom w:w="15" w:type="dxa"/>
            <w:right w:w="15" w:type="dxa"/>
          </w:tblCellMar>
        </w:tblPrEx>
        <w:trPr>
          <w:trHeight w:val="90" w:hRule="atLeast"/>
        </w:trPr>
        <w:tc>
          <w:tcPr>
            <w:tcW w:w="33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13</w:t>
            </w:r>
          </w:p>
        </w:tc>
        <w:tc>
          <w:tcPr>
            <w:tcW w:w="2294"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递交报价文件地点</w:t>
            </w:r>
          </w:p>
        </w:tc>
        <w:tc>
          <w:tcPr>
            <w:tcW w:w="5886"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河南省南阳市北京路1218号</w:t>
            </w:r>
          </w:p>
        </w:tc>
      </w:tr>
      <w:tr>
        <w:tblPrEx>
          <w:tblCellMar>
            <w:top w:w="15" w:type="dxa"/>
            <w:left w:w="15" w:type="dxa"/>
            <w:bottom w:w="15" w:type="dxa"/>
            <w:right w:w="15" w:type="dxa"/>
          </w:tblCellMar>
        </w:tblPrEx>
        <w:trPr>
          <w:trHeight w:val="117" w:hRule="atLeast"/>
        </w:trPr>
        <w:tc>
          <w:tcPr>
            <w:tcW w:w="33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14</w:t>
            </w:r>
          </w:p>
        </w:tc>
        <w:tc>
          <w:tcPr>
            <w:tcW w:w="2294"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是否退还报价文件</w:t>
            </w:r>
          </w:p>
        </w:tc>
        <w:tc>
          <w:tcPr>
            <w:tcW w:w="5886"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t>否</w:t>
            </w:r>
          </w:p>
        </w:tc>
      </w:tr>
      <w:tr>
        <w:tblPrEx>
          <w:tblCellMar>
            <w:top w:w="15" w:type="dxa"/>
            <w:left w:w="15" w:type="dxa"/>
            <w:bottom w:w="15" w:type="dxa"/>
            <w:right w:w="15" w:type="dxa"/>
          </w:tblCellMar>
        </w:tblPrEx>
        <w:trPr>
          <w:trHeight w:val="90" w:hRule="atLeast"/>
        </w:trPr>
        <w:tc>
          <w:tcPr>
            <w:tcW w:w="33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15</w:t>
            </w:r>
          </w:p>
        </w:tc>
        <w:tc>
          <w:tcPr>
            <w:tcW w:w="2294"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评审办法</w:t>
            </w:r>
          </w:p>
        </w:tc>
        <w:tc>
          <w:tcPr>
            <w:tcW w:w="5886"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综合评分法</w:t>
            </w:r>
          </w:p>
        </w:tc>
      </w:tr>
    </w:tbl>
    <w:p>
      <w:pPr>
        <w:pStyle w:val="7"/>
        <w:widowControl/>
        <w:numPr>
          <w:ilvl w:val="0"/>
          <w:numId w:val="1"/>
        </w:numPr>
        <w:spacing w:line="360" w:lineRule="auto"/>
        <w:ind w:firstLine="480" w:firstLineChars="200"/>
        <w:rPr>
          <w:rFonts w:ascii="宋体" w:hAnsi="宋体" w:eastAsia="宋体" w:cs="宋体"/>
        </w:rPr>
      </w:pPr>
      <w:r>
        <w:rPr>
          <w:rFonts w:hint="eastAsia" w:ascii="宋体" w:hAnsi="宋体" w:eastAsia="宋体" w:cs="宋体"/>
        </w:rPr>
        <w:t>进行设计、技术咨询的内容、要求和方式：</w:t>
      </w:r>
    </w:p>
    <w:p>
      <w:pPr>
        <w:pStyle w:val="7"/>
        <w:widowControl/>
        <w:spacing w:line="360" w:lineRule="auto"/>
        <w:ind w:left="420" w:leftChars="200"/>
        <w:rPr>
          <w:rFonts w:ascii="宋体" w:hAnsi="宋体" w:eastAsia="宋体" w:cs="宋体"/>
        </w:rPr>
      </w:pPr>
      <w:r>
        <w:rPr>
          <w:rFonts w:hint="eastAsia" w:ascii="宋体" w:hAnsi="宋体" w:eastAsia="宋体" w:cs="宋体"/>
        </w:rPr>
        <w:t>2.1南阳光明光电有限公司压型业务能力提升项目的内容如下:</w:t>
      </w:r>
    </w:p>
    <w:tbl>
      <w:tblPr>
        <w:tblStyle w:val="8"/>
        <w:tblpPr w:leftFromText="180" w:rightFromText="180" w:vertAnchor="text" w:horzAnchor="page" w:tblpX="1797" w:tblpY="727"/>
        <w:tblOverlap w:val="never"/>
        <w:tblW w:w="0" w:type="auto"/>
        <w:tblInd w:w="0" w:type="dxa"/>
        <w:tblLayout w:type="autofit"/>
        <w:tblCellMar>
          <w:top w:w="15" w:type="dxa"/>
          <w:left w:w="15" w:type="dxa"/>
          <w:bottom w:w="15" w:type="dxa"/>
          <w:right w:w="15" w:type="dxa"/>
        </w:tblCellMar>
      </w:tblPr>
      <w:tblGrid>
        <w:gridCol w:w="710"/>
        <w:gridCol w:w="1872"/>
        <w:gridCol w:w="5934"/>
      </w:tblGrid>
      <w:tr>
        <w:tblPrEx>
          <w:tblCellMar>
            <w:top w:w="15" w:type="dxa"/>
            <w:left w:w="15" w:type="dxa"/>
            <w:bottom w:w="15" w:type="dxa"/>
            <w:right w:w="15" w:type="dxa"/>
          </w:tblCellMar>
        </w:tblPrEx>
        <w:trPr>
          <w:trHeight w:val="707" w:hRule="atLeast"/>
        </w:trPr>
        <w:tc>
          <w:tcPr>
            <w:tcW w:w="71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序号</w:t>
            </w:r>
          </w:p>
        </w:tc>
        <w:tc>
          <w:tcPr>
            <w:tcW w:w="1872"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资料及文件名称</w:t>
            </w:r>
          </w:p>
        </w:tc>
        <w:tc>
          <w:tcPr>
            <w:tcW w:w="5934"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主要工作</w:t>
            </w:r>
          </w:p>
        </w:tc>
      </w:tr>
      <w:tr>
        <w:tblPrEx>
          <w:tblCellMar>
            <w:top w:w="15" w:type="dxa"/>
            <w:left w:w="15" w:type="dxa"/>
            <w:bottom w:w="15" w:type="dxa"/>
            <w:right w:w="15" w:type="dxa"/>
          </w:tblCellMar>
        </w:tblPrEx>
        <w:trPr>
          <w:trHeight w:val="90" w:hRule="atLeast"/>
        </w:trPr>
        <w:tc>
          <w:tcPr>
            <w:tcW w:w="71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t>1</w:t>
            </w:r>
          </w:p>
        </w:tc>
        <w:tc>
          <w:tcPr>
            <w:tcW w:w="187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可行研究报告调整报告</w:t>
            </w:r>
          </w:p>
        </w:tc>
        <w:tc>
          <w:tcPr>
            <w:tcW w:w="5934"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（1）执行光明集团固定资产投资项目可行性研究报告深度要求</w:t>
            </w:r>
          </w:p>
        </w:tc>
      </w:tr>
      <w:tr>
        <w:tblPrEx>
          <w:tblCellMar>
            <w:top w:w="15" w:type="dxa"/>
            <w:left w:w="15" w:type="dxa"/>
            <w:bottom w:w="15" w:type="dxa"/>
            <w:right w:w="15" w:type="dxa"/>
          </w:tblCellMar>
        </w:tblPrEx>
        <w:trPr>
          <w:trHeight w:val="1320" w:hRule="atLeast"/>
        </w:trPr>
        <w:tc>
          <w:tcPr>
            <w:tcW w:w="71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t>2</w:t>
            </w:r>
          </w:p>
        </w:tc>
        <w:tc>
          <w:tcPr>
            <w:tcW w:w="187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初步设计</w:t>
            </w:r>
          </w:p>
        </w:tc>
        <w:tc>
          <w:tcPr>
            <w:tcW w:w="5934"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ind w:firstLine="420" w:firstLineChars="200"/>
            </w:pPr>
            <w:r>
              <w:rPr>
                <w:rFonts w:hint="eastAsia"/>
              </w:rPr>
              <w:t>（1）执行光明集团固定资产投资项目初步设计深度要求</w:t>
            </w:r>
          </w:p>
          <w:p>
            <w:pPr>
              <w:ind w:firstLine="420" w:firstLineChars="200"/>
            </w:pPr>
            <w:r>
              <w:rPr>
                <w:rFonts w:hint="eastAsia"/>
              </w:rPr>
              <w:t>（2）工程概算</w:t>
            </w:r>
          </w:p>
          <w:p>
            <w:pPr>
              <w:ind w:firstLine="420" w:firstLineChars="200"/>
            </w:pPr>
            <w:r>
              <w:rPr>
                <w:rFonts w:hint="eastAsia"/>
              </w:rPr>
              <w:t>（3）技术指标分析</w:t>
            </w:r>
          </w:p>
          <w:p>
            <w:pPr>
              <w:ind w:firstLine="420" w:firstLineChars="200"/>
            </w:pPr>
            <w:r>
              <w:rPr>
                <w:rFonts w:hint="eastAsia"/>
              </w:rPr>
              <w:t>（4）配合建设单位完成相关工作所需资料</w:t>
            </w:r>
          </w:p>
          <w:p>
            <w:pPr>
              <w:ind w:firstLine="420" w:firstLineChars="200"/>
            </w:pPr>
            <w:r>
              <w:rPr>
                <w:rFonts w:hint="eastAsia"/>
              </w:rPr>
              <w:t> *该项内容以可研代初设、施工图设计代初步设计形式体现</w:t>
            </w:r>
          </w:p>
        </w:tc>
      </w:tr>
      <w:tr>
        <w:tblPrEx>
          <w:tblCellMar>
            <w:top w:w="15" w:type="dxa"/>
            <w:left w:w="15" w:type="dxa"/>
            <w:bottom w:w="15" w:type="dxa"/>
            <w:right w:w="15" w:type="dxa"/>
          </w:tblCellMar>
        </w:tblPrEx>
        <w:trPr>
          <w:trHeight w:val="795" w:hRule="atLeast"/>
        </w:trPr>
        <w:tc>
          <w:tcPr>
            <w:tcW w:w="71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3</w:t>
            </w:r>
          </w:p>
        </w:tc>
        <w:tc>
          <w:tcPr>
            <w:tcW w:w="1872"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施工图设计</w:t>
            </w:r>
          </w:p>
        </w:tc>
        <w:tc>
          <w:tcPr>
            <w:tcW w:w="5934"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ind w:firstLine="420" w:firstLineChars="200"/>
            </w:pPr>
            <w:r>
              <w:rPr>
                <w:rFonts w:hint="eastAsia"/>
              </w:rPr>
              <w:t>（1）负责完成本项目基建改造部分的工艺系统、管道布置、暖通气动、电气、仪表、照明、给排水（含消防）、配电房以及与工艺装置配套建筑、结构等专业施工图设计。</w:t>
            </w:r>
          </w:p>
          <w:p>
            <w:pPr>
              <w:ind w:firstLine="420" w:firstLineChars="200"/>
            </w:pPr>
            <w:r>
              <w:rPr>
                <w:rFonts w:hint="eastAsia"/>
              </w:rPr>
              <w:t>（2）工程量清单及招标控制价</w:t>
            </w:r>
          </w:p>
          <w:p>
            <w:pPr>
              <w:ind w:firstLine="420" w:firstLineChars="200"/>
            </w:pPr>
            <w:r>
              <w:rPr>
                <w:rFonts w:hint="eastAsia"/>
              </w:rPr>
              <w:t>（3）施工图符合国家、地方及行业相关标准、规范</w:t>
            </w:r>
          </w:p>
          <w:p>
            <w:pPr>
              <w:ind w:firstLine="420" w:firstLineChars="200"/>
            </w:pPr>
            <w:r>
              <w:rPr>
                <w:rFonts w:hint="eastAsia"/>
              </w:rPr>
              <w:t>（4）配合我公司完成改造工程报建工作</w:t>
            </w:r>
          </w:p>
          <w:p>
            <w:pPr>
              <w:ind w:firstLine="420" w:firstLineChars="200"/>
            </w:pPr>
            <w:r>
              <w:rPr>
                <w:rFonts w:hint="eastAsia"/>
              </w:rPr>
              <w:t> *该项内容待我公司取得项目批复后，签订合同实施</w:t>
            </w:r>
          </w:p>
        </w:tc>
      </w:tr>
    </w:tbl>
    <w:p>
      <w:pPr>
        <w:pStyle w:val="7"/>
        <w:widowControl/>
        <w:spacing w:line="465" w:lineRule="atLeast"/>
        <w:ind w:firstLine="480" w:firstLineChars="200"/>
      </w:pPr>
      <w:r>
        <w:rPr>
          <w:rFonts w:hint="eastAsia" w:ascii="宋体" w:hAnsi="宋体" w:eastAsia="宋体" w:cs="宋体"/>
        </w:rPr>
        <w:t>2.2.咨询要求：</w:t>
      </w:r>
      <w:r>
        <w:rPr>
          <w:rFonts w:hint="eastAsia" w:ascii="宋体" w:hAnsi="宋体" w:eastAsia="宋体" w:cs="宋体"/>
          <w:u w:val="single"/>
        </w:rPr>
        <w:t>按照相关法律法规、规范和要求进行服务</w:t>
      </w:r>
    </w:p>
    <w:p>
      <w:pPr>
        <w:pStyle w:val="7"/>
        <w:widowControl/>
        <w:spacing w:line="465" w:lineRule="atLeast"/>
        <w:ind w:firstLine="480" w:firstLineChars="200"/>
      </w:pPr>
      <w:r>
        <w:rPr>
          <w:rFonts w:hint="eastAsia" w:ascii="宋体" w:hAnsi="宋体" w:eastAsia="宋体" w:cs="宋体"/>
        </w:rPr>
        <w:t>2.3.按合同规定进度提供上级有关规定深度的施工设计文件和图纸资料，并对设计质量负责。</w:t>
      </w:r>
    </w:p>
    <w:p>
      <w:pPr>
        <w:pStyle w:val="7"/>
        <w:widowControl/>
        <w:spacing w:line="465" w:lineRule="atLeast"/>
        <w:ind w:firstLine="480" w:firstLineChars="200"/>
      </w:pPr>
      <w:r>
        <w:rPr>
          <w:rFonts w:hint="eastAsia" w:ascii="宋体" w:hAnsi="宋体" w:eastAsia="宋体" w:cs="宋体"/>
        </w:rPr>
        <w:t>2.4.对承包的设计进行设计技术交底，解决施工中的设计问题，参加工程相关阶段验收及资料签收。</w:t>
      </w:r>
    </w:p>
    <w:p>
      <w:pPr>
        <w:pStyle w:val="7"/>
        <w:widowControl/>
        <w:spacing w:line="465" w:lineRule="atLeast"/>
        <w:ind w:firstLine="480" w:firstLineChars="200"/>
      </w:pPr>
      <w:r>
        <w:rPr>
          <w:rFonts w:hint="eastAsia" w:ascii="宋体" w:hAnsi="宋体" w:eastAsia="宋体" w:cs="宋体"/>
        </w:rPr>
        <w:t>三、中选人必须对报价文件负全责；在中选后10个工作日内与邀请方签订合同，并在规定时间内完成。</w:t>
      </w:r>
    </w:p>
    <w:p>
      <w:pPr>
        <w:pStyle w:val="7"/>
        <w:widowControl/>
        <w:spacing w:line="465" w:lineRule="atLeast"/>
        <w:ind w:firstLine="480" w:firstLineChars="200"/>
        <w:rPr>
          <w:rFonts w:ascii="宋体" w:hAnsi="宋体" w:eastAsia="宋体" w:cs="宋体"/>
        </w:rPr>
      </w:pPr>
      <w:r>
        <w:rPr>
          <w:rFonts w:hint="eastAsia" w:ascii="宋体" w:hAnsi="宋体" w:eastAsia="宋体" w:cs="宋体"/>
        </w:rPr>
        <w:t>四、各报价单位填列的单价和总价以人民币元为单位，可研报告调整报告编制、施工图设计分项报价，每个分项报价含税费。</w:t>
      </w:r>
    </w:p>
    <w:p>
      <w:pPr>
        <w:pStyle w:val="7"/>
        <w:widowControl/>
        <w:spacing w:line="465" w:lineRule="atLeast"/>
        <w:ind w:firstLine="480" w:firstLineChars="200"/>
      </w:pPr>
      <w:r>
        <w:rPr>
          <w:rFonts w:hint="eastAsia" w:ascii="宋体" w:hAnsi="宋体" w:eastAsia="宋体" w:cs="宋体"/>
        </w:rPr>
        <w:t>只能有一个报价，不接受有选择的报价。</w:t>
      </w:r>
    </w:p>
    <w:p>
      <w:pPr>
        <w:pStyle w:val="7"/>
        <w:widowControl/>
        <w:spacing w:line="465" w:lineRule="atLeast"/>
        <w:ind w:firstLine="482" w:firstLineChars="200"/>
      </w:pPr>
      <w:r>
        <w:rPr>
          <w:rStyle w:val="10"/>
          <w:rFonts w:hint="eastAsia" w:ascii="宋体" w:hAnsi="宋体" w:eastAsia="宋体" w:cs="宋体"/>
        </w:rPr>
        <w:t> </w:t>
      </w:r>
      <w:r>
        <w:rPr>
          <w:rFonts w:hint="eastAsia" w:ascii="宋体" w:hAnsi="宋体" w:eastAsia="宋体" w:cs="宋体"/>
        </w:rPr>
        <w:t>五、报价文件应包括：</w:t>
      </w:r>
    </w:p>
    <w:p>
      <w:pPr>
        <w:pStyle w:val="7"/>
        <w:widowControl/>
        <w:spacing w:line="465" w:lineRule="atLeast"/>
        <w:ind w:firstLine="480" w:firstLineChars="200"/>
      </w:pPr>
      <w:r>
        <w:rPr>
          <w:rFonts w:hint="eastAsia" w:ascii="宋体" w:hAnsi="宋体" w:eastAsia="宋体" w:cs="宋体"/>
        </w:rPr>
        <w:t>（一）法人代表授权委托书原件（附件一）；</w:t>
      </w:r>
    </w:p>
    <w:p>
      <w:pPr>
        <w:pStyle w:val="7"/>
        <w:widowControl/>
        <w:spacing w:line="465" w:lineRule="atLeast"/>
        <w:ind w:firstLine="480" w:firstLineChars="200"/>
      </w:pPr>
      <w:r>
        <w:rPr>
          <w:rFonts w:hint="eastAsia" w:ascii="宋体" w:hAnsi="宋体" w:eastAsia="宋体" w:cs="宋体"/>
        </w:rPr>
        <w:t>（二）报价一览表（附件二）；</w:t>
      </w:r>
    </w:p>
    <w:p>
      <w:pPr>
        <w:pStyle w:val="7"/>
        <w:widowControl/>
        <w:spacing w:line="465" w:lineRule="atLeast"/>
        <w:ind w:firstLine="480" w:firstLineChars="200"/>
      </w:pPr>
      <w:r>
        <w:rPr>
          <w:rFonts w:hint="eastAsia" w:ascii="宋体" w:hAnsi="宋体" w:eastAsia="宋体" w:cs="宋体"/>
        </w:rPr>
        <w:t>（三）经过年检的营业执照复印件，加盖公章；</w:t>
      </w:r>
    </w:p>
    <w:p>
      <w:pPr>
        <w:pStyle w:val="7"/>
        <w:widowControl/>
        <w:spacing w:line="465" w:lineRule="atLeast"/>
        <w:ind w:firstLine="480" w:firstLineChars="200"/>
        <w:rPr>
          <w:rFonts w:ascii="宋体" w:hAnsi="宋体" w:eastAsia="宋体" w:cs="宋体"/>
        </w:rPr>
      </w:pPr>
      <w:r>
        <w:rPr>
          <w:rFonts w:ascii="宋体" w:hAnsi="宋体" w:eastAsia="宋体" w:cs="宋体"/>
        </w:rPr>
        <w:t>（四）资质证书（建筑工程设计资质、咨询资质证书并加盖公章）</w:t>
      </w:r>
    </w:p>
    <w:p>
      <w:pPr>
        <w:pStyle w:val="7"/>
        <w:widowControl/>
        <w:spacing w:line="465" w:lineRule="atLeast"/>
        <w:ind w:firstLine="480" w:firstLineChars="200"/>
      </w:pPr>
      <w:r>
        <w:rPr>
          <w:rFonts w:hint="eastAsia" w:ascii="宋体" w:hAnsi="宋体" w:eastAsia="宋体" w:cs="宋体"/>
        </w:rPr>
        <w:t>（五）本单位过往业绩证明资料，项目名称及项目投资额内容不得遮挡或涂改。</w:t>
      </w:r>
    </w:p>
    <w:p>
      <w:pPr>
        <w:pStyle w:val="7"/>
        <w:widowControl/>
        <w:spacing w:line="465" w:lineRule="atLeast"/>
        <w:ind w:firstLine="480" w:firstLineChars="200"/>
      </w:pPr>
      <w:r>
        <w:rPr>
          <w:rFonts w:hint="eastAsia" w:ascii="宋体" w:hAnsi="宋体" w:eastAsia="宋体" w:cs="宋体"/>
        </w:rPr>
        <w:t>（六）相关服务承诺（书面材料，格式自定）；</w:t>
      </w:r>
    </w:p>
    <w:p>
      <w:pPr>
        <w:pStyle w:val="7"/>
        <w:widowControl/>
        <w:spacing w:line="465" w:lineRule="atLeast"/>
        <w:ind w:firstLine="480" w:firstLineChars="200"/>
      </w:pPr>
      <w:r>
        <w:rPr>
          <w:rFonts w:hint="eastAsia" w:ascii="宋体" w:hAnsi="宋体" w:eastAsia="宋体" w:cs="宋体"/>
        </w:rPr>
        <w:t>注：</w:t>
      </w:r>
      <w:r>
        <w:rPr>
          <w:rFonts w:hint="eastAsia" w:ascii="宋体" w:hAnsi="宋体" w:eastAsia="宋体" w:cs="宋体"/>
          <w:u w:val="single"/>
        </w:rPr>
        <w:t>以上材料须加盖单位公章（原件备查），供应商应将报价文件按上述顺序装订成册</w:t>
      </w:r>
      <w:r>
        <w:rPr>
          <w:rFonts w:hint="eastAsia" w:ascii="宋体" w:hAnsi="宋体" w:eastAsia="宋体" w:cs="宋体"/>
        </w:rPr>
        <w:t>。</w:t>
      </w:r>
    </w:p>
    <w:p>
      <w:pPr>
        <w:pStyle w:val="7"/>
        <w:widowControl/>
        <w:spacing w:line="465" w:lineRule="atLeast"/>
        <w:ind w:firstLine="480" w:firstLineChars="200"/>
      </w:pPr>
      <w:r>
        <w:rPr>
          <w:rFonts w:hint="eastAsia" w:ascii="宋体" w:hAnsi="宋体" w:eastAsia="宋体" w:cs="宋体"/>
          <w:u w:val="single"/>
        </w:rPr>
        <w:t>供应商在递交询价报价文件时，必须是密封完好的，密封件正面应标明单位名称，并在封口处加盖单位公章。</w:t>
      </w:r>
    </w:p>
    <w:p>
      <w:pPr>
        <w:pStyle w:val="7"/>
        <w:widowControl/>
        <w:spacing w:line="465" w:lineRule="atLeast"/>
        <w:ind w:firstLine="480" w:firstLineChars="200"/>
      </w:pPr>
      <w:r>
        <w:rPr>
          <w:rFonts w:hint="eastAsia" w:ascii="宋体" w:hAnsi="宋体" w:eastAsia="宋体" w:cs="宋体"/>
        </w:rPr>
        <w:t>六、报价文件接受截止时间及地点</w:t>
      </w:r>
    </w:p>
    <w:p>
      <w:pPr>
        <w:pStyle w:val="7"/>
        <w:widowControl/>
        <w:spacing w:line="465" w:lineRule="atLeast"/>
        <w:ind w:firstLine="480" w:firstLineChars="200"/>
        <w:rPr>
          <w:rFonts w:ascii="宋体" w:hAnsi="宋体" w:eastAsia="宋体" w:cs="宋体"/>
        </w:rPr>
      </w:pPr>
      <w:r>
        <w:rPr>
          <w:rFonts w:hint="eastAsia" w:ascii="宋体" w:hAnsi="宋体" w:eastAsia="宋体" w:cs="宋体"/>
        </w:rPr>
        <w:t>（一）询价文件接收截止时间：</w:t>
      </w:r>
      <w:r>
        <w:rPr>
          <w:rFonts w:hint="eastAsia" w:ascii="宋体" w:hAnsi="宋体" w:eastAsia="宋体" w:cs="宋体"/>
          <w:u w:val="single"/>
        </w:rPr>
        <w:t>2022年1月21</w:t>
      </w:r>
      <w:r>
        <w:rPr>
          <w:rFonts w:hint="eastAsia" w:ascii="宋体" w:hAnsi="宋体" w:eastAsia="宋体" w:cs="宋体"/>
        </w:rPr>
        <w:t>日</w:t>
      </w:r>
      <w:r>
        <w:rPr>
          <w:rFonts w:hint="eastAsia" w:ascii="宋体" w:hAnsi="宋体" w:eastAsia="宋体" w:cs="宋体"/>
          <w:color w:val="000000"/>
          <w:u w:val="single"/>
        </w:rPr>
        <w:t>17</w:t>
      </w:r>
      <w:r>
        <w:rPr>
          <w:rFonts w:hint="eastAsia" w:ascii="宋体" w:hAnsi="宋体" w:eastAsia="宋体" w:cs="宋体"/>
        </w:rPr>
        <w:t>时，截止时间后，将拒绝接收新的报价文件。</w:t>
      </w:r>
    </w:p>
    <w:p>
      <w:pPr>
        <w:pStyle w:val="7"/>
        <w:widowControl/>
        <w:spacing w:line="465" w:lineRule="atLeast"/>
        <w:ind w:firstLine="480" w:firstLineChars="200"/>
      </w:pPr>
      <w:r>
        <w:rPr>
          <w:rFonts w:hint="eastAsia" w:ascii="宋体" w:hAnsi="宋体" w:eastAsia="宋体" w:cs="宋体"/>
        </w:rPr>
        <w:t>（二）投送地点：南阳光明光电有限公司财务部</w:t>
      </w:r>
    </w:p>
    <w:p>
      <w:pPr>
        <w:pStyle w:val="7"/>
        <w:widowControl/>
        <w:spacing w:line="465" w:lineRule="atLeast"/>
        <w:ind w:firstLine="480" w:firstLineChars="200"/>
      </w:pPr>
      <w:r>
        <w:rPr>
          <w:rFonts w:hint="eastAsia" w:ascii="宋体" w:hAnsi="宋体" w:eastAsia="宋体" w:cs="宋体"/>
        </w:rPr>
        <w:t>七、下列情况将被视为无效报价文件：</w:t>
      </w:r>
    </w:p>
    <w:p>
      <w:pPr>
        <w:pStyle w:val="7"/>
        <w:widowControl/>
        <w:spacing w:line="465" w:lineRule="atLeast"/>
        <w:ind w:firstLine="480" w:firstLineChars="200"/>
      </w:pPr>
      <w:r>
        <w:rPr>
          <w:rFonts w:hint="eastAsia" w:ascii="宋体" w:hAnsi="宋体" w:eastAsia="宋体" w:cs="宋体"/>
        </w:rPr>
        <w:t>（一）报价文件未在规定时间内送达指定地点；</w:t>
      </w:r>
    </w:p>
    <w:p>
      <w:pPr>
        <w:pStyle w:val="7"/>
        <w:widowControl/>
        <w:spacing w:line="465" w:lineRule="atLeast"/>
        <w:ind w:firstLine="480" w:firstLineChars="200"/>
      </w:pPr>
      <w:r>
        <w:rPr>
          <w:rFonts w:hint="eastAsia" w:ascii="宋体" w:hAnsi="宋体" w:eastAsia="宋体" w:cs="宋体"/>
        </w:rPr>
        <w:t>（二）未按照规定提供授权书原件的，为无效报价；</w:t>
      </w:r>
    </w:p>
    <w:p>
      <w:pPr>
        <w:pStyle w:val="7"/>
        <w:widowControl/>
        <w:spacing w:line="465" w:lineRule="atLeast"/>
        <w:ind w:firstLine="480" w:firstLineChars="200"/>
      </w:pPr>
      <w:r>
        <w:rPr>
          <w:rFonts w:hint="eastAsia" w:ascii="宋体" w:hAnsi="宋体" w:eastAsia="宋体" w:cs="宋体"/>
        </w:rPr>
        <w:t>（三）报价文件中的各项内容填列不完整和有遮挡涂改现象的，报价单位公章和代表签字不齐的；</w:t>
      </w:r>
    </w:p>
    <w:p>
      <w:pPr>
        <w:pStyle w:val="7"/>
        <w:widowControl/>
        <w:spacing w:line="465" w:lineRule="atLeast"/>
        <w:ind w:firstLine="480" w:firstLineChars="200"/>
      </w:pPr>
      <w:r>
        <w:rPr>
          <w:rFonts w:hint="eastAsia" w:ascii="宋体" w:hAnsi="宋体" w:eastAsia="宋体" w:cs="宋体"/>
        </w:rPr>
        <w:t>（四）报价材料密封不合要求的；</w:t>
      </w:r>
    </w:p>
    <w:p>
      <w:pPr>
        <w:pStyle w:val="7"/>
        <w:widowControl/>
        <w:spacing w:line="465" w:lineRule="atLeast"/>
        <w:ind w:firstLine="480" w:firstLineChars="200"/>
      </w:pPr>
      <w:r>
        <w:rPr>
          <w:rFonts w:hint="eastAsia" w:ascii="宋体" w:hAnsi="宋体" w:eastAsia="宋体" w:cs="宋体"/>
        </w:rPr>
        <w:t>（五）法律、法规规定的其他情况。</w:t>
      </w:r>
    </w:p>
    <w:p>
      <w:pPr>
        <w:pStyle w:val="7"/>
        <w:widowControl/>
        <w:spacing w:line="465" w:lineRule="atLeast"/>
        <w:ind w:firstLine="480" w:firstLineChars="200"/>
      </w:pPr>
      <w:r>
        <w:rPr>
          <w:rFonts w:hint="eastAsia" w:ascii="宋体" w:hAnsi="宋体" w:eastAsia="宋体" w:cs="宋体"/>
        </w:rPr>
        <w:t>八、询价采购评审过程的保密性：报价后，直至向中标单位授予合同时止，凡与审查、澄清、评价和比较报价文件有关的资料以及授予合同的意见等，均不得向报价单位及与询价采购无关的其他人透露。</w:t>
      </w:r>
    </w:p>
    <w:p>
      <w:pPr>
        <w:pStyle w:val="7"/>
        <w:widowControl/>
        <w:spacing w:line="465" w:lineRule="atLeast"/>
        <w:ind w:firstLine="480" w:firstLineChars="200"/>
      </w:pPr>
      <w:r>
        <w:rPr>
          <w:rFonts w:hint="eastAsia" w:ascii="宋体" w:hAnsi="宋体" w:eastAsia="宋体" w:cs="宋体"/>
        </w:rPr>
        <w:t>九.报价文件的评审</w:t>
      </w:r>
    </w:p>
    <w:p>
      <w:pPr>
        <w:pStyle w:val="7"/>
        <w:widowControl/>
        <w:spacing w:line="465" w:lineRule="atLeast"/>
        <w:ind w:firstLine="480" w:firstLineChars="200"/>
      </w:pPr>
      <w:r>
        <w:rPr>
          <w:rFonts w:hint="eastAsia" w:ascii="宋体" w:hAnsi="宋体" w:eastAsia="宋体" w:cs="宋体"/>
        </w:rPr>
        <w:t>（一）评审工作由询价方组建的询价小组负责。询价小组根据询价文件规定的方法和标准独立评审，负责完成评审的全过程直至评定成交中选单位。</w:t>
      </w:r>
    </w:p>
    <w:p>
      <w:pPr>
        <w:pStyle w:val="7"/>
        <w:widowControl/>
        <w:spacing w:line="465" w:lineRule="atLeast"/>
        <w:ind w:firstLine="480" w:firstLineChars="200"/>
      </w:pPr>
      <w:r>
        <w:rPr>
          <w:rFonts w:hint="eastAsia" w:ascii="宋体" w:hAnsi="宋体" w:eastAsia="宋体" w:cs="宋体"/>
        </w:rPr>
        <w:t>（二）审查是否所有的报价均报价单位超过采购预算：出现所有供应商的报价均超过采购预算、采购人没有支付能力的情况时采购无效，询价小组有权决定拒绝所有报价文件。</w:t>
      </w:r>
    </w:p>
    <w:p>
      <w:pPr>
        <w:pStyle w:val="7"/>
        <w:widowControl/>
        <w:spacing w:line="465" w:lineRule="atLeast"/>
        <w:ind w:firstLine="480" w:firstLineChars="200"/>
      </w:pPr>
      <w:r>
        <w:rPr>
          <w:rFonts w:hint="eastAsia" w:ascii="宋体" w:hAnsi="宋体" w:eastAsia="宋体" w:cs="宋体"/>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pPr>
        <w:pStyle w:val="7"/>
        <w:widowControl/>
        <w:spacing w:line="465" w:lineRule="atLeast"/>
        <w:ind w:firstLine="480" w:firstLineChars="200"/>
      </w:pPr>
      <w:r>
        <w:rPr>
          <w:rFonts w:hint="eastAsia" w:ascii="宋体" w:hAnsi="宋体" w:eastAsia="宋体" w:cs="宋体"/>
        </w:rPr>
        <w:t>（四）审查报价文件是否实质性响应询价文件的要求</w:t>
      </w:r>
    </w:p>
    <w:p>
      <w:pPr>
        <w:pStyle w:val="7"/>
        <w:widowControl/>
        <w:spacing w:line="465" w:lineRule="atLeast"/>
        <w:ind w:firstLine="480" w:firstLineChars="200"/>
      </w:pPr>
      <w:r>
        <w:rPr>
          <w:rFonts w:hint="eastAsia" w:ascii="宋体" w:hAnsi="宋体" w:eastAsia="宋体" w:cs="宋体"/>
        </w:rPr>
        <w:t>1．对于经审查确定为资格合格的报价单位，询价小组将审查其报价文件是否对询价文件的所有要求都做出了实质性响应。</w:t>
      </w:r>
    </w:p>
    <w:p>
      <w:pPr>
        <w:pStyle w:val="7"/>
        <w:widowControl/>
        <w:spacing w:line="465" w:lineRule="atLeast"/>
        <w:ind w:firstLine="480" w:firstLineChars="200"/>
      </w:pPr>
      <w:r>
        <w:rPr>
          <w:rFonts w:hint="eastAsia" w:ascii="宋体" w:hAnsi="宋体" w:eastAsia="宋体" w:cs="宋体"/>
        </w:rPr>
        <w:t>2．实质性响应的报价文件是指与询价文件要求相符，没有重大偏离的报价文件。没有实质性响应询价文件要求的报价文件将被拒绝。询价小组决定报价文件的响应性只根据其本身内容而不寻求外部证据。</w:t>
      </w:r>
    </w:p>
    <w:p>
      <w:pPr>
        <w:pStyle w:val="7"/>
        <w:widowControl/>
        <w:spacing w:line="465" w:lineRule="atLeast"/>
        <w:ind w:firstLine="480" w:firstLineChars="200"/>
      </w:pPr>
      <w:r>
        <w:rPr>
          <w:rFonts w:hint="eastAsia" w:ascii="宋体" w:hAnsi="宋体" w:eastAsia="宋体" w:cs="宋体"/>
        </w:rPr>
        <w:t>3．报价文件有下列情形之一的属于重大偏离，将被作废处理：</w:t>
      </w:r>
    </w:p>
    <w:p>
      <w:pPr>
        <w:pStyle w:val="7"/>
        <w:widowControl/>
        <w:spacing w:line="465" w:lineRule="atLeast"/>
        <w:ind w:firstLine="480" w:firstLineChars="200"/>
      </w:pPr>
      <w:r>
        <w:rPr>
          <w:rFonts w:hint="eastAsia" w:ascii="宋体" w:hAnsi="宋体" w:eastAsia="宋体" w:cs="宋体"/>
        </w:rPr>
        <w:t>（1）报价文件未按询价文件附件要求,有效签署和/或加盖公章；</w:t>
      </w:r>
    </w:p>
    <w:p>
      <w:pPr>
        <w:pStyle w:val="7"/>
        <w:widowControl/>
        <w:spacing w:line="465" w:lineRule="atLeast"/>
        <w:ind w:firstLine="480" w:firstLineChars="200"/>
      </w:pPr>
      <w:r>
        <w:rPr>
          <w:rFonts w:hint="eastAsia" w:ascii="宋体" w:hAnsi="宋体" w:eastAsia="宋体" w:cs="宋体"/>
        </w:rPr>
        <w:t>（2）报价文件载明的项目完成期限超过询价文件规定；</w:t>
      </w:r>
    </w:p>
    <w:p>
      <w:pPr>
        <w:pStyle w:val="7"/>
        <w:widowControl/>
        <w:spacing w:line="465" w:lineRule="atLeast"/>
        <w:ind w:firstLine="480" w:firstLineChars="200"/>
      </w:pPr>
      <w:r>
        <w:rPr>
          <w:rFonts w:hint="eastAsia" w:ascii="宋体" w:hAnsi="宋体" w:eastAsia="宋体" w:cs="宋体"/>
        </w:rPr>
        <w:t>（3）报价文件附有询价方不能接受的条件；</w:t>
      </w:r>
    </w:p>
    <w:p>
      <w:pPr>
        <w:pStyle w:val="7"/>
        <w:widowControl/>
        <w:spacing w:line="465" w:lineRule="atLeast"/>
        <w:ind w:firstLine="480" w:firstLineChars="200"/>
      </w:pPr>
      <w:r>
        <w:rPr>
          <w:rFonts w:hint="eastAsia" w:ascii="宋体" w:hAnsi="宋体" w:eastAsia="宋体" w:cs="宋体"/>
        </w:rPr>
        <w:t>（4）不符合询价文件规定的其他实质性要求。</w:t>
      </w:r>
    </w:p>
    <w:p>
      <w:pPr>
        <w:pStyle w:val="7"/>
        <w:widowControl/>
        <w:spacing w:line="465" w:lineRule="atLeast"/>
        <w:ind w:firstLine="480" w:firstLineChars="200"/>
      </w:pPr>
      <w:r>
        <w:rPr>
          <w:rFonts w:hint="eastAsia" w:ascii="宋体" w:hAnsi="宋体" w:eastAsia="宋体" w:cs="宋体"/>
        </w:rPr>
        <w:t>（五）报价的审查：报价中的单价和总价全部采用人民币，若用数字表示数额与用文字表示数据不一致时，以文字数额为准。报价文件中的分项报价合计与总报价不一致的，以分项报价的合计为准。如果供应商不按照上述原则修正其总报价及分项报价，则其报价文件将被拒绝。</w:t>
      </w:r>
    </w:p>
    <w:p>
      <w:pPr>
        <w:pStyle w:val="7"/>
        <w:widowControl/>
        <w:spacing w:line="465" w:lineRule="atLeast"/>
        <w:ind w:firstLine="480" w:firstLineChars="200"/>
      </w:pPr>
      <w:r>
        <w:rPr>
          <w:rFonts w:hint="eastAsia" w:ascii="宋体" w:hAnsi="宋体" w:eastAsia="宋体" w:cs="宋体"/>
        </w:rPr>
        <w:t>（六）澄清：询价小组对报价文件实质性响应了询价文件要求，但个别地方提供了不完整的技术信息和数据，以及同类问题表述不一致或者有明显文字和计算错误等细微偏离问题，可以书面形式（由询价小组组长签字）要求报价单位在规定的时间内作出必要的澄清、说明或者补正。报价单位的澄清、说明或者补正应当采用书面形式，由其法定代表人或授权代理人签字，并不得超出报价文件的范围或者改变报价文件的实质性内容。报价单位拒不进行澄清、说明、补正的，或者不能在规定时间内作出书面澄清、说明、补正的，询价小组将否决其报价。</w:t>
      </w:r>
    </w:p>
    <w:p>
      <w:pPr>
        <w:pStyle w:val="7"/>
        <w:widowControl/>
        <w:spacing w:line="465" w:lineRule="atLeast"/>
        <w:ind w:firstLine="480" w:firstLineChars="200"/>
      </w:pPr>
      <w:r>
        <w:rPr>
          <w:rFonts w:hint="eastAsia" w:ascii="宋体" w:hAnsi="宋体" w:eastAsia="宋体" w:cs="宋体"/>
        </w:rPr>
        <w:t>十．出现下列情形之一的，询价小组有权否决所有报价单位的报价或取消采购活动：</w:t>
      </w:r>
    </w:p>
    <w:p>
      <w:pPr>
        <w:pStyle w:val="7"/>
        <w:widowControl/>
        <w:spacing w:line="465" w:lineRule="atLeast"/>
        <w:ind w:firstLine="480" w:firstLineChars="200"/>
      </w:pPr>
      <w:r>
        <w:rPr>
          <w:rFonts w:hint="eastAsia" w:ascii="宋体" w:hAnsi="宋体" w:eastAsia="宋体" w:cs="宋体"/>
        </w:rPr>
        <w:t>1．参与报价的报价单位不足三家的；</w:t>
      </w:r>
    </w:p>
    <w:p>
      <w:pPr>
        <w:pStyle w:val="7"/>
        <w:widowControl/>
        <w:spacing w:line="465" w:lineRule="atLeast"/>
        <w:ind w:firstLine="480" w:firstLineChars="200"/>
      </w:pPr>
      <w:r>
        <w:rPr>
          <w:rFonts w:hint="eastAsia" w:ascii="宋体" w:hAnsi="宋体" w:eastAsia="宋体" w:cs="宋体"/>
        </w:rPr>
        <w:t>2．出现影响采购公正的违法、违规行为的；</w:t>
      </w:r>
    </w:p>
    <w:p>
      <w:pPr>
        <w:pStyle w:val="7"/>
        <w:widowControl/>
        <w:spacing w:line="465" w:lineRule="atLeast"/>
        <w:ind w:firstLine="480" w:firstLineChars="200"/>
      </w:pPr>
      <w:r>
        <w:rPr>
          <w:rFonts w:hint="eastAsia" w:ascii="宋体" w:hAnsi="宋体" w:eastAsia="宋体" w:cs="宋体"/>
        </w:rPr>
        <w:t>3．报价单位的报价均超过了采购预算，采购单位不能支付的；</w:t>
      </w:r>
    </w:p>
    <w:p>
      <w:pPr>
        <w:pStyle w:val="7"/>
        <w:widowControl/>
        <w:spacing w:line="465" w:lineRule="atLeast"/>
        <w:ind w:firstLine="480" w:firstLineChars="200"/>
      </w:pPr>
      <w:r>
        <w:rPr>
          <w:rFonts w:hint="eastAsia" w:ascii="宋体" w:hAnsi="宋体" w:eastAsia="宋体" w:cs="宋体"/>
        </w:rPr>
        <w:t>4．因重大变故，采购任务取消的；</w:t>
      </w:r>
    </w:p>
    <w:p>
      <w:pPr>
        <w:pStyle w:val="7"/>
        <w:widowControl/>
        <w:spacing w:line="465" w:lineRule="atLeast"/>
        <w:ind w:firstLine="480" w:firstLineChars="200"/>
      </w:pPr>
      <w:r>
        <w:rPr>
          <w:rFonts w:hint="eastAsia" w:ascii="宋体" w:hAnsi="宋体" w:eastAsia="宋体" w:cs="宋体"/>
        </w:rPr>
        <w:t xml:space="preserve"> 5．询价小组经评审认为所有报价文件都不符合询价文件要求的。</w:t>
      </w:r>
    </w:p>
    <w:p>
      <w:pPr>
        <w:pStyle w:val="7"/>
        <w:widowControl/>
        <w:spacing w:line="465" w:lineRule="atLeast"/>
        <w:ind w:firstLine="480" w:firstLineChars="200"/>
      </w:pPr>
      <w:r>
        <w:rPr>
          <w:rFonts w:hint="eastAsia" w:ascii="宋体" w:hAnsi="宋体" w:eastAsia="宋体" w:cs="宋体"/>
        </w:rPr>
        <w:t>十一. 评审标准及细则</w:t>
      </w:r>
    </w:p>
    <w:p>
      <w:pPr>
        <w:pStyle w:val="7"/>
        <w:widowControl/>
        <w:spacing w:line="465" w:lineRule="atLeast"/>
        <w:ind w:firstLine="480" w:firstLineChars="200"/>
      </w:pPr>
      <w:r>
        <w:rPr>
          <w:rFonts w:hint="eastAsia" w:ascii="宋体" w:hAnsi="宋体" w:eastAsia="宋体" w:cs="宋体"/>
        </w:rPr>
        <w:t>1．评审小组只对通过初审的响应文件，根据询价通知书规定的评审程序、评分办法及标准进行评价和比较。</w:t>
      </w:r>
    </w:p>
    <w:p>
      <w:pPr>
        <w:pStyle w:val="7"/>
        <w:widowControl/>
        <w:spacing w:line="465" w:lineRule="atLeast"/>
        <w:ind w:firstLine="480" w:firstLineChars="200"/>
      </w:pPr>
      <w:r>
        <w:rPr>
          <w:rFonts w:hint="eastAsia" w:ascii="宋体" w:hAnsi="宋体" w:eastAsia="宋体" w:cs="宋体"/>
        </w:rPr>
        <w:t>2．本次综合评分的因素是：见量化评审表。</w:t>
      </w:r>
    </w:p>
    <w:p>
      <w:pPr>
        <w:pStyle w:val="7"/>
        <w:widowControl/>
        <w:spacing w:line="465" w:lineRule="atLeast"/>
        <w:ind w:firstLine="480" w:firstLineChars="200"/>
      </w:pPr>
      <w:r>
        <w:rPr>
          <w:rFonts w:hint="eastAsia" w:ascii="宋体" w:hAnsi="宋体" w:eastAsia="宋体" w:cs="宋体"/>
        </w:rPr>
        <w:t>3．除价格因素外，评审小组成员应依据询价通知书规定的评分标准和方法独立对其他因素进行比较打分。每个评委独立评分，所有评委评分的算术平均值, 加上以询价通知书规定的方法计算出的价格分，即为每个供应商的最终得分。除价格分外，评委评分可保留1位小数，评审最终得分保留2位小数。出现同分情况，以询价小组成员投票决定。</w:t>
      </w:r>
    </w:p>
    <w:p>
      <w:pPr>
        <w:pStyle w:val="7"/>
        <w:widowControl/>
        <w:ind w:firstLine="422" w:firstLineChars="200"/>
        <w:jc w:val="center"/>
      </w:pPr>
      <w:r>
        <w:rPr>
          <w:rStyle w:val="10"/>
          <w:rFonts w:hint="eastAsia" w:ascii="宋体" w:hAnsi="宋体" w:eastAsia="宋体" w:cs="宋体"/>
          <w:sz w:val="21"/>
          <w:szCs w:val="21"/>
        </w:rPr>
        <w:t>第三部分  评分标准</w:t>
      </w:r>
    </w:p>
    <w:p>
      <w:pPr>
        <w:pStyle w:val="7"/>
        <w:widowControl/>
        <w:spacing w:line="465" w:lineRule="atLeast"/>
        <w:ind w:firstLine="482" w:firstLineChars="200"/>
        <w:jc w:val="center"/>
      </w:pPr>
      <w:r>
        <w:rPr>
          <w:rStyle w:val="10"/>
          <w:rFonts w:hint="eastAsia" w:ascii="宋体" w:hAnsi="宋体" w:eastAsia="宋体" w:cs="宋体"/>
        </w:rPr>
        <w:t>量化评审表</w:t>
      </w:r>
    </w:p>
    <w:tbl>
      <w:tblPr>
        <w:tblStyle w:val="8"/>
        <w:tblW w:w="9570" w:type="dxa"/>
        <w:tblInd w:w="0" w:type="dxa"/>
        <w:tblLayout w:type="autofit"/>
        <w:tblCellMar>
          <w:top w:w="15" w:type="dxa"/>
          <w:left w:w="15" w:type="dxa"/>
          <w:bottom w:w="15" w:type="dxa"/>
          <w:right w:w="15" w:type="dxa"/>
        </w:tblCellMar>
      </w:tblPr>
      <w:tblGrid>
        <w:gridCol w:w="727"/>
        <w:gridCol w:w="1680"/>
        <w:gridCol w:w="970"/>
        <w:gridCol w:w="5495"/>
        <w:gridCol w:w="698"/>
      </w:tblGrid>
      <w:tr>
        <w:tblPrEx>
          <w:tblCellMar>
            <w:top w:w="15" w:type="dxa"/>
            <w:left w:w="15" w:type="dxa"/>
            <w:bottom w:w="15" w:type="dxa"/>
            <w:right w:w="15" w:type="dxa"/>
          </w:tblCellMar>
        </w:tblPrEx>
        <w:trPr>
          <w:trHeight w:val="465" w:hRule="atLeast"/>
        </w:trPr>
        <w:tc>
          <w:tcPr>
            <w:tcW w:w="72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序号</w:t>
            </w:r>
          </w:p>
        </w:tc>
        <w:tc>
          <w:tcPr>
            <w:tcW w:w="1680"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评审内容</w:t>
            </w:r>
          </w:p>
        </w:tc>
        <w:tc>
          <w:tcPr>
            <w:tcW w:w="970"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满分</w:t>
            </w:r>
          </w:p>
        </w:tc>
        <w:tc>
          <w:tcPr>
            <w:tcW w:w="5495"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评分标准</w:t>
            </w:r>
          </w:p>
        </w:tc>
        <w:tc>
          <w:tcPr>
            <w:tcW w:w="698"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实得分</w:t>
            </w:r>
          </w:p>
        </w:tc>
      </w:tr>
      <w:tr>
        <w:tblPrEx>
          <w:tblCellMar>
            <w:top w:w="15" w:type="dxa"/>
            <w:left w:w="15" w:type="dxa"/>
            <w:bottom w:w="15" w:type="dxa"/>
            <w:right w:w="15" w:type="dxa"/>
          </w:tblCellMar>
        </w:tblPrEx>
        <w:trPr>
          <w:cantSplit/>
          <w:trHeight w:val="200" w:hRule="atLeast"/>
        </w:trPr>
        <w:tc>
          <w:tcPr>
            <w:tcW w:w="727"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一</w:t>
            </w:r>
          </w:p>
        </w:tc>
        <w:tc>
          <w:tcPr>
            <w:tcW w:w="8843" w:type="dxa"/>
            <w:gridSpan w:val="4"/>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技术部分</w:t>
            </w:r>
          </w:p>
        </w:tc>
      </w:tr>
      <w:tr>
        <w:tblPrEx>
          <w:tblCellMar>
            <w:top w:w="15" w:type="dxa"/>
            <w:left w:w="15" w:type="dxa"/>
            <w:bottom w:w="15" w:type="dxa"/>
            <w:right w:w="15" w:type="dxa"/>
          </w:tblCellMar>
        </w:tblPrEx>
        <w:trPr>
          <w:cantSplit/>
          <w:trHeight w:val="1665" w:hRule="atLeast"/>
        </w:trPr>
        <w:tc>
          <w:tcPr>
            <w:tcW w:w="727"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t>1</w:t>
            </w:r>
          </w:p>
        </w:tc>
        <w:tc>
          <w:tcPr>
            <w:tcW w:w="168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资质</w:t>
            </w:r>
          </w:p>
        </w:tc>
        <w:tc>
          <w:tcPr>
            <w:tcW w:w="97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t>10</w:t>
            </w:r>
            <w:r>
              <w:rPr>
                <w:rFonts w:hint="eastAsia"/>
              </w:rPr>
              <w:t>分</w:t>
            </w:r>
          </w:p>
        </w:tc>
        <w:tc>
          <w:tcPr>
            <w:tcW w:w="549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具有工程设计资质：综合甲级</w:t>
            </w:r>
            <w:r>
              <w:t>5</w:t>
            </w:r>
            <w:r>
              <w:rPr>
                <w:rFonts w:hint="eastAsia"/>
              </w:rPr>
              <w:t>分，建筑工程、机械工程设计资质甲级</w:t>
            </w:r>
            <w:r>
              <w:t>3</w:t>
            </w:r>
            <w:r>
              <w:rPr>
                <w:rFonts w:hint="eastAsia"/>
              </w:rPr>
              <w:t>分、乙级</w:t>
            </w:r>
            <w:r>
              <w:t>1</w:t>
            </w:r>
            <w:r>
              <w:rPr>
                <w:rFonts w:hint="eastAsia"/>
              </w:rPr>
              <w:t>分；</w:t>
            </w:r>
          </w:p>
          <w:p>
            <w:r>
              <w:rPr>
                <w:rFonts w:hint="eastAsia"/>
              </w:rPr>
              <w:t>具有工程咨询资质：甲级</w:t>
            </w:r>
            <w:r>
              <w:t>3</w:t>
            </w:r>
            <w:r>
              <w:rPr>
                <w:rFonts w:hint="eastAsia"/>
              </w:rPr>
              <w:t>分、乙级</w:t>
            </w:r>
            <w:r>
              <w:t>1</w:t>
            </w:r>
            <w:r>
              <w:rPr>
                <w:rFonts w:hint="eastAsia"/>
              </w:rPr>
              <w:t>分；</w:t>
            </w:r>
            <w:r>
              <w:t xml:space="preserve"> </w:t>
            </w:r>
          </w:p>
          <w:p>
            <w:r>
              <w:rPr>
                <w:rFonts w:hint="eastAsia"/>
              </w:rPr>
              <w:t>取得质量管理体系得</w:t>
            </w:r>
            <w:r>
              <w:t>1</w:t>
            </w:r>
            <w:r>
              <w:rPr>
                <w:rFonts w:hint="eastAsia"/>
              </w:rPr>
              <w:t>分，取得环境管理体系</w:t>
            </w:r>
            <w:r>
              <w:t>1</w:t>
            </w:r>
            <w:r>
              <w:rPr>
                <w:rFonts w:hint="eastAsia"/>
              </w:rPr>
              <w:t>分；</w:t>
            </w:r>
          </w:p>
        </w:tc>
        <w:tc>
          <w:tcPr>
            <w:tcW w:w="698"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tc>
      </w:tr>
      <w:tr>
        <w:tblPrEx>
          <w:tblCellMar>
            <w:top w:w="15" w:type="dxa"/>
            <w:left w:w="15" w:type="dxa"/>
            <w:bottom w:w="15" w:type="dxa"/>
            <w:right w:w="15" w:type="dxa"/>
          </w:tblCellMar>
        </w:tblPrEx>
        <w:trPr>
          <w:cantSplit/>
          <w:trHeight w:val="630" w:hRule="atLeast"/>
        </w:trPr>
        <w:tc>
          <w:tcPr>
            <w:tcW w:w="727" w:type="dxa"/>
            <w:vMerge w:val="restart"/>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t>2</w:t>
            </w:r>
          </w:p>
        </w:tc>
        <w:tc>
          <w:tcPr>
            <w:tcW w:w="1680" w:type="dxa"/>
            <w:vMerge w:val="restart"/>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企业实力与业绩</w:t>
            </w:r>
          </w:p>
        </w:tc>
        <w:tc>
          <w:tcPr>
            <w:tcW w:w="970" w:type="dxa"/>
            <w:vMerge w:val="restart"/>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t>20</w:t>
            </w:r>
            <w:r>
              <w:rPr>
                <w:rFonts w:hint="eastAsia"/>
              </w:rPr>
              <w:t>分</w:t>
            </w:r>
          </w:p>
        </w:tc>
        <w:tc>
          <w:tcPr>
            <w:tcW w:w="549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近五年内类似工程项目设计业绩（单个项目投资额500万元以上），每提供</w:t>
            </w:r>
            <w:r>
              <w:t>1</w:t>
            </w:r>
            <w:r>
              <w:rPr>
                <w:rFonts w:hint="eastAsia"/>
              </w:rPr>
              <w:t>项得</w:t>
            </w:r>
            <w:r>
              <w:t>4</w:t>
            </w:r>
            <w:r>
              <w:rPr>
                <w:rFonts w:hint="eastAsia"/>
              </w:rPr>
              <w:t>分，最高得</w:t>
            </w:r>
            <w:r>
              <w:t>12</w:t>
            </w:r>
            <w:r>
              <w:rPr>
                <w:rFonts w:hint="eastAsia"/>
              </w:rPr>
              <w:t>分；</w:t>
            </w:r>
          </w:p>
          <w:p>
            <w:r>
              <w:rPr>
                <w:rFonts w:hint="eastAsia"/>
              </w:rPr>
              <w:t>（需提供合同扫描完整件、相应投资项目的备案通知书扫描件或业主开具的证明项目投资额的文件原件，若不提供，则将视为无效业绩）</w:t>
            </w:r>
          </w:p>
        </w:tc>
        <w:tc>
          <w:tcPr>
            <w:tcW w:w="698"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tc>
      </w:tr>
      <w:tr>
        <w:tblPrEx>
          <w:tblCellMar>
            <w:top w:w="15" w:type="dxa"/>
            <w:left w:w="15" w:type="dxa"/>
            <w:bottom w:w="15" w:type="dxa"/>
            <w:right w:w="15" w:type="dxa"/>
          </w:tblCellMar>
        </w:tblPrEx>
        <w:trPr>
          <w:cantSplit/>
          <w:trHeight w:val="4575" w:hRule="atLeast"/>
        </w:trPr>
        <w:tc>
          <w:tcPr>
            <w:tcW w:w="727" w:type="dxa"/>
            <w:vMerge w:val="continue"/>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tc>
        <w:tc>
          <w:tcPr>
            <w:tcW w:w="1680" w:type="dxa"/>
            <w:vMerge w:val="continue"/>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tc>
        <w:tc>
          <w:tcPr>
            <w:tcW w:w="970" w:type="dxa"/>
            <w:vMerge w:val="continue"/>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tc>
        <w:tc>
          <w:tcPr>
            <w:tcW w:w="549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人员设置：</w:t>
            </w:r>
          </w:p>
          <w:p>
            <w:r>
              <w:t>1</w:t>
            </w:r>
            <w:r>
              <w:rPr>
                <w:rFonts w:hint="eastAsia"/>
              </w:rPr>
              <w:t>、拟定担任本项目总负责人具有高级工程师职称、同时有</w:t>
            </w:r>
            <w:r>
              <w:t>5</w:t>
            </w:r>
            <w:r>
              <w:rPr>
                <w:rFonts w:hint="eastAsia"/>
              </w:rPr>
              <w:t>年以上项目总负责人从业经历的，得</w:t>
            </w:r>
            <w:r>
              <w:t>2</w:t>
            </w:r>
            <w:r>
              <w:rPr>
                <w:rFonts w:hint="eastAsia"/>
              </w:rPr>
              <w:t>分；</w:t>
            </w:r>
          </w:p>
          <w:p>
            <w:r>
              <w:t>2</w:t>
            </w:r>
            <w:r>
              <w:rPr>
                <w:rFonts w:hint="eastAsia"/>
              </w:rPr>
              <w:t>、拟定担任本项目总负责人或分项负责人，在过去</w:t>
            </w:r>
            <w:r>
              <w:t>3</w:t>
            </w:r>
            <w:r>
              <w:rPr>
                <w:rFonts w:hint="eastAsia"/>
              </w:rPr>
              <w:t>年内有厂房项目设计经历的，得3分；</w:t>
            </w:r>
          </w:p>
          <w:p>
            <w:r>
              <w:t>3</w:t>
            </w:r>
            <w:r>
              <w:rPr>
                <w:rFonts w:hint="eastAsia"/>
              </w:rPr>
              <w:t>、拟定担任本项目的暖通分项负责人具有暖通工程师资质得</w:t>
            </w:r>
            <w:r>
              <w:t>1</w:t>
            </w:r>
            <w:r>
              <w:rPr>
                <w:rFonts w:hint="eastAsia"/>
              </w:rPr>
              <w:t>分，电气分项负责人具有电气工程师资质得</w:t>
            </w:r>
            <w:r>
              <w:t>1</w:t>
            </w:r>
            <w:r>
              <w:rPr>
                <w:rFonts w:hint="eastAsia"/>
              </w:rPr>
              <w:t>分,具有注册造价工程师资质得</w:t>
            </w:r>
            <w:r>
              <w:t>1</w:t>
            </w:r>
            <w:r>
              <w:rPr>
                <w:rFonts w:hint="eastAsia"/>
              </w:rPr>
              <w:t>分；</w:t>
            </w:r>
          </w:p>
          <w:p>
            <w:r>
              <w:rPr>
                <w:rFonts w:hint="eastAsia"/>
              </w:rPr>
              <w:t>注：以上人员须是投标单位人员，提供单位的劳动合同。省外企业投标人在本项目配备的主要人员须提供在河南省主管部门备案登记人员的相关证明材料（附截图）；人员注册证书应附相关主管部门的注册查询页截图，人员注册证书上已体现注册单位和注册有效期的除外。（如省外企业参加投标，以上人员需是该企业入豫备案登记人员）</w:t>
            </w:r>
          </w:p>
        </w:tc>
        <w:tc>
          <w:tcPr>
            <w:tcW w:w="698"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tc>
      </w:tr>
      <w:tr>
        <w:tblPrEx>
          <w:tblCellMar>
            <w:top w:w="15" w:type="dxa"/>
            <w:left w:w="15" w:type="dxa"/>
            <w:bottom w:w="15" w:type="dxa"/>
            <w:right w:w="15" w:type="dxa"/>
          </w:tblCellMar>
        </w:tblPrEx>
        <w:trPr>
          <w:cantSplit/>
          <w:trHeight w:val="405" w:hRule="atLeast"/>
        </w:trPr>
        <w:tc>
          <w:tcPr>
            <w:tcW w:w="727"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t>3</w:t>
            </w:r>
          </w:p>
        </w:tc>
        <w:tc>
          <w:tcPr>
            <w:tcW w:w="168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进度计划及交期</w:t>
            </w:r>
          </w:p>
        </w:tc>
        <w:tc>
          <w:tcPr>
            <w:tcW w:w="97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t>2</w:t>
            </w:r>
          </w:p>
        </w:tc>
        <w:tc>
          <w:tcPr>
            <w:tcW w:w="549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提供进度计划及交期方案，方案应至少包含各节点所需时间及保证措施，后期设计服务等内容。</w:t>
            </w:r>
          </w:p>
          <w:p>
            <w:r>
              <w:rPr>
                <w:rFonts w:hint="eastAsia"/>
              </w:rPr>
              <w:t>方案优秀的，得</w:t>
            </w:r>
            <w:r>
              <w:t>2</w:t>
            </w:r>
            <w:r>
              <w:rPr>
                <w:rFonts w:hint="eastAsia"/>
              </w:rPr>
              <w:t>分；良好的，得</w:t>
            </w:r>
            <w:r>
              <w:t>1</w:t>
            </w:r>
            <w:r>
              <w:rPr>
                <w:rFonts w:hint="eastAsia"/>
              </w:rPr>
              <w:t>分；较差的得</w:t>
            </w:r>
            <w:r>
              <w:t>0</w:t>
            </w:r>
            <w:r>
              <w:rPr>
                <w:rFonts w:hint="eastAsia"/>
              </w:rPr>
              <w:t>分。</w:t>
            </w:r>
          </w:p>
        </w:tc>
        <w:tc>
          <w:tcPr>
            <w:tcW w:w="698"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tc>
      </w:tr>
      <w:tr>
        <w:tblPrEx>
          <w:tblCellMar>
            <w:top w:w="15" w:type="dxa"/>
            <w:left w:w="15" w:type="dxa"/>
            <w:bottom w:w="15" w:type="dxa"/>
            <w:right w:w="15" w:type="dxa"/>
          </w:tblCellMar>
        </w:tblPrEx>
        <w:trPr>
          <w:cantSplit/>
          <w:trHeight w:val="405" w:hRule="atLeast"/>
        </w:trPr>
        <w:tc>
          <w:tcPr>
            <w:tcW w:w="727"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t>4</w:t>
            </w:r>
          </w:p>
        </w:tc>
        <w:tc>
          <w:tcPr>
            <w:tcW w:w="168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项目质量保证方案</w:t>
            </w:r>
          </w:p>
        </w:tc>
        <w:tc>
          <w:tcPr>
            <w:tcW w:w="97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t>2</w:t>
            </w:r>
          </w:p>
        </w:tc>
        <w:tc>
          <w:tcPr>
            <w:tcW w:w="549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方案针对性强，优秀得</w:t>
            </w:r>
            <w:r>
              <w:t>2</w:t>
            </w:r>
            <w:r>
              <w:rPr>
                <w:rFonts w:hint="eastAsia"/>
              </w:rPr>
              <w:t>分，一般得</w:t>
            </w:r>
            <w:r>
              <w:t>1</w:t>
            </w:r>
            <w:r>
              <w:rPr>
                <w:rFonts w:hint="eastAsia"/>
              </w:rPr>
              <w:t>分；若不提供得</w:t>
            </w:r>
            <w:r>
              <w:t>0</w:t>
            </w:r>
            <w:r>
              <w:rPr>
                <w:rFonts w:hint="eastAsia"/>
              </w:rPr>
              <w:t>分。</w:t>
            </w:r>
          </w:p>
        </w:tc>
        <w:tc>
          <w:tcPr>
            <w:tcW w:w="698"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tc>
      </w:tr>
      <w:tr>
        <w:tblPrEx>
          <w:tblCellMar>
            <w:top w:w="15" w:type="dxa"/>
            <w:left w:w="15" w:type="dxa"/>
            <w:bottom w:w="15" w:type="dxa"/>
            <w:right w:w="15" w:type="dxa"/>
          </w:tblCellMar>
        </w:tblPrEx>
        <w:trPr>
          <w:cantSplit/>
          <w:trHeight w:val="405" w:hRule="atLeast"/>
        </w:trPr>
        <w:tc>
          <w:tcPr>
            <w:tcW w:w="727"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t>5</w:t>
            </w:r>
          </w:p>
        </w:tc>
        <w:tc>
          <w:tcPr>
            <w:tcW w:w="168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安全保障方案</w:t>
            </w:r>
          </w:p>
        </w:tc>
        <w:tc>
          <w:tcPr>
            <w:tcW w:w="97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t>1</w:t>
            </w:r>
          </w:p>
        </w:tc>
        <w:tc>
          <w:tcPr>
            <w:tcW w:w="549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方案针对性强，优秀得</w:t>
            </w:r>
            <w:r>
              <w:t>1</w:t>
            </w:r>
            <w:r>
              <w:rPr>
                <w:rFonts w:hint="eastAsia"/>
              </w:rPr>
              <w:t>分，一般得</w:t>
            </w:r>
            <w:r>
              <w:t>0.5</w:t>
            </w:r>
            <w:r>
              <w:rPr>
                <w:rFonts w:hint="eastAsia"/>
              </w:rPr>
              <w:t>分；若不提供得</w:t>
            </w:r>
            <w:r>
              <w:t>0</w:t>
            </w:r>
            <w:r>
              <w:rPr>
                <w:rFonts w:hint="eastAsia"/>
              </w:rPr>
              <w:t>分。</w:t>
            </w:r>
          </w:p>
        </w:tc>
        <w:tc>
          <w:tcPr>
            <w:tcW w:w="698"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tc>
      </w:tr>
      <w:tr>
        <w:tblPrEx>
          <w:tblCellMar>
            <w:top w:w="15" w:type="dxa"/>
            <w:left w:w="15" w:type="dxa"/>
            <w:bottom w:w="15" w:type="dxa"/>
            <w:right w:w="15" w:type="dxa"/>
          </w:tblCellMar>
        </w:tblPrEx>
        <w:trPr>
          <w:trHeight w:val="90" w:hRule="atLeast"/>
        </w:trPr>
        <w:tc>
          <w:tcPr>
            <w:tcW w:w="727"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tc>
        <w:tc>
          <w:tcPr>
            <w:tcW w:w="168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小计</w:t>
            </w:r>
          </w:p>
        </w:tc>
        <w:tc>
          <w:tcPr>
            <w:tcW w:w="97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t>35</w:t>
            </w:r>
            <w:r>
              <w:rPr>
                <w:rFonts w:hint="eastAsia"/>
              </w:rPr>
              <w:t>分</w:t>
            </w:r>
          </w:p>
        </w:tc>
        <w:tc>
          <w:tcPr>
            <w:tcW w:w="549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tc>
        <w:tc>
          <w:tcPr>
            <w:tcW w:w="698"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tc>
      </w:tr>
      <w:tr>
        <w:tblPrEx>
          <w:tblCellMar>
            <w:top w:w="15" w:type="dxa"/>
            <w:left w:w="15" w:type="dxa"/>
            <w:bottom w:w="15" w:type="dxa"/>
            <w:right w:w="15" w:type="dxa"/>
          </w:tblCellMar>
        </w:tblPrEx>
        <w:trPr>
          <w:trHeight w:val="352" w:hRule="atLeast"/>
        </w:trPr>
        <w:tc>
          <w:tcPr>
            <w:tcW w:w="727"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二</w:t>
            </w:r>
          </w:p>
        </w:tc>
        <w:tc>
          <w:tcPr>
            <w:tcW w:w="8843" w:type="dxa"/>
            <w:gridSpan w:val="4"/>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商务部分</w:t>
            </w:r>
          </w:p>
        </w:tc>
      </w:tr>
      <w:tr>
        <w:tblPrEx>
          <w:tblCellMar>
            <w:top w:w="15" w:type="dxa"/>
            <w:left w:w="15" w:type="dxa"/>
            <w:bottom w:w="15" w:type="dxa"/>
            <w:right w:w="15" w:type="dxa"/>
          </w:tblCellMar>
        </w:tblPrEx>
        <w:trPr>
          <w:trHeight w:val="750" w:hRule="atLeast"/>
        </w:trPr>
        <w:tc>
          <w:tcPr>
            <w:tcW w:w="727"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t>1</w:t>
            </w:r>
          </w:p>
        </w:tc>
        <w:tc>
          <w:tcPr>
            <w:tcW w:w="168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比选报价评分</w:t>
            </w:r>
          </w:p>
        </w:tc>
        <w:tc>
          <w:tcPr>
            <w:tcW w:w="97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t>65</w:t>
            </w:r>
            <w:r>
              <w:rPr>
                <w:rFonts w:hint="eastAsia"/>
              </w:rPr>
              <w:t>分</w:t>
            </w:r>
          </w:p>
        </w:tc>
        <w:tc>
          <w:tcPr>
            <w:tcW w:w="549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评审基准价计算方法：除按规定被宣布无效报价外，所有有效报价的算术平均值的</w:t>
            </w:r>
            <w:r>
              <w:t>95%</w:t>
            </w:r>
            <w:r>
              <w:rPr>
                <w:rFonts w:hint="eastAsia"/>
              </w:rPr>
              <w:t>即为评审基准价。若有效报价超过</w:t>
            </w:r>
            <w:r>
              <w:t>5</w:t>
            </w:r>
            <w:r>
              <w:rPr>
                <w:rFonts w:hint="eastAsia"/>
              </w:rPr>
              <w:t>家，去除最高、最低报价后，计算算术平均值，（基准分</w:t>
            </w:r>
            <w:r>
              <w:t>65</w:t>
            </w:r>
            <w:r>
              <w:rPr>
                <w:rFonts w:hint="eastAsia"/>
              </w:rPr>
              <w:t>分）。</w:t>
            </w:r>
          </w:p>
          <w:p>
            <w:r>
              <w:rPr>
                <w:rFonts w:hint="eastAsia"/>
              </w:rPr>
              <w:t>等于基准价得</w:t>
            </w:r>
            <w:r>
              <w:t>65</w:t>
            </w:r>
            <w:r>
              <w:rPr>
                <w:rFonts w:hint="eastAsia"/>
              </w:rPr>
              <w:t>分；</w:t>
            </w:r>
          </w:p>
          <w:p>
            <w:r>
              <w:rPr>
                <w:rFonts w:hint="eastAsia"/>
              </w:rPr>
              <w:t>每低于基准价</w:t>
            </w:r>
            <w:r>
              <w:t>1%</w:t>
            </w:r>
            <w:r>
              <w:rPr>
                <w:rFonts w:hint="eastAsia"/>
              </w:rPr>
              <w:t>的扣</w:t>
            </w:r>
            <w:r>
              <w:t>1</w:t>
            </w:r>
            <w:r>
              <w:rPr>
                <w:rFonts w:hint="eastAsia"/>
              </w:rPr>
              <w:t>分；</w:t>
            </w:r>
          </w:p>
          <w:p>
            <w:r>
              <w:rPr>
                <w:rFonts w:hint="eastAsia"/>
              </w:rPr>
              <w:t>每高于基准价</w:t>
            </w:r>
            <w:r>
              <w:t>1%</w:t>
            </w:r>
            <w:r>
              <w:rPr>
                <w:rFonts w:hint="eastAsia"/>
              </w:rPr>
              <w:t>的扣</w:t>
            </w:r>
            <w:r>
              <w:t>2</w:t>
            </w:r>
            <w:r>
              <w:rPr>
                <w:rFonts w:hint="eastAsia"/>
              </w:rPr>
              <w:t>分</w:t>
            </w:r>
            <w:r>
              <w:t xml:space="preserve">, </w:t>
            </w:r>
            <w:r>
              <w:rPr>
                <w:rFonts w:hint="eastAsia"/>
              </w:rPr>
              <w:t>扣完为止。</w:t>
            </w:r>
          </w:p>
          <w:p>
            <w:r>
              <w:rPr>
                <w:rFonts w:hint="eastAsia"/>
              </w:rPr>
              <w:t>不足</w:t>
            </w:r>
            <w:r>
              <w:t>1%</w:t>
            </w:r>
            <w:r>
              <w:rPr>
                <w:rFonts w:hint="eastAsia"/>
              </w:rPr>
              <w:t>的按比例计算。</w:t>
            </w:r>
          </w:p>
        </w:tc>
        <w:tc>
          <w:tcPr>
            <w:tcW w:w="698"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tc>
      </w:tr>
      <w:tr>
        <w:tblPrEx>
          <w:tblCellMar>
            <w:top w:w="15" w:type="dxa"/>
            <w:left w:w="15" w:type="dxa"/>
            <w:bottom w:w="15" w:type="dxa"/>
            <w:right w:w="15" w:type="dxa"/>
          </w:tblCellMar>
        </w:tblPrEx>
        <w:trPr>
          <w:trHeight w:val="185" w:hRule="atLeast"/>
        </w:trPr>
        <w:tc>
          <w:tcPr>
            <w:tcW w:w="727"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tc>
        <w:tc>
          <w:tcPr>
            <w:tcW w:w="168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小计</w:t>
            </w:r>
          </w:p>
        </w:tc>
        <w:tc>
          <w:tcPr>
            <w:tcW w:w="97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t>65</w:t>
            </w:r>
            <w:r>
              <w:rPr>
                <w:rFonts w:hint="eastAsia"/>
              </w:rPr>
              <w:t>分</w:t>
            </w:r>
          </w:p>
        </w:tc>
        <w:tc>
          <w:tcPr>
            <w:tcW w:w="549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tc>
        <w:tc>
          <w:tcPr>
            <w:tcW w:w="698"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tc>
      </w:tr>
      <w:tr>
        <w:tblPrEx>
          <w:tblCellMar>
            <w:top w:w="15" w:type="dxa"/>
            <w:left w:w="15" w:type="dxa"/>
            <w:bottom w:w="15" w:type="dxa"/>
            <w:right w:w="15" w:type="dxa"/>
          </w:tblCellMar>
        </w:tblPrEx>
        <w:trPr>
          <w:trHeight w:val="615" w:hRule="atLeast"/>
        </w:trPr>
        <w:tc>
          <w:tcPr>
            <w:tcW w:w="727"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三</w:t>
            </w:r>
          </w:p>
        </w:tc>
        <w:tc>
          <w:tcPr>
            <w:tcW w:w="168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合计</w:t>
            </w:r>
          </w:p>
        </w:tc>
        <w:tc>
          <w:tcPr>
            <w:tcW w:w="97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r>
              <w:t>100</w:t>
            </w:r>
            <w:r>
              <w:rPr>
                <w:rFonts w:hint="eastAsia"/>
              </w:rPr>
              <w:t>分</w:t>
            </w:r>
          </w:p>
        </w:tc>
        <w:tc>
          <w:tcPr>
            <w:tcW w:w="549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tc>
        <w:tc>
          <w:tcPr>
            <w:tcW w:w="698"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tc>
      </w:tr>
    </w:tbl>
    <w:p>
      <w:pPr>
        <w:pStyle w:val="7"/>
        <w:widowControl/>
        <w:spacing w:line="405" w:lineRule="atLeast"/>
        <w:ind w:firstLine="480" w:firstLineChars="200"/>
      </w:pPr>
      <w:r>
        <w:rPr>
          <w:rFonts w:hint="eastAsia" w:ascii="宋体" w:hAnsi="宋体" w:eastAsia="宋体" w:cs="宋体"/>
        </w:rPr>
        <w:t>评审小组按照综合评分法，得分最高的投标单位为中选单位。</w:t>
      </w:r>
    </w:p>
    <w:p>
      <w:pPr>
        <w:pStyle w:val="3"/>
        <w:widowControl/>
        <w:ind w:firstLine="480" w:firstLineChars="200"/>
        <w:rPr>
          <w:rFonts w:hint="default"/>
        </w:rPr>
      </w:pPr>
      <w:r>
        <w:rPr>
          <w:rFonts w:cs="宋体"/>
          <w:b w:val="0"/>
          <w:bCs w:val="0"/>
        </w:rPr>
        <w:t>采购结果确定</w:t>
      </w:r>
    </w:p>
    <w:p>
      <w:pPr>
        <w:pStyle w:val="7"/>
        <w:widowControl/>
        <w:ind w:firstLine="480" w:firstLineChars="200"/>
      </w:pPr>
      <w:r>
        <w:rPr>
          <w:rFonts w:hint="eastAsia" w:ascii="宋体" w:hAnsi="宋体" w:eastAsia="宋体" w:cs="宋体"/>
        </w:rPr>
        <w:t>根据评审小组提出的书面评审报告确定中标单位，综合得分相同的，按响应报价由低到高顺序排列。得分且响应报价相同的，按技术指标优劣顺序排列。</w:t>
      </w:r>
    </w:p>
    <w:p>
      <w:pPr>
        <w:pStyle w:val="7"/>
        <w:widowControl/>
        <w:spacing w:line="480" w:lineRule="atLeast"/>
        <w:ind w:firstLine="480" w:firstLineChars="200"/>
      </w:pPr>
      <w:r>
        <w:rPr>
          <w:rFonts w:hint="eastAsia" w:ascii="宋体" w:hAnsi="宋体" w:eastAsia="宋体" w:cs="宋体"/>
        </w:rPr>
        <w:t>8.在确定成交结果后，将以《中标单位确认通知单》通知参与此次采购的中标单位。</w:t>
      </w:r>
    </w:p>
    <w:p>
      <w:pPr>
        <w:pStyle w:val="7"/>
        <w:widowControl/>
        <w:spacing w:line="480" w:lineRule="atLeast"/>
        <w:ind w:firstLine="480" w:firstLineChars="200"/>
      </w:pPr>
      <w:r>
        <w:rPr>
          <w:rFonts w:hint="eastAsia" w:ascii="宋体" w:hAnsi="宋体" w:eastAsia="宋体" w:cs="宋体"/>
        </w:rPr>
        <w:t>9.签订合同</w:t>
      </w:r>
    </w:p>
    <w:p>
      <w:pPr>
        <w:pStyle w:val="7"/>
        <w:widowControl/>
        <w:spacing w:line="465" w:lineRule="atLeast"/>
        <w:ind w:firstLine="480" w:firstLineChars="200"/>
      </w:pPr>
      <w:r>
        <w:rPr>
          <w:rFonts w:hint="eastAsia" w:ascii="宋体" w:hAnsi="宋体" w:eastAsia="宋体" w:cs="宋体"/>
        </w:rPr>
        <w:t>(1)邀请方将在报价有效期期满之前向成交报价单位发出《中标单位确认通知单》。确认通知单是合同的一个组成部分，对采购人和供应商均具有法律约束力。</w:t>
      </w:r>
    </w:p>
    <w:p>
      <w:pPr>
        <w:pStyle w:val="7"/>
        <w:widowControl/>
        <w:spacing w:line="465" w:lineRule="atLeast"/>
        <w:ind w:firstLine="480" w:firstLineChars="200"/>
      </w:pPr>
      <w:r>
        <w:rPr>
          <w:rFonts w:hint="eastAsia" w:ascii="宋体" w:hAnsi="宋体" w:eastAsia="宋体" w:cs="宋体"/>
        </w:rPr>
        <w:t>(2)确认通知单发出后，邀请方改变成交结果的，或者报价单位放弃成交项目的，应当依法承担法律责任。</w:t>
      </w:r>
    </w:p>
    <w:p>
      <w:pPr>
        <w:pStyle w:val="7"/>
        <w:widowControl/>
        <w:ind w:firstLine="480" w:firstLineChars="200"/>
      </w:pPr>
      <w:r>
        <w:rPr>
          <w:rFonts w:hint="eastAsia" w:ascii="宋体" w:hAnsi="宋体" w:eastAsia="宋体" w:cs="宋体"/>
        </w:rPr>
        <w:t> </w:t>
      </w:r>
    </w:p>
    <w:p>
      <w:pPr>
        <w:pStyle w:val="7"/>
        <w:widowControl/>
        <w:ind w:firstLine="480" w:firstLineChars="200"/>
        <w:rPr>
          <w:rFonts w:ascii="宋体" w:hAnsi="宋体" w:eastAsia="宋体" w:cs="宋体"/>
        </w:rPr>
      </w:pPr>
      <w:r>
        <w:rPr>
          <w:rFonts w:hint="eastAsia" w:ascii="宋体" w:hAnsi="宋体" w:eastAsia="宋体" w:cs="宋体"/>
        </w:rPr>
        <w:t> </w:t>
      </w:r>
    </w:p>
    <w:p>
      <w:pPr>
        <w:rPr>
          <w:rFonts w:ascii="宋体" w:hAnsi="宋体" w:eastAsia="宋体" w:cs="宋体"/>
          <w:sz w:val="24"/>
        </w:rPr>
      </w:pPr>
      <w:r>
        <w:rPr>
          <w:rFonts w:hint="eastAsia" w:ascii="宋体" w:hAnsi="宋体" w:eastAsia="宋体" w:cs="宋体"/>
          <w:sz w:val="24"/>
        </w:rPr>
        <w:br w:type="page"/>
      </w:r>
    </w:p>
    <w:p>
      <w:pPr>
        <w:rPr>
          <w:b/>
          <w:bCs/>
          <w:sz w:val="28"/>
          <w:szCs w:val="36"/>
        </w:rPr>
      </w:pPr>
      <w:r>
        <w:rPr>
          <w:rFonts w:hint="eastAsia"/>
          <w:b/>
          <w:bCs/>
          <w:sz w:val="28"/>
          <w:szCs w:val="36"/>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南阳光明光电有限公司：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rPr>
      </w:pPr>
      <w:r>
        <w:rPr>
          <w:rFonts w:ascii="仿宋_GB2312" w:eastAsia="仿宋_GB2312"/>
          <w:u w:val="single"/>
        </w:rPr>
        <w:t xml:space="preserve">          </w:t>
      </w:r>
      <w:r>
        <w:rPr>
          <w:rFonts w:hint="eastAsia" w:ascii="仿宋_GB2312" w:eastAsia="仿宋_GB2312"/>
        </w:rPr>
        <w:t>（职务或职称）</w:t>
      </w:r>
      <w:r>
        <w:rPr>
          <w:rFonts w:ascii="仿宋_GB2312" w:eastAsia="仿宋_GB2312"/>
          <w:u w:val="single"/>
        </w:rPr>
        <w:t xml:space="preserve">        </w:t>
      </w:r>
      <w:r>
        <w:rPr>
          <w:rFonts w:hint="eastAsia" w:ascii="仿宋_GB2312" w:eastAsia="仿宋_GB2312"/>
        </w:rPr>
        <w:t>（姓名）为我单位本次授权代理人，全权处理此次</w:t>
      </w:r>
      <w:r>
        <w:rPr>
          <w:rFonts w:hint="eastAsia" w:ascii="仿宋_GB2312" w:eastAsia="仿宋_GB2312"/>
          <w:u w:val="single"/>
        </w:rPr>
        <w:t>　　　　　　　　　　</w:t>
      </w:r>
      <w:r>
        <w:rPr>
          <w:rFonts w:hint="eastAsia" w:ascii="仿宋_GB2312" w:eastAsia="仿宋_GB2312"/>
        </w:rPr>
        <w:t>项目</w:t>
      </w:r>
      <w:r>
        <w:rPr>
          <w:rFonts w:hint="eastAsia" w:ascii="仿宋_GB2312" w:eastAsia="仿宋_GB2312"/>
          <w:kern w:val="10"/>
        </w:rPr>
        <w:t>询价</w:t>
      </w:r>
      <w:r>
        <w:rPr>
          <w:rFonts w:hint="eastAsia" w:ascii="仿宋_GB2312" w:eastAsia="仿宋_GB2312"/>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pStyle w:val="7"/>
        <w:widowControl/>
        <w:ind w:firstLine="480" w:firstLineChars="200"/>
        <w:rPr>
          <w:rFonts w:ascii="宋体" w:hAnsi="宋体" w:eastAsia="宋体" w:cs="宋体"/>
        </w:rPr>
      </w:pPr>
    </w:p>
    <w:p>
      <w:pPr>
        <w:pStyle w:val="7"/>
        <w:widowControl/>
        <w:ind w:firstLine="480" w:firstLineChars="200"/>
        <w:rPr>
          <w:rFonts w:ascii="宋体" w:hAnsi="宋体" w:eastAsia="宋体" w:cs="宋体"/>
        </w:rPr>
      </w:pPr>
    </w:p>
    <w:p>
      <w:pPr>
        <w:pStyle w:val="7"/>
        <w:widowControl/>
        <w:ind w:firstLine="480" w:firstLineChars="200"/>
        <w:rPr>
          <w:rFonts w:ascii="宋体" w:hAnsi="宋体" w:eastAsia="宋体" w:cs="宋体"/>
        </w:rPr>
      </w:pPr>
    </w:p>
    <w:p>
      <w:pPr>
        <w:rPr>
          <w:rFonts w:ascii="宋体" w:hAnsi="宋体" w:eastAsia="宋体" w:cs="宋体"/>
          <w:sz w:val="24"/>
        </w:rPr>
      </w:pPr>
      <w:r>
        <w:rPr>
          <w:rFonts w:hint="eastAsia" w:ascii="宋体" w:hAnsi="宋体" w:eastAsia="宋体" w:cs="宋体"/>
          <w:sz w:val="24"/>
        </w:rPr>
        <w:br w:type="page"/>
      </w:r>
    </w:p>
    <w:p>
      <w:pPr>
        <w:pStyle w:val="7"/>
        <w:widowControl/>
        <w:ind w:firstLine="480" w:firstLineChars="200"/>
        <w:rPr>
          <w:rFonts w:ascii="宋体" w:hAnsi="宋体" w:eastAsia="宋体" w:cs="宋体"/>
        </w:rPr>
      </w:pPr>
      <w:r>
        <w:rPr>
          <w:rFonts w:hint="eastAsia" w:ascii="宋体" w:hAnsi="宋体" w:eastAsia="宋体" w:cs="宋体"/>
        </w:rPr>
        <w:t>附件二</w:t>
      </w:r>
    </w:p>
    <w:tbl>
      <w:tblPr>
        <w:tblStyle w:val="8"/>
        <w:tblpPr w:leftFromText="180" w:rightFromText="180" w:vertAnchor="text" w:horzAnchor="page" w:tblpX="1797" w:tblpY="727"/>
        <w:tblOverlap w:val="never"/>
        <w:tblW w:w="0" w:type="auto"/>
        <w:tblInd w:w="0" w:type="dxa"/>
        <w:tblLayout w:type="autofit"/>
        <w:tblCellMar>
          <w:top w:w="15" w:type="dxa"/>
          <w:left w:w="15" w:type="dxa"/>
          <w:bottom w:w="15" w:type="dxa"/>
          <w:right w:w="15" w:type="dxa"/>
        </w:tblCellMar>
      </w:tblPr>
      <w:tblGrid>
        <w:gridCol w:w="710"/>
        <w:gridCol w:w="2446"/>
        <w:gridCol w:w="5360"/>
      </w:tblGrid>
      <w:tr>
        <w:tblPrEx>
          <w:tblCellMar>
            <w:top w:w="15" w:type="dxa"/>
            <w:left w:w="15" w:type="dxa"/>
            <w:bottom w:w="15" w:type="dxa"/>
            <w:right w:w="15" w:type="dxa"/>
          </w:tblCellMar>
        </w:tblPrEx>
        <w:trPr>
          <w:trHeight w:val="707" w:hRule="atLeast"/>
        </w:trPr>
        <w:tc>
          <w:tcPr>
            <w:tcW w:w="71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序号</w:t>
            </w:r>
          </w:p>
        </w:tc>
        <w:tc>
          <w:tcPr>
            <w:tcW w:w="2446"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项目</w:t>
            </w:r>
          </w:p>
        </w:tc>
        <w:tc>
          <w:tcPr>
            <w:tcW w:w="5360"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r>
              <w:rPr>
                <w:rFonts w:hint="eastAsia"/>
              </w:rPr>
              <w:t>报价（含税）</w:t>
            </w:r>
          </w:p>
        </w:tc>
      </w:tr>
      <w:tr>
        <w:tblPrEx>
          <w:tblCellMar>
            <w:top w:w="15" w:type="dxa"/>
            <w:left w:w="15" w:type="dxa"/>
            <w:bottom w:w="15" w:type="dxa"/>
            <w:right w:w="15" w:type="dxa"/>
          </w:tblCellMar>
        </w:tblPrEx>
        <w:trPr>
          <w:trHeight w:val="90" w:hRule="atLeast"/>
        </w:trPr>
        <w:tc>
          <w:tcPr>
            <w:tcW w:w="710" w:type="dxa"/>
            <w:tcBorders>
              <w:top w:val="nil"/>
              <w:left w:val="single" w:color="auto" w:sz="6" w:space="0"/>
              <w:bottom w:val="single" w:color="auto" w:sz="4" w:space="0"/>
              <w:right w:val="single" w:color="auto" w:sz="6" w:space="0"/>
            </w:tcBorders>
            <w:shd w:val="clear" w:color="auto" w:fill="auto"/>
            <w:tcMar>
              <w:top w:w="0" w:type="dxa"/>
              <w:left w:w="105" w:type="dxa"/>
              <w:bottom w:w="0" w:type="dxa"/>
              <w:right w:w="105" w:type="dxa"/>
            </w:tcMar>
            <w:vAlign w:val="center"/>
          </w:tcPr>
          <w:p>
            <w:r>
              <w:t>1</w:t>
            </w:r>
          </w:p>
        </w:tc>
        <w:tc>
          <w:tcPr>
            <w:tcW w:w="2446" w:type="dxa"/>
            <w:tcBorders>
              <w:top w:val="nil"/>
              <w:left w:val="nil"/>
              <w:bottom w:val="single" w:color="auto" w:sz="4" w:space="0"/>
              <w:right w:val="single" w:color="auto" w:sz="6" w:space="0"/>
            </w:tcBorders>
            <w:shd w:val="clear" w:color="auto" w:fill="auto"/>
            <w:tcMar>
              <w:top w:w="0" w:type="dxa"/>
              <w:left w:w="105" w:type="dxa"/>
              <w:bottom w:w="0" w:type="dxa"/>
              <w:right w:w="105" w:type="dxa"/>
            </w:tcMar>
            <w:vAlign w:val="center"/>
          </w:tcPr>
          <w:p>
            <w:r>
              <w:rPr>
                <w:rFonts w:hint="eastAsia"/>
              </w:rPr>
              <w:t>可行研究报告调整报告</w:t>
            </w:r>
          </w:p>
        </w:tc>
        <w:tc>
          <w:tcPr>
            <w:tcW w:w="5360" w:type="dxa"/>
            <w:tcBorders>
              <w:top w:val="nil"/>
              <w:left w:val="nil"/>
              <w:bottom w:val="single" w:color="auto" w:sz="4" w:space="0"/>
              <w:right w:val="single" w:color="auto" w:sz="6" w:space="0"/>
            </w:tcBorders>
            <w:shd w:val="clear" w:color="auto" w:fill="auto"/>
            <w:tcMar>
              <w:top w:w="0" w:type="dxa"/>
              <w:left w:w="105" w:type="dxa"/>
              <w:bottom w:w="0" w:type="dxa"/>
              <w:right w:w="105" w:type="dxa"/>
            </w:tcMar>
            <w:vAlign w:val="center"/>
          </w:tcPr>
          <w:p>
            <w:pPr>
              <w:tabs>
                <w:tab w:val="center" w:pos="2862"/>
              </w:tabs>
            </w:pPr>
            <w:r>
              <w:rPr>
                <w:rFonts w:hint="eastAsia"/>
              </w:rPr>
              <w:t>单价（大写）：</w:t>
            </w:r>
            <w:r>
              <w:rPr>
                <w:rFonts w:hint="eastAsia"/>
              </w:rPr>
              <w:tab/>
            </w:r>
            <w:r>
              <w:rPr>
                <w:rFonts w:hint="eastAsia"/>
              </w:rPr>
              <w:t xml:space="preserve">                   （小写）：</w:t>
            </w:r>
          </w:p>
        </w:tc>
      </w:tr>
      <w:tr>
        <w:tblPrEx>
          <w:tblCellMar>
            <w:top w:w="15" w:type="dxa"/>
            <w:left w:w="15" w:type="dxa"/>
            <w:bottom w:w="15" w:type="dxa"/>
            <w:right w:w="15" w:type="dxa"/>
          </w:tblCellMar>
        </w:tblPrEx>
        <w:trPr>
          <w:trHeight w:val="425" w:hRule="atLeast"/>
        </w:trPr>
        <w:tc>
          <w:tcPr>
            <w:tcW w:w="710" w:type="dxa"/>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r>
              <w:rPr>
                <w:rFonts w:hint="eastAsia"/>
              </w:rPr>
              <w:t>2</w:t>
            </w:r>
          </w:p>
        </w:tc>
        <w:tc>
          <w:tcPr>
            <w:tcW w:w="2446" w:type="dxa"/>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r>
              <w:rPr>
                <w:rFonts w:hint="eastAsia"/>
              </w:rPr>
              <w:t>施工图设计</w:t>
            </w:r>
          </w:p>
        </w:tc>
        <w:tc>
          <w:tcPr>
            <w:tcW w:w="5360" w:type="dxa"/>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r>
              <w:rPr>
                <w:rFonts w:hint="eastAsia"/>
              </w:rPr>
              <w:t>单价（大写）：                    （小写）：</w:t>
            </w:r>
          </w:p>
        </w:tc>
      </w:tr>
      <w:tr>
        <w:tblPrEx>
          <w:tblCellMar>
            <w:top w:w="15" w:type="dxa"/>
            <w:left w:w="15" w:type="dxa"/>
            <w:bottom w:w="15" w:type="dxa"/>
            <w:right w:w="15" w:type="dxa"/>
          </w:tblCellMar>
        </w:tblPrEx>
        <w:trPr>
          <w:trHeight w:val="425" w:hRule="atLeast"/>
        </w:trPr>
        <w:tc>
          <w:tcPr>
            <w:tcW w:w="710" w:type="dxa"/>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tc>
        <w:tc>
          <w:tcPr>
            <w:tcW w:w="2446" w:type="dxa"/>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r>
              <w:rPr>
                <w:rFonts w:hint="eastAsia"/>
              </w:rPr>
              <w:t>合计</w:t>
            </w:r>
          </w:p>
        </w:tc>
        <w:tc>
          <w:tcPr>
            <w:tcW w:w="5360" w:type="dxa"/>
            <w:tcBorders>
              <w:top w:val="single" w:color="auto" w:sz="4" w:space="0"/>
              <w:left w:val="single" w:color="auto" w:sz="4" w:space="0"/>
              <w:bottom w:val="single" w:color="auto" w:sz="4" w:space="0"/>
              <w:right w:val="single" w:color="auto" w:sz="4" w:space="0"/>
            </w:tcBorders>
            <w:shd w:val="clear" w:color="auto" w:fill="auto"/>
            <w:tcMar>
              <w:top w:w="0" w:type="dxa"/>
              <w:left w:w="105" w:type="dxa"/>
              <w:bottom w:w="0" w:type="dxa"/>
              <w:right w:w="105" w:type="dxa"/>
            </w:tcMar>
            <w:vAlign w:val="center"/>
          </w:tcPr>
          <w:p/>
        </w:tc>
      </w:tr>
    </w:tbl>
    <w:p>
      <w:pPr>
        <w:pStyle w:val="7"/>
        <w:widowControl/>
        <w:ind w:firstLine="480" w:firstLineChars="200"/>
        <w:jc w:val="center"/>
        <w:rPr>
          <w:rFonts w:ascii="宋体" w:hAnsi="宋体" w:eastAsia="宋体" w:cs="宋体"/>
        </w:rPr>
      </w:pPr>
      <w:r>
        <w:rPr>
          <w:rFonts w:hint="eastAsia" w:ascii="宋体" w:hAnsi="宋体" w:eastAsia="宋体" w:cs="宋体"/>
        </w:rPr>
        <w:t>报价一览表</w:t>
      </w:r>
    </w:p>
    <w:p/>
    <w:p/>
    <w:p/>
    <w:p/>
    <w:p>
      <w:pPr>
        <w:tabs>
          <w:tab w:val="left" w:pos="4697"/>
        </w:tabs>
        <w:jc w:val="left"/>
        <w:rPr>
          <w:u w:val="single"/>
        </w:rPr>
      </w:pPr>
      <w:r>
        <w:rPr>
          <w:rFonts w:hint="eastAsia"/>
        </w:rPr>
        <w:tab/>
      </w:r>
      <w:r>
        <w:rPr>
          <w:rFonts w:hint="eastAsia"/>
        </w:rPr>
        <w:t>报价单位（盖章）：</w:t>
      </w:r>
      <w:r>
        <w:rPr>
          <w:rFonts w:hint="eastAsia"/>
          <w:u w:val="single"/>
        </w:rPr>
        <w:t xml:space="preserve">                 </w:t>
      </w:r>
    </w:p>
    <w:p>
      <w:pPr>
        <w:pStyle w:val="2"/>
        <w:jc w:val="right"/>
      </w:pPr>
    </w:p>
    <w:p>
      <w:pPr>
        <w:pStyle w:val="2"/>
        <w:jc w:val="right"/>
      </w:pPr>
      <w:r>
        <w:rPr>
          <w:rFonts w:hint="eastAsia"/>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7C2234"/>
    <w:multiLevelType w:val="singleLevel"/>
    <w:tmpl w:val="8E7C2234"/>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2F1392"/>
    <w:rsid w:val="00182A91"/>
    <w:rsid w:val="00EC0B9F"/>
    <w:rsid w:val="00EE61F1"/>
    <w:rsid w:val="0FAC62AF"/>
    <w:rsid w:val="13640DEF"/>
    <w:rsid w:val="1E3D7D9C"/>
    <w:rsid w:val="228D7B88"/>
    <w:rsid w:val="22BB2A01"/>
    <w:rsid w:val="2E294120"/>
    <w:rsid w:val="3F3A33C1"/>
    <w:rsid w:val="43EA679F"/>
    <w:rsid w:val="4A2F1392"/>
    <w:rsid w:val="4BDC3393"/>
    <w:rsid w:val="5F9C7699"/>
    <w:rsid w:val="616934F4"/>
    <w:rsid w:val="66F368DA"/>
    <w:rsid w:val="6C1253AD"/>
    <w:rsid w:val="70C64DB5"/>
    <w:rsid w:val="77AB2889"/>
    <w:rsid w:val="7FF914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2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Body Text Indent"/>
    <w:basedOn w:val="1"/>
    <w:qFormat/>
    <w:uiPriority w:val="99"/>
    <w:pPr>
      <w:spacing w:after="120"/>
      <w:ind w:left="420" w:leftChars="200"/>
    </w:pPr>
    <w:rPr>
      <w:kern w:val="0"/>
      <w:sz w:val="24"/>
    </w:rPr>
  </w:style>
  <w:style w:type="paragraph" w:styleId="5">
    <w:name w:val="footer"/>
    <w:basedOn w:val="1"/>
    <w:link w:val="15"/>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rPr>
  </w:style>
  <w:style w:type="character" w:styleId="11">
    <w:name w:val="FollowedHyperlink"/>
    <w:basedOn w:val="9"/>
    <w:qFormat/>
    <w:uiPriority w:val="0"/>
    <w:rPr>
      <w:color w:val="800080"/>
      <w:u w:val="none"/>
    </w:rPr>
  </w:style>
  <w:style w:type="character" w:styleId="12">
    <w:name w:val="Emphasis"/>
    <w:basedOn w:val="9"/>
    <w:qFormat/>
    <w:uiPriority w:val="0"/>
  </w:style>
  <w:style w:type="character" w:styleId="13">
    <w:name w:val="Hyperlink"/>
    <w:basedOn w:val="9"/>
    <w:qFormat/>
    <w:uiPriority w:val="0"/>
    <w:rPr>
      <w:color w:val="0000FF"/>
      <w:u w:val="none"/>
    </w:rPr>
  </w:style>
  <w:style w:type="character" w:customStyle="1" w:styleId="14">
    <w:name w:val="页眉 字符"/>
    <w:basedOn w:val="9"/>
    <w:link w:val="6"/>
    <w:qFormat/>
    <w:uiPriority w:val="0"/>
    <w:rPr>
      <w:rFonts w:asciiTheme="minorHAnsi" w:hAnsiTheme="minorHAnsi" w:eastAsiaTheme="minorEastAsia" w:cstheme="minorBidi"/>
      <w:kern w:val="2"/>
      <w:sz w:val="18"/>
      <w:szCs w:val="18"/>
    </w:rPr>
  </w:style>
  <w:style w:type="character" w:customStyle="1" w:styleId="15">
    <w:name w:val="页脚 字符"/>
    <w:basedOn w:val="9"/>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832</Words>
  <Characters>4748</Characters>
  <Lines>39</Lines>
  <Paragraphs>11</Paragraphs>
  <TotalTime>23</TotalTime>
  <ScaleCrop>false</ScaleCrop>
  <LinksUpToDate>false</LinksUpToDate>
  <CharactersWithSpaces>5569</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2021-12-30T08:02:00Z</dcterms:created>
  <dc:creator>Administrator</dc:creator>
  <cp:lastModifiedBy>飘零</cp:lastModifiedBy>
  <dcterms:modified xsi:type="dcterms:W3CDTF">2022-01-12T12:37:28Z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993D9CBE7E0B4E7BA48CA93798C4A567</vt:lpwstr>
  </property>
</Properties>
</file>