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hd w:val="clear" w:color="auto" w:fill="FFFFFF"/>
        <w:spacing w:beforeAutospacing="0" w:afterAutospacing="0" w:line="600" w:lineRule="exact"/>
        <w:ind w:firstLine="723" w:firstLineChars="200"/>
        <w:jc w:val="center"/>
        <w:rPr>
          <w:rStyle w:val="9"/>
          <w:rFonts w:hint="eastAsia" w:ascii="宋体" w:hAnsi="宋体" w:eastAsia="宋体" w:cs="宋体"/>
          <w:color w:val="000000"/>
          <w:sz w:val="36"/>
          <w:szCs w:val="36"/>
          <w:shd w:val="clear" w:color="auto" w:fill="FFFFFF"/>
        </w:rPr>
      </w:pPr>
      <w:r>
        <w:rPr>
          <w:rStyle w:val="9"/>
          <w:rFonts w:hint="eastAsia" w:ascii="宋体" w:hAnsi="宋体" w:eastAsia="宋体" w:cs="宋体"/>
          <w:color w:val="000000"/>
          <w:sz w:val="36"/>
          <w:szCs w:val="36"/>
          <w:shd w:val="clear" w:color="auto" w:fill="FFFFFF"/>
        </w:rPr>
        <w:t>都江堰光明光电材料有限责任公司</w:t>
      </w:r>
    </w:p>
    <w:p>
      <w:pPr>
        <w:pStyle w:val="6"/>
        <w:widowControl/>
        <w:shd w:val="clear" w:color="auto" w:fill="FFFFFF"/>
        <w:spacing w:beforeAutospacing="0" w:afterAutospacing="0" w:line="600" w:lineRule="exact"/>
        <w:ind w:firstLine="723" w:firstLineChars="200"/>
        <w:jc w:val="center"/>
        <w:rPr>
          <w:rFonts w:ascii="宋体" w:hAnsi="宋体" w:eastAsia="宋体" w:cs="宋体"/>
          <w:color w:val="000000"/>
          <w:sz w:val="36"/>
          <w:szCs w:val="36"/>
        </w:rPr>
      </w:pPr>
      <w:r>
        <w:rPr>
          <w:rStyle w:val="9"/>
          <w:rFonts w:hint="eastAsia" w:ascii="宋体" w:hAnsi="宋体" w:eastAsia="宋体" w:cs="宋体"/>
          <w:color w:val="000000"/>
          <w:sz w:val="36"/>
          <w:szCs w:val="36"/>
          <w:shd w:val="clear" w:color="auto" w:fill="FFFFFF"/>
          <w:lang w:val="en-US" w:eastAsia="zh-CN"/>
        </w:rPr>
        <w:t>2021年</w:t>
      </w:r>
      <w:r>
        <w:rPr>
          <w:rStyle w:val="9"/>
          <w:rFonts w:hint="eastAsia" w:ascii="宋体" w:hAnsi="宋体" w:eastAsia="宋体" w:cs="宋体"/>
          <w:color w:val="000000"/>
          <w:sz w:val="36"/>
          <w:szCs w:val="36"/>
          <w:shd w:val="clear" w:color="auto" w:fill="FFFFFF"/>
        </w:rPr>
        <w:t>物流运输</w:t>
      </w:r>
      <w:r>
        <w:rPr>
          <w:rStyle w:val="9"/>
          <w:rFonts w:hint="eastAsia" w:ascii="宋体" w:hAnsi="宋体" w:eastAsia="宋体" w:cs="宋体"/>
          <w:color w:val="000000"/>
          <w:sz w:val="36"/>
          <w:szCs w:val="36"/>
          <w:shd w:val="clear" w:color="auto" w:fill="FFFFFF"/>
          <w:lang w:eastAsia="zh-CN"/>
        </w:rPr>
        <w:t>项目</w:t>
      </w:r>
      <w:r>
        <w:rPr>
          <w:rStyle w:val="9"/>
          <w:rFonts w:hint="eastAsia" w:ascii="宋体" w:hAnsi="宋体" w:eastAsia="宋体" w:cs="宋体"/>
          <w:color w:val="000000"/>
          <w:sz w:val="36"/>
          <w:szCs w:val="36"/>
          <w:shd w:val="clear" w:color="auto" w:fill="FFFFFF"/>
        </w:rPr>
        <w:t>询价文件</w:t>
      </w:r>
    </w:p>
    <w:p>
      <w:pPr>
        <w:pStyle w:val="6"/>
        <w:widowControl/>
        <w:shd w:val="clear" w:color="auto" w:fill="FFFFFF"/>
        <w:spacing w:beforeAutospacing="0" w:afterAutospacing="0"/>
        <w:ind w:firstLine="560" w:firstLineChars="200"/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</w:p>
    <w:p>
      <w:pPr>
        <w:pStyle w:val="6"/>
        <w:widowControl/>
        <w:shd w:val="clear" w:color="auto" w:fill="FFFFFF"/>
        <w:spacing w:beforeAutospacing="0" w:afterAutospacing="0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都江堰光明光电材料有限责任公司就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shd w:val="clear" w:color="auto" w:fill="FFFFFF"/>
        </w:rPr>
        <w:t> 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shd w:val="clear" w:color="auto" w:fill="FFFFFF"/>
          <w:lang w:val="en-US" w:eastAsia="zh-CN"/>
        </w:rPr>
        <w:t>2021年</w:t>
      </w:r>
      <w:r>
        <w:rPr>
          <w:rStyle w:val="9"/>
          <w:rFonts w:hint="eastAsia" w:ascii="仿宋_GB2312" w:hAnsi="仿宋_GB2312" w:eastAsia="仿宋_GB2312" w:cs="仿宋_GB2312"/>
          <w:color w:val="000000"/>
          <w:sz w:val="28"/>
          <w:szCs w:val="28"/>
          <w:u w:val="single"/>
          <w:shd w:val="clear" w:color="auto" w:fill="FFFFFF"/>
        </w:rPr>
        <w:t xml:space="preserve">物流运输项目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组织询价采购，本次询价将最终确定</w:t>
      </w:r>
      <w:r>
        <w:rPr>
          <w:rStyle w:val="9"/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202</w:t>
      </w:r>
      <w:r>
        <w:rPr>
          <w:rStyle w:val="9"/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1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年度</w:t>
      </w:r>
      <w:r>
        <w:rPr>
          <w:rStyle w:val="9"/>
          <w:rFonts w:hint="eastAsia" w:ascii="仿宋_GB2312" w:hAnsi="仿宋_GB2312" w:eastAsia="仿宋_GB2312" w:cs="仿宋_GB2312"/>
          <w:color w:val="000000"/>
          <w:sz w:val="28"/>
          <w:szCs w:val="28"/>
          <w:u w:val="single"/>
          <w:shd w:val="clear" w:color="auto" w:fill="FFFFFF"/>
        </w:rPr>
        <w:t>物流运输</w:t>
      </w:r>
      <w:r>
        <w:rPr>
          <w:rStyle w:val="9"/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年度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供应商，欢迎合格供应商前来报价。</w:t>
      </w:r>
    </w:p>
    <w:p>
      <w:pPr>
        <w:pStyle w:val="6"/>
        <w:widowControl/>
        <w:shd w:val="clear" w:color="auto" w:fill="FFFFFF"/>
        <w:spacing w:beforeAutospacing="0" w:afterAutospacing="0"/>
        <w:ind w:firstLine="562" w:firstLineChars="200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Style w:val="9"/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一、项目名称</w:t>
      </w:r>
    </w:p>
    <w:p>
      <w:pPr>
        <w:pStyle w:val="6"/>
        <w:widowControl/>
        <w:shd w:val="clear" w:color="auto" w:fill="FFFFFF"/>
        <w:spacing w:beforeAutospacing="0" w:afterAutospacing="0"/>
        <w:ind w:firstLine="560" w:firstLineChars="200"/>
        <w:rPr>
          <w:rFonts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项目名称：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shd w:val="clear" w:color="auto" w:fill="FFFFFF"/>
          <w:lang w:val="en-US" w:eastAsia="zh-CN"/>
        </w:rPr>
        <w:t>2021年</w:t>
      </w:r>
      <w:r>
        <w:rPr>
          <w:rStyle w:val="9"/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shd w:val="clear" w:color="auto" w:fill="FFFFFF"/>
        </w:rPr>
        <w:t>物流运输询价项目</w:t>
      </w:r>
    </w:p>
    <w:p>
      <w:pPr>
        <w:pStyle w:val="6"/>
        <w:widowControl/>
        <w:shd w:val="clear" w:color="auto" w:fill="FFFFFF"/>
        <w:spacing w:beforeAutospacing="0" w:afterAutospacing="0"/>
        <w:ind w:firstLine="562" w:firstLineChars="200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Style w:val="9"/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二、项目简要说明</w:t>
      </w:r>
    </w:p>
    <w:p>
      <w:pPr>
        <w:pStyle w:val="6"/>
        <w:widowControl/>
        <w:shd w:val="clear" w:color="auto" w:fill="FFFFFF"/>
        <w:spacing w:beforeAutospacing="0" w:afterAutospacing="0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1、主要运输产品：玻璃灯杯、盖、条料等易碎产品。</w:t>
      </w:r>
      <w:bookmarkStart w:id="0" w:name="_GoBack"/>
      <w:bookmarkEnd w:id="0"/>
    </w:p>
    <w:p>
      <w:pPr>
        <w:pStyle w:val="6"/>
        <w:widowControl/>
        <w:shd w:val="clear" w:color="auto" w:fill="FFFFFF"/>
        <w:spacing w:beforeAutospacing="0" w:afterAutospacing="0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2、产品特性：易碎玻璃制品。</w:t>
      </w:r>
    </w:p>
    <w:p>
      <w:pPr>
        <w:pStyle w:val="6"/>
        <w:widowControl/>
        <w:shd w:val="clear" w:color="auto" w:fill="FFFFFF"/>
        <w:spacing w:beforeAutospacing="0" w:afterAutospacing="0"/>
        <w:ind w:firstLine="562" w:firstLineChars="200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Style w:val="9"/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三、合格供应商资格要求</w:t>
      </w:r>
    </w:p>
    <w:p>
      <w:pPr>
        <w:pStyle w:val="6"/>
        <w:widowControl/>
        <w:shd w:val="clear" w:color="auto" w:fill="FFFFFF"/>
        <w:spacing w:beforeAutospacing="0" w:afterAutospacing="0"/>
        <w:ind w:firstLine="620" w:firstLineChars="200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28"/>
          <w:szCs w:val="28"/>
          <w:shd w:val="clear" w:color="auto" w:fill="FFFFFF"/>
        </w:rPr>
        <w:t>供应商参加本次采购活动具备下列条件：</w:t>
      </w:r>
    </w:p>
    <w:p>
      <w:pPr>
        <w:pStyle w:val="6"/>
        <w:widowControl/>
        <w:shd w:val="clear" w:color="auto" w:fill="FFFFFF"/>
        <w:spacing w:beforeAutospacing="0" w:afterAutospacing="0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1.参加比价优选的单位必须具有独立承担民事责任的能力。</w:t>
      </w:r>
    </w:p>
    <w:p>
      <w:pPr>
        <w:pStyle w:val="6"/>
        <w:widowControl/>
        <w:shd w:val="clear" w:color="auto" w:fill="FFFFFF"/>
        <w:spacing w:beforeAutospacing="0" w:afterAutospacing="0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2.具有良好的商业信誉和健全的财务会计制度。</w:t>
      </w:r>
    </w:p>
    <w:p>
      <w:pPr>
        <w:pStyle w:val="6"/>
        <w:widowControl/>
        <w:shd w:val="clear" w:color="auto" w:fill="FFFFFF"/>
        <w:spacing w:beforeAutospacing="0" w:afterAutospacing="0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3.具有履行合同所必需的设备和专业技术能力。</w:t>
      </w:r>
    </w:p>
    <w:p>
      <w:pPr>
        <w:pStyle w:val="6"/>
        <w:widowControl/>
        <w:shd w:val="clear" w:color="auto" w:fill="FFFFFF"/>
        <w:spacing w:beforeAutospacing="0" w:afterAutospacing="0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4.有依法缴纳税收和社会保障资金的良好记录。</w:t>
      </w:r>
    </w:p>
    <w:p>
      <w:pPr>
        <w:pStyle w:val="6"/>
        <w:widowControl/>
        <w:shd w:val="clear" w:color="auto" w:fill="FFFFFF"/>
        <w:spacing w:beforeAutospacing="0" w:afterAutospacing="0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5.参加此次比价项目之前三年内，在经营活动中没有重大违法记录。</w:t>
      </w:r>
    </w:p>
    <w:p>
      <w:pPr>
        <w:ind w:firstLine="562" w:firstLineChars="200"/>
        <w:rPr>
          <w:rFonts w:ascii="仿宋_GB2312" w:hAnsi="仿宋_GB2312" w:eastAsia="仿宋_GB2312" w:cs="仿宋_GB2312"/>
          <w:b/>
          <w:color w:val="000000"/>
          <w:sz w:val="28"/>
          <w:szCs w:val="28"/>
        </w:rPr>
      </w:pPr>
      <w:r>
        <w:rPr>
          <w:rStyle w:val="9"/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四、</w:t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</w:rPr>
        <w:t>比价须知</w:t>
      </w:r>
    </w:p>
    <w:p>
      <w:pPr>
        <w:ind w:firstLine="560" w:firstLineChars="200"/>
        <w:rPr>
          <w:rFonts w:ascii="仿宋_GB2312" w:hAnsi="仿宋_GB2312" w:eastAsia="仿宋_GB2312" w:cs="仿宋_GB2312"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shd w:val="clear" w:color="auto" w:fill="FFFFFF"/>
        </w:rPr>
        <w:t>1. 比价单位必须有合法经营资格和多年从事本行业的专业公司。</w:t>
      </w:r>
    </w:p>
    <w:p>
      <w:pPr>
        <w:ind w:firstLine="560" w:firstLineChars="200"/>
        <w:rPr>
          <w:rFonts w:ascii="仿宋_GB2312" w:hAnsi="仿宋_GB2312" w:eastAsia="仿宋_GB2312" w:cs="仿宋_GB2312"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shd w:val="clear" w:color="auto" w:fill="FFFFFF"/>
        </w:rPr>
        <w:t>2.比价单位须提供相关资质证件,包含营业执照复印件、道路运输经营许可证复印件。</w:t>
      </w:r>
    </w:p>
    <w:p>
      <w:pPr>
        <w:ind w:firstLine="560" w:firstLineChars="200"/>
        <w:rPr>
          <w:rFonts w:ascii="仿宋_GB2312" w:hAnsi="仿宋_GB2312" w:eastAsia="仿宋_GB2312" w:cs="仿宋_GB2312"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shd w:val="clear" w:color="auto" w:fill="FFFFFF"/>
        </w:rPr>
        <w:t>3.按照邀请函中的要求，填写完整的《物流运输服务比价诚信承诺书》，该承诺书作为评标的必要依据之一。</w:t>
      </w:r>
    </w:p>
    <w:p>
      <w:pPr>
        <w:pStyle w:val="6"/>
        <w:widowControl/>
        <w:shd w:val="clear" w:color="auto" w:fill="FFFFFF"/>
        <w:spacing w:beforeAutospacing="0" w:afterAutospacing="0"/>
        <w:ind w:firstLine="562" w:firstLineChars="200"/>
        <w:rPr>
          <w:rStyle w:val="9"/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Style w:val="9"/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五、比价优选评标原则</w:t>
      </w:r>
    </w:p>
    <w:p>
      <w:pPr>
        <w:pStyle w:val="6"/>
        <w:widowControl/>
        <w:shd w:val="clear" w:color="auto" w:fill="FFFFFF"/>
        <w:spacing w:beforeAutospacing="0" w:afterAutospacing="0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本次评标办法采用“综合评分法”，满分100分，其中商务部分占65分，技术部分占35分。评分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细则及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注意事项如下：</w:t>
      </w:r>
    </w:p>
    <w:p>
      <w:pPr>
        <w:pStyle w:val="6"/>
        <w:widowControl/>
        <w:shd w:val="clear" w:color="auto" w:fill="FFFFFF"/>
        <w:spacing w:beforeAutospacing="0" w:afterAutospacing="0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1、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评分细则</w:t>
      </w:r>
    </w:p>
    <w:tbl>
      <w:tblPr>
        <w:tblStyle w:val="7"/>
        <w:tblW w:w="953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2402"/>
        <w:gridCol w:w="56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2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内容</w:t>
            </w:r>
          </w:p>
        </w:tc>
        <w:tc>
          <w:tcPr>
            <w:tcW w:w="5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评分细则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1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商务部分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（65分）</w:t>
            </w:r>
          </w:p>
        </w:tc>
        <w:tc>
          <w:tcPr>
            <w:tcW w:w="2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资质等级 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（满分5分）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投标人资质符合招标人要求得5分，包括：营业执照、道路运输经营许可证、法人授权委托书（不符合要求的取消投标人投标资格，不进入下面评分程序）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注册资本 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（满分5分）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注册资本500万元以上得5分,500-300万元得3分,300以下得1分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公司规模实力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（满分15分）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年度营业收入达1000万元以上得5分，以下得3分；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专业人员具有执业证书（物流师、货运运输驾驶员从业资格证）超过5人得5分，以下得3分；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投标人运输规模及运输车辆数量进行对比，自有车辆5辆以上得5分，以下得3分。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报价得分  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（满分40分）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取投标人中最低价为基准价，与基准价一致得40分；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高于基准价5%以内扣5分；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高于基准价5%-10%以内扣10分；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高于基准价10%以上扣15分。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1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技术部分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（35分）</w:t>
            </w:r>
          </w:p>
        </w:tc>
        <w:tc>
          <w:tcPr>
            <w:tcW w:w="2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运输线路能力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（满分20分）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投标人能满足我公司所有报价运输线路和全类货物（重货、重抛货、纯抛货、返回胶板不同重量和方量）的承运得分15分；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在满足全线路承运能力的基础上有福建、浙江、广东、江苏专线承运能力的得20分；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只负责单一或部分线路的得10分。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其他运输能力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（满分15分）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车辆安排及调运系统完善，物流跟踪及反馈信息措施良好得5分；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物流公司有自己的仓库以备不时只需得5分；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与我公司曾经有过良好合作的得5分。</w:t>
            </w:r>
          </w:p>
        </w:tc>
      </w:tr>
    </w:tbl>
    <w:p>
      <w:pPr>
        <w:pStyle w:val="6"/>
        <w:widowControl/>
        <w:shd w:val="clear" w:color="auto" w:fill="FFFFFF"/>
        <w:spacing w:beforeAutospacing="0" w:afterAutospacing="0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2、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我公司会根据以上评分细则对投标公司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的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各项实力和能力进行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评审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打分，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取得分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前三位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投标人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的报价进行综合定价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，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价格核定后将发给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入选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的投标人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，若投标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公司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入选后不愿意执行此价格，则视为弃权。</w:t>
      </w:r>
    </w:p>
    <w:p>
      <w:pPr>
        <w:pStyle w:val="6"/>
        <w:widowControl/>
        <w:shd w:val="clear" w:color="auto" w:fill="FFFFFF"/>
        <w:spacing w:beforeAutospacing="0" w:afterAutospacing="0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3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、综合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评分法是杜绝恶意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低价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投标行为，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请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各投标公司慎重评估报价，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充分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考虑自身实力和淡旺季的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承运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能力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，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凡是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入选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且双方确认合作的承运商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我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公司都将收取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10000元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保证金，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用于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我公司用车保障，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如承运商出现拒绝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派车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的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情况，我公司有权每次扣除保证金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2000元。</w:t>
      </w:r>
    </w:p>
    <w:p>
      <w:pPr>
        <w:pStyle w:val="6"/>
        <w:widowControl/>
        <w:shd w:val="clear" w:color="auto" w:fill="FFFFFF"/>
        <w:spacing w:beforeAutospacing="0" w:afterAutospacing="0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4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、全部比价文件资料必须装订成册，封面须有“XX物流公司物流运输询价资料”或类似字样(同时需要注明比价相关事宜的负责人和联系方式)，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shd w:val="clear" w:color="auto" w:fill="FFFFFF"/>
        </w:rPr>
        <w:t>资料内部顺序：第一部分为比价诚信承诺书；第二部分为报价表；第三部分为各类资质证件复印件；第四部分为贵公司简介或其他补充说明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（公司简介可以让评标小组更清楚地认识到贵公司的优势）。</w:t>
      </w:r>
    </w:p>
    <w:p>
      <w:pPr>
        <w:pStyle w:val="6"/>
        <w:widowControl/>
        <w:shd w:val="clear" w:color="auto" w:fill="FFFFFF"/>
        <w:spacing w:beforeAutospacing="0" w:afterAutospacing="0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5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、为使评标工作更加快捷、准确，在准备资料的时候请各位务必按照上述顺序进行装订。</w:t>
      </w:r>
    </w:p>
    <w:p>
      <w:pPr>
        <w:pStyle w:val="6"/>
        <w:widowControl/>
        <w:shd w:val="clear" w:color="auto" w:fill="FFFFFF"/>
        <w:spacing w:beforeAutospacing="0" w:afterAutospacing="0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6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、若贵公司提供的资料不齐全，视为废标。</w:t>
      </w:r>
    </w:p>
    <w:p>
      <w:pPr>
        <w:pStyle w:val="6"/>
        <w:widowControl/>
        <w:shd w:val="clear" w:color="auto" w:fill="FFFFFF"/>
        <w:spacing w:beforeAutospacing="0" w:afterAutospacing="0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7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、贵公司提供的资料若有任一项弄虚作假，视为废标。</w:t>
      </w:r>
    </w:p>
    <w:p>
      <w:pPr>
        <w:pStyle w:val="6"/>
        <w:widowControl/>
        <w:shd w:val="clear" w:color="auto" w:fill="FFFFFF"/>
        <w:spacing w:beforeAutospacing="0" w:afterAutospacing="0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8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、我公司产品为易碎品，请各位务必确保具有相应的投保资质和运输资质，否则将视为废标。</w:t>
      </w:r>
    </w:p>
    <w:p>
      <w:pPr>
        <w:pStyle w:val="6"/>
        <w:widowControl/>
        <w:shd w:val="clear" w:color="auto" w:fill="FFFFFF"/>
        <w:spacing w:beforeAutospacing="0" w:afterAutospacing="0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9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、如果贵公司的运输方式或运力不能保证能按时将产品送达客户（如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：国内汽运普遍3-5天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），请自动放弃参与本次询价项目。若入选后不能满足时间需求将严格按照合同中的延时处罚条款执行，情形严重的我公司将主动解除合同，并追究经济损失或法律责任。</w:t>
      </w:r>
    </w:p>
    <w:p>
      <w:pPr>
        <w:pStyle w:val="6"/>
        <w:widowControl/>
        <w:shd w:val="clear" w:color="auto" w:fill="FFFFFF"/>
        <w:spacing w:beforeAutospacing="0" w:afterAutospacing="0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10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、入选的承运商将根据各自公司资质、运输单价、物流相关配套设施和服务质量综合考虑分配运量。</w:t>
      </w:r>
    </w:p>
    <w:p>
      <w:pPr>
        <w:pStyle w:val="6"/>
        <w:widowControl/>
        <w:shd w:val="clear" w:color="auto" w:fill="FFFFFF"/>
        <w:spacing w:beforeAutospacing="0" w:afterAutospacing="0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11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、国内汽运方式的报价包含保险费，在运输过程中若出现货损，物流公司必须全额赔付。其它运输方式按相关规定执行。</w:t>
      </w:r>
    </w:p>
    <w:p>
      <w:pPr>
        <w:pStyle w:val="6"/>
        <w:widowControl/>
        <w:shd w:val="clear" w:color="auto" w:fill="FFFFFF"/>
        <w:spacing w:beforeAutospacing="0" w:afterAutospacing="0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1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2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、其他不符合国家法律法规，或以不正当手段影响询价公正性的情形，其报价文件将被视为废标。</w:t>
      </w:r>
    </w:p>
    <w:p>
      <w:pPr>
        <w:pStyle w:val="6"/>
        <w:widowControl/>
        <w:shd w:val="clear" w:color="auto" w:fill="FFFFFF"/>
        <w:spacing w:beforeAutospacing="0" w:afterAutospacing="0"/>
        <w:ind w:firstLine="562" w:firstLineChars="200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Style w:val="9"/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六、报价文件接收信息截止时间</w:t>
      </w:r>
    </w:p>
    <w:p>
      <w:pPr>
        <w:pStyle w:val="6"/>
        <w:widowControl/>
        <w:shd w:val="clear" w:color="auto" w:fill="FFFFFF"/>
        <w:spacing w:beforeAutospacing="0" w:afterAutospacing="0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1、报价文件接收截止时间： 20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shd w:val="clear" w:color="auto" w:fill="FFFFFF"/>
        </w:rPr>
        <w:t>2</w:t>
      </w:r>
      <w:r>
        <w:rPr>
          <w:rFonts w:ascii="仿宋_GB2312" w:hAnsi="仿宋_GB2312" w:eastAsia="仿宋_GB2312" w:cs="仿宋_GB2312"/>
          <w:color w:val="000000"/>
          <w:sz w:val="28"/>
          <w:szCs w:val="28"/>
          <w:u w:val="single"/>
          <w:shd w:val="clear" w:color="auto" w:fill="FFFFFF"/>
        </w:rPr>
        <w:t>1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年5月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14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日17:00</w:t>
      </w:r>
    </w:p>
    <w:p>
      <w:pPr>
        <w:pStyle w:val="6"/>
        <w:widowControl/>
        <w:shd w:val="clear" w:color="auto" w:fill="FFFFFF"/>
        <w:spacing w:beforeAutospacing="0" w:afterAutospacing="0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2、报价文件接收地点：都江堰市蒲阳镇光泰路10号都江堰光明光电材料有限责任公司</w:t>
      </w:r>
    </w:p>
    <w:p>
      <w:pPr>
        <w:pStyle w:val="6"/>
        <w:widowControl/>
        <w:shd w:val="clear" w:color="auto" w:fill="FFFFFF"/>
        <w:spacing w:beforeAutospacing="0" w:afterAutospacing="0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3、报价文件接收人：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shd w:val="clear" w:color="auto" w:fill="FFFFFF"/>
        </w:rPr>
        <w:t>邓建国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   联系电话：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shd w:val="clear" w:color="auto" w:fill="FFFFFF"/>
        </w:rPr>
        <w:t>13183886588</w:t>
      </w:r>
    </w:p>
    <w:p>
      <w:pPr>
        <w:rPr>
          <w:rStyle w:val="9"/>
          <w:rFonts w:ascii="宋体" w:hAnsi="宋体" w:eastAsia="宋体" w:cs="宋体"/>
          <w:color w:val="000000"/>
          <w:kern w:val="0"/>
          <w:sz w:val="28"/>
          <w:szCs w:val="28"/>
          <w:shd w:val="clear" w:color="auto" w:fill="FFFFFF"/>
        </w:rPr>
      </w:pPr>
      <w:r>
        <w:rPr>
          <w:rStyle w:val="9"/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</w:rPr>
        <w:br w:type="page"/>
      </w:r>
    </w:p>
    <w:p>
      <w:pPr>
        <w:spacing w:line="360" w:lineRule="auto"/>
        <w:rPr>
          <w:rStyle w:val="9"/>
          <w:rFonts w:ascii="宋体" w:hAnsi="宋体" w:eastAsia="宋体" w:cs="宋体"/>
          <w:color w:val="000000"/>
          <w:kern w:val="0"/>
          <w:sz w:val="28"/>
          <w:szCs w:val="28"/>
          <w:shd w:val="clear" w:color="auto" w:fill="FFFFFF"/>
        </w:rPr>
      </w:pPr>
      <w:r>
        <w:rPr>
          <w:rStyle w:val="9"/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</w:rPr>
        <w:t>七、 产品报价</w:t>
      </w:r>
    </w:p>
    <w:p>
      <w:pPr>
        <w:spacing w:line="360" w:lineRule="auto"/>
        <w:ind w:left="1120" w:hanging="1120" w:hangingChars="4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（一）重货物流（纸箱及胶板小件直接装车，小于3.5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m³</w:t>
      </w:r>
      <w:r>
        <w:rPr>
          <w:rFonts w:hint="eastAsia" w:ascii="仿宋_GB2312" w:hAnsi="仿宋_GB2312" w:eastAsia="仿宋_GB2312" w:cs="仿宋_GB2312"/>
          <w:sz w:val="28"/>
          <w:szCs w:val="28"/>
        </w:rPr>
        <w:t>/吨），</w:t>
      </w:r>
    </w:p>
    <w:p>
      <w:pPr>
        <w:spacing w:line="360" w:lineRule="auto"/>
        <w:ind w:left="1120" w:hanging="1120" w:hangingChars="4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单价：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元/吨</w:t>
      </w:r>
    </w:p>
    <w:p>
      <w:pPr>
        <w:spacing w:line="360" w:lineRule="auto"/>
        <w:ind w:firstLine="57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1、零担货指单个地区或相邻地区不超过3个送货点配货重量不足整车（小于25吨），物流公司到厂接货后拼车，以单个送货点进行报价和结算。</w:t>
      </w:r>
    </w:p>
    <w:p>
      <w:pPr>
        <w:spacing w:line="360" w:lineRule="auto"/>
        <w:ind w:firstLine="57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2、整车指相邻地区或同地区不超过3个送货点拼货够整车（25-30吨），以总重量进行报价和结算。</w:t>
      </w:r>
    </w:p>
    <w:tbl>
      <w:tblPr>
        <w:tblStyle w:val="7"/>
        <w:tblpPr w:leftFromText="180" w:rightFromText="180" w:vertAnchor="text" w:horzAnchor="page" w:tblpX="1610" w:tblpY="421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8"/>
        <w:gridCol w:w="2426"/>
        <w:gridCol w:w="982"/>
        <w:gridCol w:w="1106"/>
        <w:gridCol w:w="1078"/>
        <w:gridCol w:w="1153"/>
        <w:gridCol w:w="115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到站</w:t>
            </w:r>
          </w:p>
        </w:tc>
        <w:tc>
          <w:tcPr>
            <w:tcW w:w="43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零担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整车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2-5吨（含5吨）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5-10吨（含10吨）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10-20吨（含20吨）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20-25吨（含25吨）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25吨以上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浙江桐乡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浙江绍兴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浙江宁波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840" w:firstLineChars="400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浙江海宁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浙江衢州江山市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上海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福建漳州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江苏丹阳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江苏南京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江苏海门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福建厦门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广东佛山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广东深圳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广东东莞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35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备注（提货费）</w:t>
            </w:r>
          </w:p>
        </w:tc>
        <w:tc>
          <w:tcPr>
            <w:tcW w:w="54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numPr>
          <w:ilvl w:val="0"/>
          <w:numId w:val="1"/>
        </w:numPr>
        <w:spacing w:line="360" w:lineRule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重抛货物流（托盘件直接装车，3.5—5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m³</w:t>
      </w:r>
      <w:r>
        <w:rPr>
          <w:rFonts w:hint="eastAsia" w:ascii="仿宋_GB2312" w:hAnsi="仿宋_GB2312" w:eastAsia="仿宋_GB2312" w:cs="仿宋_GB2312"/>
          <w:sz w:val="28"/>
          <w:szCs w:val="28"/>
        </w:rPr>
        <w:t>/吨），单价：元/吨，按单一送货点实际重量计算对应单价。</w:t>
      </w:r>
    </w:p>
    <w:tbl>
      <w:tblPr>
        <w:tblStyle w:val="7"/>
        <w:tblW w:w="84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2"/>
        <w:gridCol w:w="1711"/>
        <w:gridCol w:w="1134"/>
        <w:gridCol w:w="1276"/>
        <w:gridCol w:w="1322"/>
        <w:gridCol w:w="1513"/>
        <w:gridCol w:w="89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到站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1-3吨（含3吨）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3-5吨（含5吨）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5-10吨（含10吨）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10-20吨（含20吨）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20吨以上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 w:hRule="atLeast"/>
        </w:trPr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浙江桐乡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 w:hRule="atLeast"/>
        </w:trPr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浙江绍兴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 w:hRule="atLeast"/>
        </w:trPr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浙江宁波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浙江海宁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浙江东阳市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 w:hRule="atLeast"/>
        </w:trPr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浙江杭州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 w:hRule="atLeast"/>
        </w:trPr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浙江衢州江山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 w:hRule="atLeast"/>
        </w:trPr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江苏常州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 w:hRule="atLeast"/>
        </w:trPr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9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江苏南通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 w:hRule="atLeast"/>
        </w:trPr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江苏海门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 w:hRule="atLeast"/>
        </w:trPr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上海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 w:hRule="atLeast"/>
        </w:trPr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福建漳州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 w:hRule="atLeast"/>
        </w:trPr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福建厦门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 w:hRule="atLeast"/>
        </w:trPr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广东鹤山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 w:hRule="atLeast"/>
        </w:trPr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广东潮州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 w:hRule="atLeast"/>
        </w:trPr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广东佛山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 w:hRule="atLeast"/>
        </w:trPr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广东深圳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 w:hRule="atLeast"/>
        </w:trPr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广东东莞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2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备注（卸货费）</w:t>
            </w:r>
          </w:p>
        </w:tc>
        <w:tc>
          <w:tcPr>
            <w:tcW w:w="61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部分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客户到货后需要物流卸货进库房，卸货费：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 元/托盘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；</w:t>
            </w:r>
          </w:p>
        </w:tc>
      </w:tr>
    </w:tbl>
    <w:p>
      <w:pPr>
        <w:spacing w:line="52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（三）纯抛货货物流（托盘件直接装车，大于5m³/吨），单价：元/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m³</w:t>
      </w:r>
      <w:r>
        <w:rPr>
          <w:rFonts w:hint="eastAsia" w:ascii="仿宋_GB2312" w:hAnsi="仿宋_GB2312" w:eastAsia="仿宋_GB2312" w:cs="仿宋_GB2312"/>
          <w:sz w:val="28"/>
          <w:szCs w:val="28"/>
        </w:rPr>
        <w:t>，按单一送货点实际重量计算对应单价。</w:t>
      </w:r>
    </w:p>
    <w:tbl>
      <w:tblPr>
        <w:tblStyle w:val="7"/>
        <w:tblW w:w="850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4"/>
        <w:gridCol w:w="1450"/>
        <w:gridCol w:w="1216"/>
        <w:gridCol w:w="1247"/>
        <w:gridCol w:w="1462"/>
        <w:gridCol w:w="1509"/>
        <w:gridCol w:w="104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jc w:val="center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到站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1-15m³（含15m³）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15-35m³（含35m³）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35-55m³（含55m³）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55m³-80m³（含80m³）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80m³以上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浙江桐乡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浙江绍兴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浙江宁波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4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浙江海宁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5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浙江东阳市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浙江杭州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7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浙江衢州江山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8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江苏常州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9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江苏南通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江苏海门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上海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福建漳州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福建厦门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广东鹤山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广东潮州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广东佛山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广东深圳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广东东莞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20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备注（卸货费）</w:t>
            </w:r>
          </w:p>
        </w:tc>
        <w:tc>
          <w:tcPr>
            <w:tcW w:w="6476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部分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客户到货后需要物流卸货进库房，卸货费：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元/托盘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；</w:t>
            </w:r>
          </w:p>
        </w:tc>
      </w:tr>
    </w:tbl>
    <w:p>
      <w:pPr>
        <w:pStyle w:val="12"/>
        <w:spacing w:line="360" w:lineRule="auto"/>
        <w:ind w:firstLine="0" w:firstLineChars="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（四）返回胶板或货物（托盘件、纸箱件直接装车），单价：元/立方，按单一送货点实际体积计算对应单价。</w:t>
      </w:r>
    </w:p>
    <w:tbl>
      <w:tblPr>
        <w:tblStyle w:val="7"/>
        <w:tblW w:w="894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5"/>
        <w:gridCol w:w="1890"/>
        <w:gridCol w:w="1359"/>
        <w:gridCol w:w="1594"/>
        <w:gridCol w:w="1369"/>
        <w:gridCol w:w="1331"/>
        <w:gridCol w:w="9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接站（到站为公司内）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10立方以下（含10立方）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10-30立方（含30立方）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30-50立方（含50立方）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50-80立方（含80立方）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80立方以上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浙江桐乡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浙江绍兴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浙江宁波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浙江海宁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浙江东阳市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浙江衢州江山市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上海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福建漳州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福建厦门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江苏南京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江苏海门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江苏南通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广东佛山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广东深圳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广东东莞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备注（上货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费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65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spacing w:line="360" w:lineRule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八、以上报价均含9%全额增值税专用发票，公司将以单价确定贵公司的物流发运量，具体以比价完成后合同签订为准。</w:t>
      </w:r>
    </w:p>
    <w:p>
      <w:pPr>
        <w:spacing w:line="360" w:lineRule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九、付款条件及方式：票到后90天月结。</w:t>
      </w:r>
    </w:p>
    <w:p>
      <w:r>
        <w:rPr>
          <w:rFonts w:hint="eastAsia"/>
        </w:rPr>
        <w:br w:type="page"/>
      </w:r>
    </w:p>
    <w:p>
      <w:pPr>
        <w:pStyle w:val="2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比价诚信</w:t>
      </w:r>
      <w:r>
        <w:rPr>
          <w:sz w:val="36"/>
          <w:szCs w:val="36"/>
        </w:rPr>
        <w:t>承诺书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我方为比价方，参加都江堰光明光电材料有限责任公司的物流运输比价优选，奉行诚实守信的原则，我方向都江堰光明光电有限责任公司做出如下郑重承诺：</w:t>
      </w:r>
    </w:p>
    <w:p>
      <w:pPr>
        <w:numPr>
          <w:ilvl w:val="0"/>
          <w:numId w:val="2"/>
        </w:num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报价文件和其它资料所提供的信息均真实、全面、无虚假和误导性信息。</w:t>
      </w:r>
    </w:p>
    <w:p>
      <w:pPr>
        <w:numPr>
          <w:ilvl w:val="0"/>
          <w:numId w:val="2"/>
        </w:num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在比价过程中，绝不以任何形式向邀请人及其有关人员和评标委员行贿，绝不采取非法或不正当手段谋取中标。</w:t>
      </w:r>
    </w:p>
    <w:p>
      <w:pPr>
        <w:numPr>
          <w:ilvl w:val="0"/>
          <w:numId w:val="2"/>
        </w:num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绝不与其他比价人相互串通报价，绝不排挤其他比价人的公平竞争，不损害邀请人或其他比价人的合法权益。</w:t>
      </w:r>
    </w:p>
    <w:p>
      <w:pPr>
        <w:numPr>
          <w:ilvl w:val="0"/>
          <w:numId w:val="2"/>
        </w:num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绝不以他人名义参与比价优选或者以其他方式弄虚作假，骗取中标。</w:t>
      </w:r>
    </w:p>
    <w:p>
      <w:pPr>
        <w:numPr>
          <w:ilvl w:val="0"/>
          <w:numId w:val="2"/>
        </w:num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绝不将中标项目转让和分包给他人，或肢解后转让和分包给他人。</w:t>
      </w:r>
    </w:p>
    <w:p>
      <w:pPr>
        <w:numPr>
          <w:ilvl w:val="0"/>
          <w:numId w:val="2"/>
        </w:num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如不能信守以上承诺中的任何一条，中标无效，退出项目，自愿承担由此引发的一切后果。如给都江堰光明光电材料有限责任公司造成损失，依法、依规、依约承担赔偿责任，且今后不再参加都江堰光明光电材料有限责任公司的任何比价优选。</w:t>
      </w:r>
    </w:p>
    <w:p>
      <w:pPr>
        <w:ind w:left="420"/>
        <w:rPr>
          <w:rFonts w:ascii="仿宋_GB2312" w:hAnsi="仿宋_GB2312" w:eastAsia="仿宋_GB2312" w:cs="仿宋_GB2312"/>
          <w:sz w:val="28"/>
          <w:szCs w:val="28"/>
        </w:rPr>
      </w:pPr>
    </w:p>
    <w:p>
      <w:pPr>
        <w:ind w:firstLine="560" w:firstLineChars="200"/>
        <w:jc w:val="righ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承诺单位：（签字盖章）</w:t>
      </w:r>
    </w:p>
    <w:p>
      <w:pPr>
        <w:ind w:firstLine="560" w:firstLineChars="200"/>
        <w:jc w:val="righ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年  月  日</w:t>
      </w:r>
    </w:p>
    <w:p>
      <w:pPr>
        <w:ind w:firstLine="560" w:firstLineChars="200"/>
        <w:jc w:val="right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F55549"/>
    <w:multiLevelType w:val="singleLevel"/>
    <w:tmpl w:val="9EF55549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B1D2AD7D"/>
    <w:multiLevelType w:val="singleLevel"/>
    <w:tmpl w:val="B1D2AD7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D575349"/>
    <w:rsid w:val="00012201"/>
    <w:rsid w:val="000963EA"/>
    <w:rsid w:val="000B0F78"/>
    <w:rsid w:val="00163BB0"/>
    <w:rsid w:val="0016479D"/>
    <w:rsid w:val="00211DBC"/>
    <w:rsid w:val="00265D24"/>
    <w:rsid w:val="002A2F47"/>
    <w:rsid w:val="002C4FCD"/>
    <w:rsid w:val="00333F0F"/>
    <w:rsid w:val="00372545"/>
    <w:rsid w:val="0038532C"/>
    <w:rsid w:val="003E441E"/>
    <w:rsid w:val="00447D5A"/>
    <w:rsid w:val="004622C9"/>
    <w:rsid w:val="004A2D97"/>
    <w:rsid w:val="004F4507"/>
    <w:rsid w:val="00511731"/>
    <w:rsid w:val="0053190A"/>
    <w:rsid w:val="00545CD0"/>
    <w:rsid w:val="00633CE8"/>
    <w:rsid w:val="006C0614"/>
    <w:rsid w:val="006F727C"/>
    <w:rsid w:val="00707D18"/>
    <w:rsid w:val="007153FE"/>
    <w:rsid w:val="00717F73"/>
    <w:rsid w:val="00751B08"/>
    <w:rsid w:val="007C7EEA"/>
    <w:rsid w:val="007E04C3"/>
    <w:rsid w:val="007E5500"/>
    <w:rsid w:val="00820EC4"/>
    <w:rsid w:val="008F7D0A"/>
    <w:rsid w:val="009574B8"/>
    <w:rsid w:val="00A11F0A"/>
    <w:rsid w:val="00A92B67"/>
    <w:rsid w:val="00A948BA"/>
    <w:rsid w:val="00AC77FB"/>
    <w:rsid w:val="00AF304F"/>
    <w:rsid w:val="00BB670D"/>
    <w:rsid w:val="00BF0B3F"/>
    <w:rsid w:val="00C11975"/>
    <w:rsid w:val="00C615D7"/>
    <w:rsid w:val="00CC7175"/>
    <w:rsid w:val="00CD6FAA"/>
    <w:rsid w:val="00DA7258"/>
    <w:rsid w:val="00E01427"/>
    <w:rsid w:val="00E438AC"/>
    <w:rsid w:val="00E66125"/>
    <w:rsid w:val="00E926CB"/>
    <w:rsid w:val="00F0598D"/>
    <w:rsid w:val="00FB4D87"/>
    <w:rsid w:val="00FD3A9F"/>
    <w:rsid w:val="00FF626A"/>
    <w:rsid w:val="23241DA5"/>
    <w:rsid w:val="3D575349"/>
    <w:rsid w:val="48850112"/>
    <w:rsid w:val="4AB325F6"/>
    <w:rsid w:val="4EB807CD"/>
    <w:rsid w:val="52F03847"/>
    <w:rsid w:val="56CA58E6"/>
    <w:rsid w:val="5C1A1450"/>
    <w:rsid w:val="69DB053E"/>
    <w:rsid w:val="74B85A9C"/>
    <w:rsid w:val="75BE7EC6"/>
    <w:rsid w:val="769D0B38"/>
    <w:rsid w:val="78AB584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widowControl w:val="0"/>
      <w:spacing w:before="340" w:after="330" w:line="576" w:lineRule="auto"/>
      <w:jc w:val="both"/>
      <w:outlineLvl w:val="0"/>
    </w:pPr>
    <w:rPr>
      <w:rFonts w:ascii="Times New Roman" w:hAnsi="Times New Roman" w:eastAsia="宋体" w:cs="Times New Roman"/>
      <w:b/>
      <w:kern w:val="44"/>
      <w:sz w:val="4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2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10</Pages>
  <Words>675</Words>
  <Characters>3848</Characters>
  <Lines>32</Lines>
  <Paragraphs>9</Paragraphs>
  <TotalTime>305</TotalTime>
  <ScaleCrop>false</ScaleCrop>
  <LinksUpToDate>false</LinksUpToDate>
  <CharactersWithSpaces>4514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2020-04-06T15:53:00Z</dcterms:created>
  <dc:creator>幸福时刻</dc:creator>
  <cp:lastModifiedBy>HUAHUA</cp:lastModifiedBy>
  <dcterms:modified xsi:type="dcterms:W3CDTF">2021-05-08T08:56:06Z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E811308812BC4F7D84E60F588660EA4F</vt:lpwstr>
  </property>
</Properties>
</file>