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jc w:val="center"/>
        <w:rPr>
          <w:rFonts w:hint="eastAsia" w:ascii="宋体" w:hAnsi="宋体"/>
          <w:b/>
          <w:bCs/>
          <w:szCs w:val="21"/>
        </w:rPr>
      </w:pPr>
    </w:p>
    <w:p>
      <w:pPr>
        <w:keepNext/>
        <w:jc w:val="center"/>
        <w:rPr>
          <w:rFonts w:hint="eastAsia" w:ascii="宋体" w:hAnsi="宋体"/>
          <w:b/>
          <w:bCs/>
          <w:szCs w:val="21"/>
        </w:rPr>
      </w:pPr>
    </w:p>
    <w:p>
      <w:pPr>
        <w:keepNext/>
        <w:spacing w:line="560" w:lineRule="exact"/>
        <w:jc w:val="center"/>
        <w:rPr>
          <w:rFonts w:hint="eastAsia" w:ascii="宋体" w:hAnsi="宋体"/>
          <w:b/>
          <w:bCs/>
          <w:sz w:val="36"/>
          <w:szCs w:val="36"/>
        </w:rPr>
      </w:pPr>
    </w:p>
    <w:p>
      <w:pPr>
        <w:keepNext/>
        <w:spacing w:line="560" w:lineRule="exact"/>
        <w:jc w:val="center"/>
        <w:rPr>
          <w:rFonts w:hint="eastAsia" w:ascii="宋体" w:hAnsi="宋体"/>
          <w:b/>
          <w:bCs/>
          <w:sz w:val="36"/>
          <w:szCs w:val="36"/>
          <w:lang w:eastAsia="zh-CN"/>
        </w:rPr>
      </w:pPr>
      <w:r>
        <w:rPr>
          <w:rFonts w:hint="eastAsia" w:ascii="宋体" w:hAnsi="宋体"/>
          <w:b/>
          <w:bCs/>
          <w:sz w:val="36"/>
          <w:szCs w:val="36"/>
          <w:lang w:eastAsia="zh-CN"/>
        </w:rPr>
        <w:t>都江堰光明光电材料有限责任公司</w:t>
      </w:r>
    </w:p>
    <w:p>
      <w:pPr>
        <w:keepNext/>
        <w:spacing w:line="560" w:lineRule="exact"/>
        <w:jc w:val="center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  <w:lang w:eastAsia="zh-CN"/>
        </w:rPr>
        <w:t>突发</w:t>
      </w:r>
      <w:r>
        <w:rPr>
          <w:rFonts w:hint="eastAsia" w:ascii="宋体" w:hAnsi="宋体"/>
          <w:b/>
          <w:bCs/>
          <w:sz w:val="36"/>
          <w:szCs w:val="36"/>
        </w:rPr>
        <w:t>环境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事件</w:t>
      </w:r>
      <w:r>
        <w:rPr>
          <w:rFonts w:hint="eastAsia" w:ascii="宋体" w:hAnsi="宋体"/>
          <w:b/>
          <w:bCs/>
          <w:sz w:val="36"/>
          <w:szCs w:val="36"/>
        </w:rPr>
        <w:t>应急预案编制项目</w:t>
      </w:r>
    </w:p>
    <w:p>
      <w:pPr>
        <w:keepNext/>
        <w:jc w:val="center"/>
        <w:rPr>
          <w:rFonts w:hint="eastAsia" w:ascii="宋体" w:hAnsi="宋体"/>
          <w:b/>
          <w:bCs/>
          <w:szCs w:val="21"/>
        </w:rPr>
      </w:pPr>
    </w:p>
    <w:p>
      <w:pPr>
        <w:keepNext/>
        <w:jc w:val="center"/>
        <w:rPr>
          <w:rFonts w:hint="eastAsia" w:ascii="宋体" w:hAnsi="宋体"/>
          <w:b/>
          <w:bCs/>
          <w:szCs w:val="21"/>
        </w:rPr>
      </w:pPr>
    </w:p>
    <w:p>
      <w:pPr>
        <w:keepNext/>
        <w:jc w:val="center"/>
        <w:rPr>
          <w:rFonts w:hint="eastAsia" w:ascii="宋体" w:hAnsi="宋体"/>
          <w:b/>
          <w:bCs/>
          <w:szCs w:val="21"/>
        </w:rPr>
      </w:pPr>
    </w:p>
    <w:p>
      <w:pPr>
        <w:keepNext/>
        <w:jc w:val="center"/>
        <w:rPr>
          <w:rFonts w:hint="eastAsia" w:ascii="宋体" w:hAnsi="宋体"/>
          <w:b/>
          <w:bCs/>
          <w:szCs w:val="21"/>
        </w:rPr>
      </w:pPr>
    </w:p>
    <w:p>
      <w:pPr>
        <w:keepNext/>
        <w:jc w:val="center"/>
        <w:rPr>
          <w:rFonts w:hint="eastAsia" w:ascii="宋体" w:hAnsi="宋体"/>
          <w:b/>
          <w:bCs/>
          <w:szCs w:val="21"/>
        </w:rPr>
      </w:pPr>
    </w:p>
    <w:p>
      <w:pPr>
        <w:keepNext/>
        <w:jc w:val="center"/>
        <w:rPr>
          <w:rFonts w:hint="eastAsia" w:ascii="宋体" w:hAnsi="宋体"/>
          <w:b/>
          <w:bCs/>
          <w:sz w:val="84"/>
          <w:szCs w:val="84"/>
        </w:rPr>
      </w:pPr>
      <w:r>
        <w:rPr>
          <w:rFonts w:hint="eastAsia" w:ascii="宋体" w:hAnsi="宋体"/>
          <w:b/>
          <w:bCs/>
          <w:sz w:val="84"/>
          <w:szCs w:val="84"/>
          <w:lang w:eastAsia="zh-CN"/>
        </w:rPr>
        <w:t>询价采购</w:t>
      </w:r>
      <w:r>
        <w:rPr>
          <w:rFonts w:hint="eastAsia" w:ascii="宋体" w:hAnsi="宋体"/>
          <w:b/>
          <w:bCs/>
          <w:sz w:val="84"/>
          <w:szCs w:val="84"/>
        </w:rPr>
        <w:t>文件</w:t>
      </w:r>
    </w:p>
    <w:p>
      <w:pPr>
        <w:keepNext/>
        <w:jc w:val="center"/>
        <w:rPr>
          <w:rFonts w:hint="eastAsia" w:ascii="宋体" w:hAnsi="宋体"/>
          <w:b/>
          <w:bCs/>
          <w:szCs w:val="21"/>
        </w:rPr>
      </w:pPr>
    </w:p>
    <w:p>
      <w:pPr>
        <w:keepNext/>
        <w:rPr>
          <w:rFonts w:hint="eastAsia" w:ascii="宋体" w:hAnsi="宋体"/>
          <w:b/>
          <w:bCs/>
          <w:szCs w:val="21"/>
        </w:rPr>
      </w:pPr>
    </w:p>
    <w:p>
      <w:pPr>
        <w:keepNext/>
        <w:rPr>
          <w:rFonts w:hint="eastAsia" w:ascii="宋体" w:hAnsi="宋体"/>
          <w:b/>
          <w:bCs/>
          <w:szCs w:val="21"/>
        </w:rPr>
      </w:pPr>
    </w:p>
    <w:p>
      <w:pPr>
        <w:keepNext/>
        <w:rPr>
          <w:rFonts w:hint="eastAsia" w:ascii="宋体" w:hAnsi="宋体"/>
          <w:b/>
          <w:bCs/>
          <w:szCs w:val="21"/>
        </w:rPr>
      </w:pPr>
    </w:p>
    <w:p>
      <w:pPr>
        <w:keepNext/>
        <w:rPr>
          <w:rFonts w:hint="eastAsia" w:ascii="宋体" w:hAnsi="宋体"/>
          <w:b/>
          <w:bCs/>
          <w:szCs w:val="21"/>
        </w:rPr>
      </w:pPr>
    </w:p>
    <w:p>
      <w:pPr>
        <w:keepNext/>
        <w:rPr>
          <w:rFonts w:hint="eastAsia" w:ascii="宋体" w:hAnsi="宋体"/>
          <w:b/>
          <w:bCs/>
          <w:szCs w:val="21"/>
        </w:rPr>
      </w:pPr>
    </w:p>
    <w:p>
      <w:pPr>
        <w:keepNext/>
        <w:rPr>
          <w:rFonts w:hint="eastAsia" w:ascii="宋体" w:hAnsi="宋体"/>
          <w:b/>
          <w:bCs/>
          <w:szCs w:val="21"/>
        </w:rPr>
      </w:pPr>
    </w:p>
    <w:p>
      <w:pPr>
        <w:keepNext/>
        <w:rPr>
          <w:rFonts w:hint="eastAsia" w:ascii="宋体" w:hAnsi="宋体"/>
          <w:b/>
          <w:bCs/>
          <w:szCs w:val="21"/>
        </w:rPr>
      </w:pPr>
    </w:p>
    <w:p>
      <w:pPr>
        <w:keepNext/>
        <w:rPr>
          <w:rFonts w:hint="eastAsia" w:ascii="宋体" w:hAnsi="宋体"/>
          <w:b/>
          <w:bCs/>
          <w:szCs w:val="21"/>
        </w:rPr>
      </w:pPr>
    </w:p>
    <w:p>
      <w:pPr>
        <w:keepNext/>
        <w:rPr>
          <w:rFonts w:hint="eastAsia" w:ascii="宋体" w:hAnsi="宋体"/>
          <w:b/>
          <w:bCs/>
          <w:szCs w:val="21"/>
        </w:rPr>
      </w:pPr>
    </w:p>
    <w:p>
      <w:pPr>
        <w:keepNext/>
        <w:rPr>
          <w:rFonts w:hint="eastAsia" w:ascii="宋体" w:hAnsi="宋体"/>
          <w:b/>
          <w:bCs/>
          <w:szCs w:val="21"/>
        </w:rPr>
      </w:pPr>
    </w:p>
    <w:p>
      <w:pPr>
        <w:keepNext/>
        <w:rPr>
          <w:rFonts w:hint="eastAsia" w:ascii="宋体" w:hAnsi="宋体"/>
          <w:b/>
          <w:bCs/>
          <w:szCs w:val="21"/>
        </w:rPr>
      </w:pPr>
    </w:p>
    <w:p>
      <w:pPr>
        <w:keepNext/>
        <w:rPr>
          <w:rFonts w:hint="eastAsia" w:ascii="宋体" w:hAnsi="宋体"/>
          <w:b/>
          <w:bCs/>
          <w:szCs w:val="21"/>
        </w:rPr>
      </w:pPr>
    </w:p>
    <w:p>
      <w:pPr>
        <w:keepNext/>
        <w:rPr>
          <w:rFonts w:hint="eastAsia" w:ascii="宋体" w:hAnsi="宋体"/>
          <w:b/>
          <w:bCs/>
          <w:szCs w:val="21"/>
        </w:rPr>
      </w:pPr>
    </w:p>
    <w:p>
      <w:pPr>
        <w:keepNext/>
        <w:rPr>
          <w:rFonts w:hint="eastAsia" w:ascii="宋体" w:hAnsi="宋体"/>
          <w:b/>
          <w:bCs/>
          <w:szCs w:val="21"/>
        </w:rPr>
      </w:pPr>
    </w:p>
    <w:p>
      <w:pPr>
        <w:keepNext/>
        <w:rPr>
          <w:rFonts w:hint="eastAsia" w:ascii="宋体" w:hAnsi="宋体"/>
          <w:b/>
          <w:bCs/>
          <w:szCs w:val="21"/>
        </w:rPr>
      </w:pPr>
    </w:p>
    <w:p>
      <w:pPr>
        <w:keepNext/>
        <w:rPr>
          <w:rFonts w:hint="eastAsia" w:ascii="宋体" w:hAnsi="宋体"/>
          <w:b/>
          <w:bCs/>
          <w:szCs w:val="21"/>
        </w:rPr>
      </w:pPr>
    </w:p>
    <w:p>
      <w:pPr>
        <w:keepNext/>
        <w:rPr>
          <w:rFonts w:hint="eastAsia" w:ascii="宋体" w:hAnsi="宋体"/>
          <w:b/>
          <w:bCs/>
          <w:szCs w:val="21"/>
        </w:rPr>
      </w:pPr>
    </w:p>
    <w:p>
      <w:pPr>
        <w:keepNext/>
        <w:rPr>
          <w:rFonts w:hint="eastAsia" w:ascii="宋体" w:hAnsi="宋体"/>
          <w:b/>
          <w:bCs/>
          <w:szCs w:val="21"/>
        </w:rPr>
      </w:pPr>
    </w:p>
    <w:p>
      <w:pPr>
        <w:keepNext/>
        <w:spacing w:line="360" w:lineRule="auto"/>
        <w:ind w:firstLine="523" w:firstLineChars="248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Cs w:val="21"/>
        </w:rPr>
        <w:t xml:space="preserve"> </w:t>
      </w:r>
      <w:r>
        <w:rPr>
          <w:rFonts w:hint="eastAsia" w:ascii="宋体" w:hAnsi="宋体"/>
          <w:b/>
          <w:bCs/>
          <w:sz w:val="32"/>
          <w:szCs w:val="32"/>
        </w:rPr>
        <w:t xml:space="preserve"> 招 标 人：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都江堰光明光电材料</w:t>
      </w:r>
      <w:r>
        <w:rPr>
          <w:rFonts w:hint="eastAsia" w:ascii="宋体" w:hAnsi="宋体"/>
          <w:b/>
          <w:bCs/>
          <w:sz w:val="32"/>
          <w:szCs w:val="32"/>
        </w:rPr>
        <w:t>有限责任公司</w:t>
      </w:r>
    </w:p>
    <w:p>
      <w:pPr>
        <w:keepNext/>
        <w:spacing w:line="360" w:lineRule="auto"/>
        <w:rPr>
          <w:rFonts w:hint="eastAsia" w:ascii="宋体" w:hAnsi="宋体"/>
          <w:b/>
          <w:bCs/>
          <w:sz w:val="32"/>
          <w:szCs w:val="32"/>
        </w:rPr>
      </w:pPr>
    </w:p>
    <w:p>
      <w:pPr>
        <w:keepNext/>
        <w:spacing w:line="360" w:lineRule="auto"/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二○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二一</w:t>
      </w:r>
      <w:r>
        <w:rPr>
          <w:rFonts w:hint="eastAsia" w:ascii="宋体" w:hAnsi="宋体"/>
          <w:b/>
          <w:bCs/>
          <w:sz w:val="32"/>
          <w:szCs w:val="32"/>
        </w:rPr>
        <w:t>年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五</w:t>
      </w:r>
      <w:r>
        <w:rPr>
          <w:rFonts w:hint="eastAsia" w:ascii="宋体" w:hAnsi="宋体"/>
          <w:b/>
          <w:bCs/>
          <w:sz w:val="32"/>
          <w:szCs w:val="32"/>
        </w:rPr>
        <w:t>月</w:t>
      </w:r>
    </w:p>
    <w:p>
      <w:pPr>
        <w:pStyle w:val="2"/>
        <w:keepNext/>
        <w:topLinePunct/>
        <w:autoSpaceDE w:val="0"/>
        <w:autoSpaceDN w:val="0"/>
        <w:snapToGrid w:val="0"/>
        <w:spacing w:line="360" w:lineRule="auto"/>
        <w:ind w:firstLine="0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br w:type="page"/>
      </w:r>
    </w:p>
    <w:p>
      <w:pPr>
        <w:pStyle w:val="3"/>
        <w:keepNext/>
        <w:topLinePunct/>
        <w:autoSpaceDE w:val="0"/>
        <w:autoSpaceDN w:val="0"/>
        <w:snapToGrid w:val="0"/>
        <w:spacing w:line="360" w:lineRule="auto"/>
        <w:jc w:val="center"/>
        <w:rPr>
          <w:rFonts w:hint="eastAsia"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目  录</w:t>
      </w:r>
    </w:p>
    <w:p>
      <w:pPr>
        <w:pStyle w:val="6"/>
        <w:spacing w:line="48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fldChar w:fldCharType="begin"/>
      </w:r>
      <w:r>
        <w:rPr>
          <w:rFonts w:hint="eastAsia" w:ascii="宋体" w:hAnsi="宋体"/>
          <w:sz w:val="28"/>
          <w:szCs w:val="28"/>
        </w:rPr>
        <w:instrText xml:space="preserve"> TOC \o "1-3" \h \z \u </w:instrText>
      </w:r>
      <w:r>
        <w:rPr>
          <w:rFonts w:hint="eastAsia" w:ascii="宋体" w:hAnsi="宋体"/>
          <w:sz w:val="28"/>
          <w:szCs w:val="28"/>
        </w:rPr>
        <w:fldChar w:fldCharType="separate"/>
      </w:r>
      <w:r>
        <w:rPr>
          <w:rFonts w:hint="eastAsia" w:ascii="宋体" w:hAnsi="宋体"/>
          <w:sz w:val="28"/>
          <w:szCs w:val="28"/>
          <w:u w:val="none"/>
        </w:rPr>
        <w:fldChar w:fldCharType="begin"/>
      </w:r>
      <w:r>
        <w:rPr>
          <w:rStyle w:val="10"/>
          <w:rFonts w:hint="eastAsia" w:ascii="宋体" w:hAnsi="宋体"/>
          <w:sz w:val="28"/>
          <w:szCs w:val="28"/>
          <w:u w:val="none"/>
        </w:rPr>
        <w:instrText xml:space="preserve"> </w:instrText>
      </w:r>
      <w:r>
        <w:rPr>
          <w:rFonts w:hint="eastAsia" w:ascii="宋体" w:hAnsi="宋体"/>
          <w:sz w:val="28"/>
          <w:szCs w:val="28"/>
        </w:rPr>
        <w:instrText xml:space="preserve">HYPERLINK \l "_Toc308700876"</w:instrText>
      </w:r>
      <w:r>
        <w:rPr>
          <w:rStyle w:val="10"/>
          <w:rFonts w:hint="eastAsia" w:ascii="宋体" w:hAnsi="宋体"/>
          <w:sz w:val="28"/>
          <w:szCs w:val="28"/>
          <w:u w:val="none"/>
        </w:rPr>
        <w:instrText xml:space="preserve"> </w:instrText>
      </w:r>
      <w:r>
        <w:rPr>
          <w:rFonts w:hint="eastAsia" w:ascii="宋体" w:hAnsi="宋体"/>
          <w:sz w:val="28"/>
          <w:szCs w:val="28"/>
          <w:u w:val="none"/>
        </w:rPr>
        <w:fldChar w:fldCharType="separate"/>
      </w:r>
      <w:r>
        <w:rPr>
          <w:rStyle w:val="10"/>
          <w:rFonts w:hint="eastAsia" w:ascii="宋体" w:hAnsi="宋体"/>
          <w:sz w:val="28"/>
          <w:szCs w:val="28"/>
          <w:u w:val="none"/>
        </w:rPr>
        <w:t xml:space="preserve">第一章  </w:t>
      </w:r>
      <w:r>
        <w:rPr>
          <w:rStyle w:val="10"/>
          <w:rFonts w:hint="eastAsia" w:ascii="宋体" w:hAnsi="宋体"/>
          <w:sz w:val="28"/>
          <w:szCs w:val="28"/>
          <w:u w:val="none"/>
          <w:lang w:eastAsia="zh-CN"/>
        </w:rPr>
        <w:t>询价</w:t>
      </w:r>
      <w:r>
        <w:rPr>
          <w:rStyle w:val="10"/>
          <w:rFonts w:hint="eastAsia" w:ascii="宋体" w:hAnsi="宋体"/>
          <w:sz w:val="28"/>
          <w:szCs w:val="28"/>
          <w:u w:val="none"/>
        </w:rPr>
        <w:t>公告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fldChar w:fldCharType="begin"/>
      </w:r>
      <w:r>
        <w:rPr>
          <w:rFonts w:hint="eastAsia" w:ascii="宋体" w:hAnsi="宋体"/>
          <w:sz w:val="28"/>
          <w:szCs w:val="28"/>
        </w:rPr>
        <w:instrText xml:space="preserve"> PAGEREF _Toc308700876 \h </w:instrText>
      </w:r>
      <w:r>
        <w:rPr>
          <w:rFonts w:hint="eastAsia" w:ascii="宋体" w:hAnsi="宋体"/>
          <w:sz w:val="28"/>
          <w:szCs w:val="28"/>
        </w:rPr>
        <w:fldChar w:fldCharType="separate"/>
      </w:r>
      <w:r>
        <w:rPr>
          <w:rFonts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</w:rPr>
        <w:fldChar w:fldCharType="end"/>
      </w:r>
      <w:r>
        <w:rPr>
          <w:rFonts w:hint="eastAsia" w:ascii="宋体" w:hAnsi="宋体"/>
          <w:sz w:val="28"/>
          <w:szCs w:val="28"/>
          <w:u w:val="none"/>
        </w:rPr>
        <w:fldChar w:fldCharType="end"/>
      </w:r>
    </w:p>
    <w:p>
      <w:pPr>
        <w:pStyle w:val="6"/>
        <w:spacing w:line="48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u w:val="none"/>
        </w:rPr>
        <w:fldChar w:fldCharType="begin"/>
      </w:r>
      <w:r>
        <w:rPr>
          <w:rStyle w:val="10"/>
          <w:rFonts w:hint="eastAsia" w:ascii="宋体" w:hAnsi="宋体"/>
          <w:sz w:val="28"/>
          <w:szCs w:val="28"/>
          <w:u w:val="none"/>
        </w:rPr>
        <w:instrText xml:space="preserve"> </w:instrText>
      </w:r>
      <w:r>
        <w:rPr>
          <w:rFonts w:hint="eastAsia" w:ascii="宋体" w:hAnsi="宋体"/>
          <w:sz w:val="28"/>
          <w:szCs w:val="28"/>
        </w:rPr>
        <w:instrText xml:space="preserve">HYPERLINK \l "_Toc308700877"</w:instrText>
      </w:r>
      <w:r>
        <w:rPr>
          <w:rStyle w:val="10"/>
          <w:rFonts w:hint="eastAsia" w:ascii="宋体" w:hAnsi="宋体"/>
          <w:sz w:val="28"/>
          <w:szCs w:val="28"/>
          <w:u w:val="none"/>
        </w:rPr>
        <w:instrText xml:space="preserve"> </w:instrText>
      </w:r>
      <w:r>
        <w:rPr>
          <w:rFonts w:hint="eastAsia" w:ascii="宋体" w:hAnsi="宋体"/>
          <w:sz w:val="28"/>
          <w:szCs w:val="28"/>
          <w:u w:val="none"/>
        </w:rPr>
        <w:fldChar w:fldCharType="separate"/>
      </w:r>
      <w:r>
        <w:rPr>
          <w:rStyle w:val="10"/>
          <w:rFonts w:hint="eastAsia" w:ascii="宋体" w:hAnsi="宋体"/>
          <w:sz w:val="28"/>
          <w:szCs w:val="28"/>
          <w:u w:val="none"/>
        </w:rPr>
        <w:t>第二章  投标须知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sz w:val="28"/>
          <w:szCs w:val="28"/>
          <w:u w:val="none"/>
        </w:rPr>
        <w:fldChar w:fldCharType="end"/>
      </w:r>
    </w:p>
    <w:p>
      <w:pPr>
        <w:pStyle w:val="6"/>
        <w:spacing w:line="480" w:lineRule="auto"/>
        <w:rPr>
          <w:rFonts w:hint="eastAsia" w:ascii="宋体" w:hAnsi="宋体"/>
          <w:sz w:val="28"/>
          <w:szCs w:val="28"/>
        </w:rPr>
      </w:pPr>
    </w:p>
    <w:p>
      <w:pPr>
        <w:pStyle w:val="6"/>
        <w:spacing w:line="480" w:lineRule="auto"/>
        <w:rPr>
          <w:rFonts w:hint="eastAsia" w:ascii="宋体" w:hAnsi="宋体"/>
          <w:sz w:val="28"/>
          <w:szCs w:val="28"/>
        </w:rPr>
      </w:pPr>
    </w:p>
    <w:p>
      <w:pPr>
        <w:pStyle w:val="6"/>
        <w:spacing w:line="480" w:lineRule="auto"/>
        <w:rPr>
          <w:rFonts w:hint="eastAsia" w:ascii="宋体" w:hAnsi="宋体"/>
          <w:sz w:val="28"/>
          <w:szCs w:val="28"/>
        </w:rPr>
      </w:pPr>
    </w:p>
    <w:p>
      <w:pPr>
        <w:keepNext/>
        <w:spacing w:before="120" w:beforeLines="50" w:line="480" w:lineRule="auto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sz w:val="28"/>
          <w:szCs w:val="28"/>
        </w:rPr>
        <w:fldChar w:fldCharType="end"/>
      </w:r>
      <w:r>
        <w:rPr>
          <w:rFonts w:hint="eastAsia" w:ascii="宋体" w:hAnsi="宋体"/>
          <w:b/>
          <w:szCs w:val="21"/>
        </w:rPr>
        <w:br w:type="page"/>
      </w:r>
      <w:bookmarkStart w:id="6" w:name="_GoBack"/>
      <w:bookmarkEnd w:id="6"/>
    </w:p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招标公告</w:t>
      </w:r>
    </w:p>
    <w:p>
      <w:pPr>
        <w:spacing w:line="200" w:lineRule="exact"/>
        <w:jc w:val="center"/>
        <w:rPr>
          <w:rFonts w:hint="eastAsia" w:ascii="宋体" w:hAnsi="宋体"/>
          <w:b/>
          <w:bCs/>
          <w:szCs w:val="21"/>
        </w:rPr>
      </w:pPr>
    </w:p>
    <w:p>
      <w:pPr>
        <w:spacing w:line="400" w:lineRule="exact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根据中华人民共和国环境保护法相关规定</w:t>
      </w:r>
      <w:r>
        <w:rPr>
          <w:rFonts w:hint="eastAsia" w:ascii="宋体" w:hAnsi="宋体"/>
          <w:szCs w:val="21"/>
        </w:rPr>
        <w:t>，</w:t>
      </w:r>
      <w:r>
        <w:rPr>
          <w:rFonts w:hint="eastAsia" w:ascii="宋体" w:hAnsi="宋体"/>
          <w:bCs/>
          <w:szCs w:val="21"/>
          <w:lang w:eastAsia="zh-CN"/>
        </w:rPr>
        <w:t>都江堰光明光电材料有限责任公司突发环境事件应急预案</w:t>
      </w:r>
      <w:r>
        <w:rPr>
          <w:rFonts w:hint="eastAsia" w:ascii="宋体" w:hAnsi="宋体"/>
          <w:bCs/>
          <w:szCs w:val="21"/>
        </w:rPr>
        <w:t>编制</w:t>
      </w:r>
      <w:r>
        <w:rPr>
          <w:rFonts w:hint="eastAsia" w:ascii="宋体" w:hAnsi="宋体"/>
          <w:szCs w:val="21"/>
        </w:rPr>
        <w:t>项目组织国内公开招标,现将有关事项公告如下：</w:t>
      </w:r>
    </w:p>
    <w:p>
      <w:pPr>
        <w:spacing w:line="400" w:lineRule="exact"/>
        <w:outlineLvl w:val="0"/>
        <w:rPr>
          <w:rFonts w:hint="eastAsia" w:ascii="宋体" w:hAnsi="宋体"/>
          <w:b/>
          <w:szCs w:val="21"/>
        </w:rPr>
      </w:pPr>
      <w:bookmarkStart w:id="0" w:name="_Toc351642176"/>
      <w:bookmarkStart w:id="1" w:name="_Toc351642782"/>
      <w:r>
        <w:rPr>
          <w:rFonts w:hint="eastAsia" w:ascii="宋体" w:hAnsi="宋体"/>
          <w:b/>
          <w:szCs w:val="21"/>
        </w:rPr>
        <w:t>一、项目概况：</w:t>
      </w:r>
      <w:bookmarkEnd w:id="0"/>
      <w:bookmarkEnd w:id="1"/>
    </w:p>
    <w:p>
      <w:pPr>
        <w:spacing w:line="400" w:lineRule="exact"/>
        <w:ind w:firstLine="436" w:firstLineChars="208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1、项目名称：</w:t>
      </w:r>
      <w:r>
        <w:rPr>
          <w:rFonts w:hint="eastAsia" w:ascii="宋体" w:hAnsi="宋体"/>
          <w:bCs/>
          <w:szCs w:val="21"/>
          <w:lang w:eastAsia="zh-CN"/>
        </w:rPr>
        <w:t>都江堰光明光电材料有限责任公司突发环境事件应急预案</w:t>
      </w:r>
      <w:r>
        <w:rPr>
          <w:rFonts w:hint="eastAsia" w:ascii="宋体" w:hAnsi="宋体"/>
          <w:bCs/>
          <w:szCs w:val="21"/>
        </w:rPr>
        <w:t>编制</w:t>
      </w:r>
      <w:r>
        <w:rPr>
          <w:rFonts w:hint="eastAsia" w:ascii="宋体" w:hAnsi="宋体"/>
          <w:szCs w:val="21"/>
        </w:rPr>
        <w:t>项目</w:t>
      </w:r>
    </w:p>
    <w:p>
      <w:pPr>
        <w:spacing w:line="400" w:lineRule="exact"/>
        <w:ind w:firstLine="436" w:firstLineChars="208"/>
        <w:rPr>
          <w:rFonts w:hint="default"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>2、招标编号：</w:t>
      </w:r>
      <w:r>
        <w:rPr>
          <w:rFonts w:hint="eastAsia" w:ascii="宋体" w:hAnsi="宋体"/>
          <w:szCs w:val="21"/>
          <w:lang w:val="en-US" w:eastAsia="zh-CN"/>
        </w:rPr>
        <w:t>DJYGMGD20210506</w:t>
      </w:r>
    </w:p>
    <w:p>
      <w:pPr>
        <w:spacing w:line="400" w:lineRule="exact"/>
        <w:ind w:firstLine="436" w:firstLineChars="208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>3</w:t>
      </w:r>
      <w:r>
        <w:rPr>
          <w:rFonts w:hint="eastAsia" w:ascii="宋体" w:hAnsi="宋体"/>
          <w:szCs w:val="21"/>
        </w:rPr>
        <w:t>、项目地点：</w:t>
      </w:r>
      <w:r>
        <w:rPr>
          <w:rFonts w:hint="eastAsia" w:ascii="宋体" w:hAnsi="宋体"/>
          <w:bCs/>
          <w:szCs w:val="21"/>
          <w:lang w:eastAsia="zh-CN"/>
        </w:rPr>
        <w:t>都江堰光明光电材料有限责任公司</w:t>
      </w:r>
      <w:r>
        <w:rPr>
          <w:rFonts w:hint="eastAsia" w:ascii="宋体" w:hAnsi="宋体"/>
          <w:szCs w:val="21"/>
        </w:rPr>
        <w:t>项目现场内</w:t>
      </w:r>
    </w:p>
    <w:p>
      <w:pPr>
        <w:spacing w:line="400" w:lineRule="exact"/>
        <w:ind w:firstLine="436" w:firstLineChars="208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>4</w:t>
      </w:r>
      <w:r>
        <w:rPr>
          <w:rFonts w:hint="eastAsia" w:ascii="宋体" w:hAnsi="宋体"/>
          <w:szCs w:val="21"/>
        </w:rPr>
        <w:t>、资金来源：企业自筹。</w:t>
      </w:r>
    </w:p>
    <w:p>
      <w:pPr>
        <w:spacing w:line="400" w:lineRule="exact"/>
        <w:outlineLvl w:val="0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二、招标范围：</w:t>
      </w:r>
    </w:p>
    <w:p>
      <w:pPr>
        <w:spacing w:line="400" w:lineRule="exact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对</w:t>
      </w:r>
      <w:r>
        <w:rPr>
          <w:rFonts w:hint="eastAsia" w:ascii="宋体" w:hAnsi="宋体"/>
          <w:bCs/>
          <w:szCs w:val="21"/>
          <w:lang w:eastAsia="zh-CN"/>
        </w:rPr>
        <w:t>都江堰光明光电材料有限责任公司</w:t>
      </w:r>
      <w:r>
        <w:rPr>
          <w:rFonts w:hint="eastAsia" w:ascii="宋体" w:hAnsi="宋体"/>
          <w:bCs/>
          <w:szCs w:val="21"/>
        </w:rPr>
        <w:t>《</w:t>
      </w:r>
      <w:r>
        <w:rPr>
          <w:rFonts w:hint="eastAsia" w:ascii="宋体" w:hAnsi="宋体"/>
          <w:bCs/>
          <w:szCs w:val="21"/>
          <w:lang w:eastAsia="zh-CN"/>
        </w:rPr>
        <w:t>突发环境事件应急预案</w:t>
      </w:r>
      <w:r>
        <w:rPr>
          <w:rFonts w:hint="eastAsia" w:ascii="宋体" w:hAnsi="宋体"/>
          <w:bCs/>
          <w:szCs w:val="21"/>
        </w:rPr>
        <w:t>》进行</w:t>
      </w:r>
      <w:r>
        <w:rPr>
          <w:rFonts w:hint="eastAsia" w:ascii="宋体" w:hAnsi="宋体"/>
          <w:szCs w:val="21"/>
        </w:rPr>
        <w:t>编制，并通过评审，取得批复。</w:t>
      </w:r>
    </w:p>
    <w:p>
      <w:pPr>
        <w:spacing w:line="400" w:lineRule="exact"/>
        <w:outlineLvl w:val="0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三、投标人资格要求：</w:t>
      </w:r>
    </w:p>
    <w:p>
      <w:pPr>
        <w:spacing w:line="400" w:lineRule="exact"/>
        <w:ind w:right="162" w:rightChars="77"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1、投标人须是中华人民共和国境内注册，依法具有独立承担民事责任能力、对投标项目有承包和服务能力的法人企业或其他组织；</w:t>
      </w:r>
    </w:p>
    <w:p>
      <w:pPr>
        <w:spacing w:line="400" w:lineRule="exact"/>
        <w:ind w:right="162" w:rightChars="77"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2、</w:t>
      </w:r>
      <w:r>
        <w:rPr>
          <w:rFonts w:ascii="宋体" w:hAnsi="宋体"/>
          <w:szCs w:val="21"/>
        </w:rPr>
        <w:t>具备行政主管部门核发的</w:t>
      </w:r>
      <w:r>
        <w:rPr>
          <w:rFonts w:hint="eastAsia" w:ascii="宋体" w:hAnsi="宋体"/>
          <w:szCs w:val="21"/>
          <w:lang w:eastAsia="zh-CN"/>
        </w:rPr>
        <w:t>突发环境事件应急预案</w:t>
      </w:r>
      <w:r>
        <w:rPr>
          <w:rFonts w:ascii="宋体" w:hAnsi="宋体"/>
          <w:szCs w:val="21"/>
        </w:rPr>
        <w:t>技术服务机构备案证书</w:t>
      </w:r>
      <w:r>
        <w:rPr>
          <w:rFonts w:hint="eastAsia" w:ascii="宋体" w:hAnsi="宋体"/>
          <w:szCs w:val="21"/>
        </w:rPr>
        <w:t>；</w:t>
      </w:r>
    </w:p>
    <w:p>
      <w:pPr>
        <w:spacing w:line="400" w:lineRule="exact"/>
        <w:ind w:right="162" w:rightChars="77"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3、具有经过相关部门组织的</w:t>
      </w:r>
      <w:r>
        <w:rPr>
          <w:rFonts w:hint="eastAsia" w:ascii="宋体" w:hAnsi="宋体"/>
          <w:bCs/>
          <w:szCs w:val="21"/>
          <w:lang w:eastAsia="zh-CN"/>
        </w:rPr>
        <w:t>突发环境事件应急预案</w:t>
      </w:r>
      <w:r>
        <w:rPr>
          <w:rFonts w:hint="eastAsia" w:ascii="宋体" w:hAnsi="宋体"/>
          <w:bCs/>
          <w:szCs w:val="21"/>
        </w:rPr>
        <w:t>编制</w:t>
      </w:r>
      <w:r>
        <w:rPr>
          <w:rFonts w:hint="eastAsia" w:ascii="宋体" w:hAnsi="宋体"/>
          <w:szCs w:val="21"/>
        </w:rPr>
        <w:t>业务培训且考核合格的专业技术人员；</w:t>
      </w:r>
    </w:p>
    <w:p>
      <w:pPr>
        <w:spacing w:line="400" w:lineRule="exact"/>
        <w:ind w:right="162" w:rightChars="77"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4、投标人具有良好信誉和近三年同类型业绩；</w:t>
      </w:r>
    </w:p>
    <w:p>
      <w:pPr>
        <w:spacing w:line="400" w:lineRule="exact"/>
        <w:ind w:right="162" w:rightChars="77"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>5</w:t>
      </w:r>
      <w:r>
        <w:rPr>
          <w:rFonts w:hint="eastAsia" w:ascii="宋体" w:hAnsi="宋体"/>
          <w:szCs w:val="21"/>
        </w:rPr>
        <w:t>、本次投标不接受联合体投标。</w:t>
      </w:r>
    </w:p>
    <w:p>
      <w:pPr>
        <w:spacing w:line="400" w:lineRule="exact"/>
        <w:outlineLvl w:val="0"/>
        <w:rPr>
          <w:rFonts w:hint="eastAsia" w:ascii="宋体" w:hAnsi="宋体"/>
          <w:szCs w:val="21"/>
        </w:rPr>
      </w:pPr>
      <w:bookmarkStart w:id="2" w:name="_Toc351642783"/>
      <w:bookmarkStart w:id="3" w:name="_Toc351642177"/>
      <w:r>
        <w:rPr>
          <w:rFonts w:hint="eastAsia" w:ascii="宋体" w:hAnsi="宋体"/>
          <w:b/>
          <w:szCs w:val="21"/>
        </w:rPr>
        <w:t>四、报名时携带以下资料原件，并留存加盖单位公章的复印件一套（拉杆装订）：</w:t>
      </w:r>
      <w:bookmarkEnd w:id="2"/>
      <w:bookmarkEnd w:id="3"/>
    </w:p>
    <w:p>
      <w:pPr>
        <w:widowControl/>
        <w:numPr>
          <w:ilvl w:val="0"/>
          <w:numId w:val="1"/>
        </w:numPr>
        <w:tabs>
          <w:tab w:val="left" w:pos="900"/>
          <w:tab w:val="clear" w:pos="360"/>
        </w:tabs>
        <w:spacing w:line="400" w:lineRule="exact"/>
        <w:ind w:left="900" w:right="162" w:rightChars="77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营业执照（副本），税务登记证（副本），组织机构代码证（副本）；</w:t>
      </w:r>
    </w:p>
    <w:p>
      <w:pPr>
        <w:widowControl/>
        <w:numPr>
          <w:ilvl w:val="0"/>
          <w:numId w:val="1"/>
        </w:numPr>
        <w:tabs>
          <w:tab w:val="left" w:pos="900"/>
          <w:tab w:val="clear" w:pos="360"/>
        </w:tabs>
        <w:spacing w:line="400" w:lineRule="exact"/>
        <w:ind w:left="900" w:right="162" w:rightChars="77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单位授权委托书、被授权人身份证复印件、单位负责人代表身份证复印件；</w:t>
      </w:r>
    </w:p>
    <w:p>
      <w:pPr>
        <w:widowControl/>
        <w:numPr>
          <w:ilvl w:val="0"/>
          <w:numId w:val="1"/>
        </w:numPr>
        <w:tabs>
          <w:tab w:val="left" w:pos="900"/>
          <w:tab w:val="clear" w:pos="360"/>
        </w:tabs>
        <w:spacing w:line="400" w:lineRule="exact"/>
        <w:ind w:left="900" w:right="162" w:rightChars="77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企业相关资质证书；</w:t>
      </w:r>
    </w:p>
    <w:p>
      <w:pPr>
        <w:widowControl/>
        <w:numPr>
          <w:ilvl w:val="0"/>
          <w:numId w:val="1"/>
        </w:numPr>
        <w:tabs>
          <w:tab w:val="left" w:pos="900"/>
          <w:tab w:val="clear" w:pos="360"/>
        </w:tabs>
        <w:spacing w:line="400" w:lineRule="exact"/>
        <w:ind w:left="900" w:right="162" w:rightChars="77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基本账户开户许可证；</w:t>
      </w:r>
    </w:p>
    <w:p>
      <w:pPr>
        <w:widowControl/>
        <w:numPr>
          <w:ilvl w:val="0"/>
          <w:numId w:val="1"/>
        </w:numPr>
        <w:tabs>
          <w:tab w:val="left" w:pos="900"/>
          <w:tab w:val="clear" w:pos="360"/>
        </w:tabs>
        <w:spacing w:line="400" w:lineRule="exact"/>
        <w:ind w:left="900" w:right="162" w:rightChars="77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近三年有类似项目业绩（以合同为准，提供两项业绩）。</w:t>
      </w:r>
    </w:p>
    <w:p>
      <w:pPr>
        <w:spacing w:line="400" w:lineRule="exact"/>
        <w:outlineLvl w:val="0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五、招标</w:t>
      </w:r>
      <w:r>
        <w:rPr>
          <w:rFonts w:hint="eastAsia" w:ascii="宋体" w:hAnsi="宋体"/>
          <w:b/>
          <w:szCs w:val="21"/>
          <w:lang w:eastAsia="zh-CN"/>
        </w:rPr>
        <w:t>时间</w:t>
      </w:r>
      <w:r>
        <w:rPr>
          <w:rFonts w:hint="eastAsia" w:ascii="宋体" w:hAnsi="宋体"/>
          <w:b/>
          <w:szCs w:val="21"/>
        </w:rPr>
        <w:t>和地点：</w:t>
      </w:r>
    </w:p>
    <w:p>
      <w:pPr>
        <w:spacing w:line="460" w:lineRule="exact"/>
        <w:ind w:right="162" w:rightChars="77" w:firstLine="403" w:firstLineChars="192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1、时间：20</w:t>
      </w:r>
      <w:r>
        <w:rPr>
          <w:rFonts w:hint="eastAsia" w:ascii="宋体" w:hAnsi="宋体"/>
          <w:szCs w:val="21"/>
          <w:lang w:val="en-US" w:eastAsia="zh-CN"/>
        </w:rPr>
        <w:t>21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lang w:val="en-US" w:eastAsia="zh-CN"/>
        </w:rPr>
        <w:t>5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lang w:val="en-US" w:eastAsia="zh-CN"/>
        </w:rPr>
        <w:t>6</w:t>
      </w:r>
      <w:r>
        <w:rPr>
          <w:rFonts w:hint="eastAsia" w:ascii="宋体" w:hAnsi="宋体"/>
          <w:szCs w:val="21"/>
        </w:rPr>
        <w:t>日至20</w:t>
      </w:r>
      <w:r>
        <w:rPr>
          <w:rFonts w:hint="eastAsia" w:ascii="宋体" w:hAnsi="宋体"/>
          <w:szCs w:val="21"/>
          <w:lang w:val="en-US" w:eastAsia="zh-CN"/>
        </w:rPr>
        <w:t>21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lang w:val="en-US" w:eastAsia="zh-CN"/>
        </w:rPr>
        <w:t>5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lang w:val="en-US" w:eastAsia="zh-CN"/>
        </w:rPr>
        <w:t>13</w:t>
      </w:r>
      <w:r>
        <w:rPr>
          <w:rFonts w:hint="eastAsia" w:ascii="宋体" w:hAnsi="宋体"/>
          <w:szCs w:val="21"/>
        </w:rPr>
        <w:t>日</w:t>
      </w:r>
      <w:r>
        <w:rPr>
          <w:rFonts w:hint="eastAsia" w:ascii="宋体" w:hAnsi="宋体"/>
        </w:rPr>
        <w:t>（上午</w:t>
      </w:r>
      <w:r>
        <w:rPr>
          <w:rFonts w:ascii="宋体" w:hAnsi="宋体"/>
        </w:rPr>
        <w:t>9</w:t>
      </w:r>
      <w:r>
        <w:rPr>
          <w:rFonts w:hint="eastAsia" w:ascii="宋体" w:hAnsi="宋体"/>
        </w:rPr>
        <w:t>：</w:t>
      </w:r>
      <w:r>
        <w:rPr>
          <w:rFonts w:ascii="宋体"/>
        </w:rPr>
        <w:t>00</w:t>
      </w:r>
      <w:r>
        <w:rPr>
          <w:rFonts w:ascii="宋体" w:hAnsi="宋体"/>
        </w:rPr>
        <w:t>—11</w:t>
      </w:r>
      <w:r>
        <w:rPr>
          <w:rFonts w:hint="eastAsia" w:ascii="宋体" w:hAnsi="宋体"/>
        </w:rPr>
        <w:t>：</w:t>
      </w:r>
      <w:r>
        <w:rPr>
          <w:rFonts w:ascii="宋体" w:hAnsi="宋体"/>
        </w:rPr>
        <w:t>30</w:t>
      </w:r>
      <w:r>
        <w:rPr>
          <w:rFonts w:hint="eastAsia" w:ascii="宋体" w:hAnsi="宋体"/>
        </w:rPr>
        <w:t>，下午</w:t>
      </w:r>
      <w:r>
        <w:rPr>
          <w:rFonts w:ascii="宋体" w:hAnsi="宋体"/>
        </w:rPr>
        <w:t>14</w:t>
      </w:r>
      <w:r>
        <w:rPr>
          <w:rFonts w:hint="eastAsia" w:ascii="宋体" w:hAnsi="宋体"/>
        </w:rPr>
        <w:t>：</w:t>
      </w:r>
      <w:r>
        <w:rPr>
          <w:rFonts w:ascii="宋体" w:hAnsi="宋体"/>
        </w:rPr>
        <w:t>30-17</w:t>
      </w:r>
      <w:r>
        <w:rPr>
          <w:rFonts w:hint="eastAsia" w:ascii="宋体" w:hAnsi="宋体"/>
        </w:rPr>
        <w:t>：</w:t>
      </w:r>
      <w:r>
        <w:rPr>
          <w:rFonts w:ascii="宋体"/>
        </w:rPr>
        <w:t>00</w:t>
      </w:r>
      <w:r>
        <w:rPr>
          <w:rFonts w:hint="eastAsia" w:ascii="宋体" w:hAnsi="宋体"/>
        </w:rPr>
        <w:t>，</w:t>
      </w:r>
      <w:r>
        <w:rPr>
          <w:rFonts w:hint="eastAsia" w:ascii="宋体" w:hAnsi="宋体"/>
          <w:szCs w:val="21"/>
        </w:rPr>
        <w:t>法定节假日除外）。</w:t>
      </w:r>
    </w:p>
    <w:p>
      <w:pPr>
        <w:spacing w:line="460" w:lineRule="exact"/>
        <w:ind w:right="162" w:rightChars="77" w:firstLine="403" w:firstLineChars="192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2、地点：</w:t>
      </w:r>
      <w:r>
        <w:rPr>
          <w:rFonts w:hint="eastAsia" w:ascii="宋体" w:hAnsi="宋体"/>
          <w:szCs w:val="21"/>
          <w:lang w:eastAsia="zh-CN"/>
        </w:rPr>
        <w:t>四川省成都市都江堰市蒲阳街道光泰路</w:t>
      </w:r>
      <w:r>
        <w:rPr>
          <w:rFonts w:hint="eastAsia" w:ascii="宋体" w:hAnsi="宋体"/>
          <w:szCs w:val="21"/>
          <w:lang w:val="en-US" w:eastAsia="zh-CN"/>
        </w:rPr>
        <w:t>10号都江堰光明光电材料有限责任公司</w:t>
      </w:r>
      <w:r>
        <w:rPr>
          <w:rFonts w:hint="eastAsia" w:ascii="宋体" w:hAnsi="宋体"/>
          <w:szCs w:val="21"/>
        </w:rPr>
        <w:t>。</w:t>
      </w:r>
    </w:p>
    <w:p>
      <w:pPr>
        <w:spacing w:line="420" w:lineRule="exac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六、投标文件递交及相关事宜:</w:t>
      </w:r>
    </w:p>
    <w:p>
      <w:pPr>
        <w:spacing w:line="420" w:lineRule="exact"/>
        <w:ind w:firstLine="411" w:firstLineChars="196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1、投标文件递交截止时间为20</w:t>
      </w:r>
      <w:r>
        <w:rPr>
          <w:rFonts w:hint="eastAsia" w:ascii="宋体" w:hAnsi="宋体"/>
          <w:szCs w:val="21"/>
          <w:lang w:val="en-US" w:eastAsia="zh-CN"/>
        </w:rPr>
        <w:t>21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lang w:val="en-US" w:eastAsia="zh-CN"/>
        </w:rPr>
        <w:t>5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lang w:val="en-US" w:eastAsia="zh-CN"/>
        </w:rPr>
        <w:t>13</w:t>
      </w:r>
      <w:r>
        <w:rPr>
          <w:rFonts w:hint="eastAsia" w:ascii="宋体" w:hAnsi="宋体"/>
          <w:szCs w:val="21"/>
        </w:rPr>
        <w:t>日</w:t>
      </w:r>
      <w:r>
        <w:rPr>
          <w:rFonts w:hint="eastAsia" w:ascii="宋体" w:hAnsi="宋体"/>
          <w:szCs w:val="21"/>
          <w:lang w:val="en-US" w:eastAsia="zh-CN"/>
        </w:rPr>
        <w:t>17</w:t>
      </w:r>
      <w:r>
        <w:rPr>
          <w:rFonts w:hint="eastAsia" w:ascii="宋体" w:hAnsi="宋体"/>
          <w:szCs w:val="21"/>
        </w:rPr>
        <w:t>时00分,投标人应于投标截止时间前递交投标文件至招标文件中指定的地点</w:t>
      </w:r>
      <w:r>
        <w:rPr>
          <w:rFonts w:hint="eastAsia" w:ascii="宋体" w:hAnsi="宋体"/>
          <w:szCs w:val="21"/>
          <w:lang w:val="en-US" w:eastAsia="zh-CN"/>
        </w:rPr>
        <w:t>:都江堰市蒲阳街道经开区光泰路10号都江堰光明光电材料有限责任公司财务部邓建国收</w:t>
      </w:r>
      <w:r>
        <w:rPr>
          <w:rFonts w:hint="eastAsia" w:ascii="宋体" w:hAnsi="宋体"/>
          <w:szCs w:val="21"/>
        </w:rPr>
        <w:t>。</w:t>
      </w:r>
    </w:p>
    <w:p>
      <w:pPr>
        <w:spacing w:line="420" w:lineRule="exact"/>
        <w:ind w:firstLine="411" w:firstLineChars="196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2、逾期送达或未送达</w:t>
      </w:r>
      <w:r>
        <w:rPr>
          <w:rFonts w:hint="eastAsia" w:ascii="宋体" w:hAnsi="宋体"/>
          <w:szCs w:val="21"/>
          <w:lang w:eastAsia="zh-CN"/>
        </w:rPr>
        <w:t>指定</w:t>
      </w:r>
      <w:r>
        <w:rPr>
          <w:rFonts w:hint="eastAsia" w:ascii="宋体" w:hAnsi="宋体"/>
          <w:szCs w:val="21"/>
        </w:rPr>
        <w:t>地点的投标文件,招标人不予受理。</w:t>
      </w:r>
    </w:p>
    <w:p>
      <w:pPr>
        <w:spacing w:line="420" w:lineRule="exac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七、开标时间、开标地点：</w:t>
      </w:r>
    </w:p>
    <w:p>
      <w:pPr>
        <w:spacing w:line="42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1、开标时间：20</w:t>
      </w:r>
      <w:r>
        <w:rPr>
          <w:rFonts w:hint="eastAsia" w:ascii="宋体" w:hAnsi="宋体"/>
          <w:szCs w:val="21"/>
          <w:lang w:val="en-US" w:eastAsia="zh-CN"/>
        </w:rPr>
        <w:t>2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lang w:val="en-US" w:eastAsia="zh-CN"/>
        </w:rPr>
        <w:t>5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lang w:val="en-US" w:eastAsia="zh-CN"/>
        </w:rPr>
        <w:t>17</w:t>
      </w:r>
      <w:r>
        <w:rPr>
          <w:rFonts w:hint="eastAsia" w:ascii="宋体" w:hAnsi="宋体"/>
          <w:szCs w:val="21"/>
        </w:rPr>
        <w:t>日上午9时整。</w:t>
      </w:r>
    </w:p>
    <w:p>
      <w:pPr>
        <w:spacing w:line="42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2、开标地点：详见招标文件。</w:t>
      </w:r>
    </w:p>
    <w:p>
      <w:pPr>
        <w:spacing w:line="420" w:lineRule="exac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  <w:lang w:eastAsia="zh-CN"/>
        </w:rPr>
        <w:t>八</w:t>
      </w:r>
      <w:r>
        <w:rPr>
          <w:rFonts w:hint="eastAsia" w:ascii="宋体" w:hAnsi="宋体"/>
          <w:b/>
          <w:szCs w:val="21"/>
        </w:rPr>
        <w:t xml:space="preserve">、联系方式   </w:t>
      </w:r>
    </w:p>
    <w:p>
      <w:pPr>
        <w:spacing w:line="460" w:lineRule="exact"/>
        <w:ind w:right="162" w:rightChars="77" w:firstLine="420" w:firstLineChars="200"/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/>
          <w:szCs w:val="21"/>
        </w:rPr>
        <w:t>招 标 人：</w:t>
      </w:r>
      <w:r>
        <w:rPr>
          <w:rFonts w:hint="eastAsia" w:ascii="宋体" w:hAnsi="宋体"/>
          <w:szCs w:val="21"/>
          <w:lang w:eastAsia="zh-CN"/>
        </w:rPr>
        <w:t>都江堰光明光电材料有限责任公司</w:t>
      </w:r>
    </w:p>
    <w:p>
      <w:pPr>
        <w:spacing w:line="460" w:lineRule="exact"/>
        <w:ind w:right="162" w:rightChars="77" w:firstLine="420" w:firstLineChars="200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>联 系 人：</w:t>
      </w:r>
      <w:r>
        <w:rPr>
          <w:rFonts w:hint="eastAsia" w:ascii="宋体" w:hAnsi="宋体"/>
          <w:szCs w:val="21"/>
          <w:lang w:eastAsia="zh-CN"/>
        </w:rPr>
        <w:t>杨贵昌</w:t>
      </w:r>
    </w:p>
    <w:p>
      <w:pPr>
        <w:spacing w:line="460" w:lineRule="exact"/>
        <w:ind w:right="162" w:rightChars="77" w:firstLine="420" w:firstLineChars="200"/>
        <w:rPr>
          <w:rFonts w:hint="default" w:ascii="宋体" w:hAnsi="宋体" w:eastAsia="宋体"/>
          <w:b/>
          <w:color w:val="000000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 w:ascii="宋体" w:hAnsi="宋体"/>
          <w:szCs w:val="21"/>
          <w:lang w:val="en-US" w:eastAsia="zh-CN"/>
        </w:rPr>
        <w:t>13668159561</w:t>
      </w:r>
    </w:p>
    <w:p>
      <w:pPr>
        <w:pStyle w:val="3"/>
        <w:keepNext/>
        <w:topLinePunct/>
        <w:autoSpaceDE w:val="0"/>
        <w:autoSpaceDN w:val="0"/>
        <w:snapToGrid w:val="0"/>
        <w:spacing w:line="360" w:lineRule="auto"/>
        <w:jc w:val="both"/>
        <w:outlineLvl w:val="0"/>
        <w:rPr>
          <w:rFonts w:hint="eastAsia" w:ascii="宋体" w:hAnsi="宋体" w:eastAsia="宋体"/>
          <w:b/>
          <w:sz w:val="44"/>
          <w:szCs w:val="44"/>
        </w:rPr>
      </w:pPr>
      <w:bookmarkStart w:id="4" w:name="_投标须知及投标须知前附表"/>
      <w:bookmarkEnd w:id="4"/>
      <w:bookmarkStart w:id="5" w:name="_Toc308700877"/>
    </w:p>
    <w:p>
      <w:pPr>
        <w:pStyle w:val="3"/>
        <w:keepNext/>
        <w:topLinePunct/>
        <w:autoSpaceDE w:val="0"/>
        <w:autoSpaceDN w:val="0"/>
        <w:snapToGrid w:val="0"/>
        <w:spacing w:line="360" w:lineRule="auto"/>
        <w:jc w:val="both"/>
        <w:outlineLvl w:val="0"/>
        <w:rPr>
          <w:rFonts w:hint="eastAsia" w:ascii="宋体" w:hAnsi="宋体" w:eastAsia="宋体"/>
          <w:b/>
          <w:sz w:val="44"/>
          <w:szCs w:val="44"/>
        </w:rPr>
      </w:pPr>
    </w:p>
    <w:bookmarkEnd w:id="5"/>
    <w:p>
      <w:pPr>
        <w:bidi w:val="0"/>
        <w:jc w:val="left"/>
        <w:rPr>
          <w:rFonts w:hint="eastAsia"/>
        </w:rPr>
      </w:pPr>
      <w:r>
        <w:rPr>
          <w:rFonts w:hint="eastAsia"/>
        </w:rPr>
        <w:br w:type="page"/>
      </w:r>
    </w:p>
    <w:p>
      <w:pPr>
        <w:pStyle w:val="3"/>
        <w:keepNext/>
        <w:topLinePunct/>
        <w:autoSpaceDE w:val="0"/>
        <w:autoSpaceDN w:val="0"/>
        <w:snapToGrid w:val="0"/>
        <w:spacing w:line="360" w:lineRule="auto"/>
        <w:jc w:val="center"/>
        <w:outlineLvl w:val="0"/>
        <w:rPr>
          <w:rFonts w:hint="eastAsia"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第二章  投标须知</w:t>
      </w:r>
    </w:p>
    <w:p>
      <w:pPr>
        <w:pStyle w:val="2"/>
        <w:keepNext/>
        <w:topLinePunct/>
        <w:autoSpaceDE w:val="0"/>
        <w:autoSpaceDN w:val="0"/>
        <w:snapToGrid w:val="0"/>
        <w:spacing w:line="560" w:lineRule="exact"/>
        <w:ind w:left="575" w:hanging="575" w:hangingChars="191"/>
        <w:jc w:val="center"/>
        <w:rPr>
          <w:rFonts w:hint="eastAsia" w:ascii="宋体" w:hAnsi="宋体"/>
          <w:b/>
          <w:sz w:val="30"/>
          <w:szCs w:val="30"/>
        </w:rPr>
      </w:pPr>
    </w:p>
    <w:p>
      <w:pPr>
        <w:pStyle w:val="2"/>
        <w:keepNext/>
        <w:topLinePunct/>
        <w:autoSpaceDE w:val="0"/>
        <w:autoSpaceDN w:val="0"/>
        <w:snapToGrid w:val="0"/>
        <w:spacing w:line="560" w:lineRule="exact"/>
        <w:ind w:left="575" w:hanging="575" w:hangingChars="191"/>
        <w:jc w:val="center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一、投标须知前附表</w:t>
      </w:r>
    </w:p>
    <w:tbl>
      <w:tblPr>
        <w:tblStyle w:val="8"/>
        <w:tblW w:w="95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947"/>
        <w:gridCol w:w="1732"/>
        <w:gridCol w:w="6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tblHeader/>
          <w:jc w:val="center"/>
        </w:trPr>
        <w:tc>
          <w:tcPr>
            <w:tcW w:w="700" w:type="dxa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项号</w:t>
            </w:r>
          </w:p>
        </w:tc>
        <w:tc>
          <w:tcPr>
            <w:tcW w:w="947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条款号</w:t>
            </w:r>
          </w:p>
        </w:tc>
        <w:tc>
          <w:tcPr>
            <w:tcW w:w="1732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内容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说明与要求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70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right="162" w:rightChars="77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1.1</w:t>
            </w:r>
          </w:p>
        </w:tc>
        <w:tc>
          <w:tcPr>
            <w:tcW w:w="173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项目名称</w:t>
            </w:r>
          </w:p>
        </w:tc>
        <w:tc>
          <w:tcPr>
            <w:tcW w:w="6211" w:type="dxa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right="162" w:rightChars="77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都江堰光明光电材料有限责任公司突发环境事件应急预案</w:t>
            </w:r>
            <w:r>
              <w:rPr>
                <w:rFonts w:hint="eastAsia" w:ascii="宋体" w:hAnsi="宋体"/>
                <w:szCs w:val="21"/>
              </w:rPr>
              <w:t>编制项目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0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right="162" w:rightChars="77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1.1</w:t>
            </w:r>
          </w:p>
        </w:tc>
        <w:tc>
          <w:tcPr>
            <w:tcW w:w="173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招标编号</w:t>
            </w:r>
          </w:p>
        </w:tc>
        <w:tc>
          <w:tcPr>
            <w:tcW w:w="6211" w:type="dxa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firstLine="436" w:firstLineChars="208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DJYGMGD20210506</w:t>
            </w:r>
          </w:p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70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right="162" w:rightChars="77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1.1</w:t>
            </w:r>
          </w:p>
        </w:tc>
        <w:tc>
          <w:tcPr>
            <w:tcW w:w="173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建设地点</w:t>
            </w:r>
          </w:p>
        </w:tc>
        <w:tc>
          <w:tcPr>
            <w:tcW w:w="6211" w:type="dxa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都江堰光明光电材料有限责任公司</w:t>
            </w:r>
            <w:r>
              <w:rPr>
                <w:rFonts w:hint="eastAsia" w:ascii="宋体" w:hAnsi="宋体"/>
                <w:color w:val="000000"/>
                <w:szCs w:val="21"/>
              </w:rPr>
              <w:t>项目现场内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70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right="162" w:rightChars="77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1.1</w:t>
            </w:r>
          </w:p>
        </w:tc>
        <w:tc>
          <w:tcPr>
            <w:tcW w:w="173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规模及性质</w:t>
            </w:r>
          </w:p>
        </w:tc>
        <w:tc>
          <w:tcPr>
            <w:tcW w:w="621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\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70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right="162" w:rightChars="77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1.1</w:t>
            </w:r>
          </w:p>
        </w:tc>
        <w:tc>
          <w:tcPr>
            <w:tcW w:w="173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招标人</w:t>
            </w:r>
          </w:p>
        </w:tc>
        <w:tc>
          <w:tcPr>
            <w:tcW w:w="621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都江堰光明光电材料有限责任公司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  <w:jc w:val="center"/>
        </w:trPr>
        <w:tc>
          <w:tcPr>
            <w:tcW w:w="70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right="162" w:rightChars="77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2.1</w:t>
            </w:r>
          </w:p>
        </w:tc>
        <w:tc>
          <w:tcPr>
            <w:tcW w:w="173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94" w:firstLineChars="45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招标内容及</w:t>
            </w:r>
          </w:p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94" w:firstLineChars="45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范围</w:t>
            </w:r>
          </w:p>
        </w:tc>
        <w:tc>
          <w:tcPr>
            <w:tcW w:w="6211" w:type="dxa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ind w:right="321" w:rightChars="153"/>
              <w:jc w:val="left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对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都江堰光明光电材料有限责任公司</w:t>
            </w:r>
            <w:r>
              <w:rPr>
                <w:rFonts w:hint="eastAsia" w:ascii="宋体" w:hAnsi="宋体"/>
                <w:bCs/>
                <w:szCs w:val="21"/>
              </w:rPr>
              <w:t>《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突发环境事件应急预案</w:t>
            </w:r>
            <w:r>
              <w:rPr>
                <w:rFonts w:hint="eastAsia" w:ascii="宋体" w:hAnsi="宋体"/>
                <w:bCs/>
                <w:szCs w:val="21"/>
              </w:rPr>
              <w:t>》进行</w:t>
            </w:r>
            <w:r>
              <w:rPr>
                <w:rFonts w:hint="eastAsia" w:ascii="宋体" w:hAnsi="宋体"/>
                <w:szCs w:val="21"/>
              </w:rPr>
              <w:t>编制，通过评审，取得批复。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70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right="162" w:rightChars="77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2.2</w:t>
            </w:r>
          </w:p>
        </w:tc>
        <w:tc>
          <w:tcPr>
            <w:tcW w:w="173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94" w:firstLineChars="45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编制期限</w:t>
            </w:r>
          </w:p>
        </w:tc>
        <w:tc>
          <w:tcPr>
            <w:tcW w:w="6211" w:type="dxa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pStyle w:val="7"/>
              <w:keepNext/>
              <w:spacing w:before="0" w:beforeAutospacing="0" w:after="0" w:afterAutospacing="0"/>
              <w:jc w:val="both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/>
                <w:color w:val="000000"/>
                <w:sz w:val="21"/>
                <w:szCs w:val="21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70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right="162" w:rightChars="77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3.1</w:t>
            </w:r>
          </w:p>
        </w:tc>
        <w:tc>
          <w:tcPr>
            <w:tcW w:w="173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资金来源</w:t>
            </w:r>
          </w:p>
        </w:tc>
        <w:tc>
          <w:tcPr>
            <w:tcW w:w="6211" w:type="dxa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2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企业自筹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70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right="162" w:rightChars="77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4.2</w:t>
            </w:r>
          </w:p>
        </w:tc>
        <w:tc>
          <w:tcPr>
            <w:tcW w:w="173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right="162" w:rightChars="77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合格投标人</w:t>
            </w:r>
          </w:p>
          <w:p>
            <w:pPr>
              <w:spacing w:line="400" w:lineRule="exact"/>
              <w:ind w:right="162" w:rightChars="77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条件</w:t>
            </w:r>
          </w:p>
        </w:tc>
        <w:tc>
          <w:tcPr>
            <w:tcW w:w="6211" w:type="dxa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right="162" w:rightChars="77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1、投标人须是中华人民共和国境内注册，依法具有独立承担民事责任能力、对投标项目有承包和服务能力的法人企业或其他组织；</w:t>
            </w:r>
          </w:p>
          <w:p>
            <w:pPr>
              <w:spacing w:line="400" w:lineRule="exact"/>
              <w:ind w:right="162" w:rightChars="77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2、</w:t>
            </w:r>
            <w:r>
              <w:rPr>
                <w:rFonts w:ascii="宋体" w:hAnsi="宋体"/>
                <w:szCs w:val="21"/>
              </w:rPr>
              <w:t>具备行政主管部门核发的</w:t>
            </w:r>
            <w:r>
              <w:rPr>
                <w:rFonts w:hint="eastAsia" w:ascii="宋体" w:hAnsi="宋体"/>
                <w:szCs w:val="21"/>
                <w:lang w:eastAsia="zh-CN"/>
              </w:rPr>
              <w:t>突发环境事件应急预案</w:t>
            </w:r>
            <w:r>
              <w:rPr>
                <w:rFonts w:ascii="宋体" w:hAnsi="宋体"/>
                <w:szCs w:val="21"/>
              </w:rPr>
              <w:t>技术服务机构备案证书</w:t>
            </w:r>
            <w:r>
              <w:rPr>
                <w:rFonts w:hint="eastAsia" w:ascii="宋体" w:hAnsi="宋体"/>
                <w:szCs w:val="21"/>
              </w:rPr>
              <w:t>；</w:t>
            </w:r>
          </w:p>
          <w:p>
            <w:pPr>
              <w:spacing w:line="400" w:lineRule="exact"/>
              <w:ind w:right="162" w:rightChars="77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3、具有经过相关部门组织的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突发环境事件应急预案</w:t>
            </w:r>
            <w:r>
              <w:rPr>
                <w:rFonts w:hint="eastAsia" w:ascii="宋体" w:hAnsi="宋体"/>
                <w:bCs/>
                <w:szCs w:val="21"/>
              </w:rPr>
              <w:t>编制</w:t>
            </w:r>
            <w:r>
              <w:rPr>
                <w:rFonts w:hint="eastAsia" w:ascii="宋体" w:hAnsi="宋体"/>
                <w:szCs w:val="21"/>
              </w:rPr>
              <w:t>业务培训且考核合格的专业技术人员；</w:t>
            </w:r>
          </w:p>
          <w:p>
            <w:pPr>
              <w:spacing w:line="400" w:lineRule="exact"/>
              <w:ind w:right="162" w:rightChars="77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4、投标人具有良好信誉和近三年同类型业绩；</w:t>
            </w:r>
          </w:p>
          <w:p>
            <w:pPr>
              <w:spacing w:line="400" w:lineRule="exact"/>
              <w:ind w:right="162" w:rightChars="77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szCs w:val="21"/>
              </w:rPr>
              <w:t>、本次投标不接受联合体投标。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right="162" w:rightChars="77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6.1</w:t>
            </w:r>
          </w:p>
        </w:tc>
        <w:tc>
          <w:tcPr>
            <w:tcW w:w="173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踏勘现场</w:t>
            </w:r>
          </w:p>
        </w:tc>
        <w:tc>
          <w:tcPr>
            <w:tcW w:w="6211" w:type="dxa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不组织踏勘现场及答疑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70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right="162" w:rightChars="77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16.1</w:t>
            </w:r>
          </w:p>
        </w:tc>
        <w:tc>
          <w:tcPr>
            <w:tcW w:w="173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投标有效期</w:t>
            </w:r>
          </w:p>
        </w:tc>
        <w:tc>
          <w:tcPr>
            <w:tcW w:w="6211" w:type="dxa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/>
                <w:szCs w:val="21"/>
              </w:rPr>
              <w:t>天（从投标截止时间之日起）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70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right="162" w:rightChars="77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18.1</w:t>
            </w:r>
          </w:p>
        </w:tc>
        <w:tc>
          <w:tcPr>
            <w:tcW w:w="173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投标文件份数</w:t>
            </w:r>
          </w:p>
        </w:tc>
        <w:tc>
          <w:tcPr>
            <w:tcW w:w="6211" w:type="dxa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壹套密封提交。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70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right="162" w:rightChars="77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21</w:t>
            </w:r>
          </w:p>
        </w:tc>
        <w:tc>
          <w:tcPr>
            <w:tcW w:w="173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投标文件</w:t>
            </w:r>
          </w:p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提交地点及截止时间</w:t>
            </w:r>
          </w:p>
        </w:tc>
        <w:tc>
          <w:tcPr>
            <w:tcW w:w="6211" w:type="dxa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right="162" w:rightChars="77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地    点：</w:t>
            </w:r>
            <w:r>
              <w:rPr>
                <w:rFonts w:hint="eastAsia" w:ascii="宋体" w:hAnsi="宋体"/>
                <w:szCs w:val="21"/>
                <w:lang w:eastAsia="zh-CN"/>
              </w:rPr>
              <w:t>都江堰市蒲阳镇光泰路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10号</w:t>
            </w:r>
          </w:p>
          <w:p>
            <w:pPr>
              <w:spacing w:line="400" w:lineRule="exact"/>
              <w:ind w:right="162" w:rightChars="77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截止时间：20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>5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>13</w:t>
            </w:r>
            <w:r>
              <w:rPr>
                <w:rFonts w:hint="eastAsia" w:ascii="宋体" w:hAnsi="宋体"/>
                <w:szCs w:val="21"/>
              </w:rPr>
              <w:t>日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17</w:t>
            </w:r>
            <w:r>
              <w:rPr>
                <w:rFonts w:hint="eastAsia" w:ascii="宋体" w:hAnsi="宋体"/>
                <w:szCs w:val="21"/>
              </w:rPr>
              <w:t>时00分（北京时间）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70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right="162" w:rightChars="77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23</w:t>
            </w:r>
          </w:p>
        </w:tc>
        <w:tc>
          <w:tcPr>
            <w:tcW w:w="173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开标时间及地点</w:t>
            </w:r>
          </w:p>
        </w:tc>
        <w:tc>
          <w:tcPr>
            <w:tcW w:w="6211" w:type="dxa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right="162" w:rightChars="77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开标时间：20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>5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>17</w:t>
            </w:r>
            <w:r>
              <w:rPr>
                <w:rFonts w:hint="eastAsia" w:ascii="宋体" w:hAnsi="宋体"/>
                <w:szCs w:val="21"/>
              </w:rPr>
              <w:t>日9时00分（北京时间）</w:t>
            </w:r>
          </w:p>
          <w:p>
            <w:pPr>
              <w:spacing w:line="400" w:lineRule="exact"/>
              <w:ind w:right="162" w:rightChars="77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地    点：</w:t>
            </w:r>
            <w:r>
              <w:rPr>
                <w:rFonts w:hint="eastAsia" w:ascii="宋体" w:hAnsi="宋体"/>
                <w:szCs w:val="21"/>
                <w:lang w:eastAsia="zh-CN"/>
              </w:rPr>
              <w:t>都江堰市蒲阳镇光泰路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10号，都江堰光明光电材料有限责任公司内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70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right="162" w:rightChars="77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5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29.1</w:t>
            </w:r>
          </w:p>
        </w:tc>
        <w:tc>
          <w:tcPr>
            <w:tcW w:w="173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评标办法</w:t>
            </w:r>
          </w:p>
        </w:tc>
        <w:tc>
          <w:tcPr>
            <w:tcW w:w="6211" w:type="dxa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right="162" w:rightChars="77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最低价</w:t>
            </w:r>
            <w:r>
              <w:rPr>
                <w:rFonts w:hint="eastAsia" w:ascii="宋体" w:hAnsi="宋体"/>
                <w:szCs w:val="21"/>
              </w:rPr>
              <w:t>评</w:t>
            </w:r>
            <w:r>
              <w:rPr>
                <w:rFonts w:hint="eastAsia" w:ascii="宋体" w:hAnsi="宋体"/>
                <w:szCs w:val="21"/>
                <w:lang w:eastAsia="zh-CN"/>
              </w:rPr>
              <w:t>分</w:t>
            </w:r>
            <w:r>
              <w:rPr>
                <w:rFonts w:hint="eastAsia" w:ascii="宋体" w:hAnsi="宋体"/>
                <w:szCs w:val="21"/>
              </w:rPr>
              <w:t>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70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right="162" w:rightChars="77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17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3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项目负责人</w:t>
            </w:r>
          </w:p>
        </w:tc>
        <w:tc>
          <w:tcPr>
            <w:tcW w:w="6211" w:type="dxa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应具备相关专业的中级及以上职称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70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right="162" w:rightChars="77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18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3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项目班子</w:t>
            </w:r>
          </w:p>
        </w:tc>
        <w:tc>
          <w:tcPr>
            <w:tcW w:w="6211" w:type="dxa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根据项目情况与进度，投标人自行安排人员。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70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right="162" w:rightChars="77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19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3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topLinePunct/>
              <w:autoSpaceDE w:val="0"/>
              <w:autoSpaceDN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中标价的确定</w:t>
            </w:r>
          </w:p>
        </w:tc>
        <w:tc>
          <w:tcPr>
            <w:tcW w:w="6211" w:type="dxa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/>
              <w:spacing w:line="360" w:lineRule="auto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中标人经修正后的投标报价高于投标人投标报价时，投标人的投标报价为中标价；中标人经修正后的投标报价低于投标人投标报价时，中标人经修正后的投标报价为中标价。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EF539D"/>
    <w:rsid w:val="081F6C2E"/>
    <w:rsid w:val="42036711"/>
    <w:rsid w:val="5BEF5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tLeast"/>
      <w:ind w:firstLine="420"/>
      <w:textAlignment w:val="baseline"/>
    </w:pPr>
    <w:rPr>
      <w:szCs w:val="20"/>
    </w:rPr>
  </w:style>
  <w:style w:type="paragraph" w:styleId="3">
    <w:name w:val="Date"/>
    <w:basedOn w:val="1"/>
    <w:next w:val="1"/>
    <w:qFormat/>
    <w:uiPriority w:val="0"/>
    <w:pPr>
      <w:adjustRightInd w:val="0"/>
      <w:spacing w:line="360" w:lineRule="atLeast"/>
      <w:textAlignment w:val="baseline"/>
    </w:pPr>
    <w:rPr>
      <w:rFonts w:ascii="黑体" w:eastAsia="黑体"/>
      <w:sz w:val="32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oc 1"/>
    <w:basedOn w:val="1"/>
    <w:next w:val="1"/>
    <w:semiHidden/>
    <w:qFormat/>
    <w:uiPriority w:val="0"/>
    <w:pPr>
      <w:tabs>
        <w:tab w:val="right" w:leader="dot" w:pos="9061"/>
      </w:tabs>
      <w:spacing w:line="360" w:lineRule="auto"/>
    </w:p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2021-05-06T06:13:00Z</dcterms:created>
  <dc:creator>Administrator</dc:creator>
  <cp:lastModifiedBy>HUAHUA</cp:lastModifiedBy>
  <dcterms:modified xsi:type="dcterms:W3CDTF">2021-05-07T07:49:20Z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5AD47FA14D29474296D676E6670EAEDD</vt:lpwstr>
  </property>
</Properties>
</file>