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项目名称：成都恒达光学轮式电动液压叉车采购</w:t>
      </w:r>
    </w:p>
    <w:p>
      <w:pPr>
        <w:autoSpaceDE w:val="0"/>
        <w:autoSpaceDN w:val="0"/>
        <w:adjustRightInd w:val="0"/>
        <w:ind w:firstLine="1080" w:firstLineChars="300"/>
        <w:jc w:val="left"/>
        <w:rPr>
          <w:rFonts w:ascii="宋体" w:hAnsi="宋体"/>
          <w:sz w:val="36"/>
          <w:szCs w:val="36"/>
        </w:rPr>
      </w:pPr>
      <w:r>
        <w:rPr>
          <w:rFonts w:hint="eastAsia" w:ascii="宋体" w:hAnsi="宋体"/>
          <w:sz w:val="36"/>
          <w:szCs w:val="36"/>
        </w:rPr>
        <w:t>项目编号：</w:t>
      </w:r>
      <w:r>
        <w:rPr>
          <w:rFonts w:ascii="宋体" w:hAnsi="宋体"/>
          <w:sz w:val="36"/>
          <w:szCs w:val="36"/>
        </w:rPr>
        <w:t>HDGX-2021-</w:t>
      </w:r>
      <w:r>
        <w:rPr>
          <w:rFonts w:hint="eastAsia" w:ascii="宋体" w:hAnsi="宋体"/>
          <w:sz w:val="36"/>
          <w:szCs w:val="36"/>
        </w:rPr>
        <w:t>10</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二○二一年三月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成都恒达光学有限公司就轮式电动液压叉车采购项目组织询价，欢迎合格供应商报价。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w:t>
      </w:r>
      <w:r>
        <w:rPr>
          <w:rFonts w:hint="eastAsia" w:ascii="仿宋" w:hAnsi="仿宋" w:eastAsia="仿宋"/>
          <w:szCs w:val="24"/>
        </w:rPr>
        <w:t>成都恒达光学轮式电动液压叉车采购</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HDGX-2021-</w:t>
      </w:r>
      <w:r>
        <w:rPr>
          <w:rFonts w:hint="eastAsia" w:ascii="仿宋_GB2312" w:eastAsia="仿宋_GB2312"/>
        </w:rPr>
        <w:t>10</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成都恒达光学有限公司拟采购3.5T轮式电动液压叉车1</w:t>
      </w:r>
      <w:r>
        <w:rPr>
          <w:rFonts w:hint="eastAsia" w:ascii="仿宋_GB2312" w:hAnsi="宋体" w:eastAsia="仿宋_GB2312" w:cs="仿宋"/>
          <w:bCs/>
          <w:color w:val="000000"/>
        </w:rPr>
        <w:t>台</w:t>
      </w:r>
      <w:r>
        <w:rPr>
          <w:rFonts w:hint="eastAsia" w:ascii="仿宋_GB2312" w:eastAsia="仿宋_GB2312"/>
        </w:rPr>
        <w:t>，主要包括货款，税款，运输费、安装、调试费，详见询价采购文件第三部分技术标准及报价要求。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仿宋_GB2312"/>
          <w:bCs/>
          <w:spacing w:val="8"/>
          <w:sz w:val="24"/>
        </w:rPr>
      </w:pPr>
      <w:r>
        <w:rPr>
          <w:rFonts w:hint="eastAsia" w:ascii="仿宋_GB2312" w:hAnsi="楷体" w:eastAsia="仿宋_GB2312"/>
          <w:bCs/>
          <w:spacing w:val="8"/>
          <w:sz w:val="24"/>
        </w:rPr>
        <w:t>（二）本项目不接受联合体询价。</w:t>
      </w:r>
    </w:p>
    <w:p>
      <w:pPr>
        <w:spacing w:line="460" w:lineRule="exact"/>
        <w:ind w:firstLine="480" w:firstLineChars="200"/>
        <w:rPr>
          <w:rFonts w:ascii="仿宋_GB2312" w:eastAsia="仿宋_GB2312"/>
          <w:sz w:val="24"/>
        </w:rPr>
      </w:pPr>
      <w:r>
        <w:rPr>
          <w:rFonts w:hint="eastAsia" w:ascii="仿宋_GB2312" w:eastAsia="仿宋_GB2312"/>
          <w:sz w:val="24"/>
        </w:rPr>
        <w:t>（三）能提供和本业务相符的增值税专用发票。</w:t>
      </w:r>
    </w:p>
    <w:p>
      <w:pPr>
        <w:spacing w:line="460" w:lineRule="exact"/>
        <w:ind w:firstLine="480" w:firstLineChars="200"/>
        <w:rPr>
          <w:rFonts w:ascii="仿宋_GB2312" w:eastAsia="仿宋_GB2312"/>
          <w:sz w:val="24"/>
        </w:rPr>
      </w:pPr>
      <w:r>
        <w:rPr>
          <w:rFonts w:hint="eastAsia" w:ascii="仿宋_GB2312" w:eastAsia="仿宋_GB2312"/>
          <w:sz w:val="24"/>
        </w:rPr>
        <w:t>（四）参加</w:t>
      </w:r>
      <w:r>
        <w:rPr>
          <w:rFonts w:ascii="仿宋_GB2312" w:eastAsia="仿宋_GB2312"/>
          <w:sz w:val="24"/>
        </w:rPr>
        <w:t>此次</w:t>
      </w:r>
      <w:r>
        <w:rPr>
          <w:rFonts w:hint="eastAsia" w:ascii="仿宋_GB2312" w:eastAsia="仿宋_GB2312"/>
          <w:sz w:val="24"/>
        </w:rPr>
        <w:t>比价项目</w:t>
      </w:r>
      <w:r>
        <w:rPr>
          <w:rFonts w:ascii="仿宋_GB2312" w:eastAsia="仿宋_GB2312"/>
          <w:sz w:val="24"/>
        </w:rPr>
        <w:t>之前三年内</w:t>
      </w:r>
      <w:r>
        <w:rPr>
          <w:rFonts w:hint="eastAsia" w:ascii="仿宋_GB2312" w:eastAsia="仿宋_GB2312"/>
          <w:sz w:val="24"/>
        </w:rPr>
        <w:t>，</w:t>
      </w:r>
      <w:r>
        <w:rPr>
          <w:rFonts w:ascii="仿宋_GB2312" w:eastAsia="仿宋_GB2312"/>
          <w:sz w:val="24"/>
        </w:rPr>
        <w:t>在经营活动中</w:t>
      </w:r>
      <w:r>
        <w:rPr>
          <w:rFonts w:hint="eastAsia" w:ascii="仿宋_GB2312" w:eastAsia="仿宋_GB2312"/>
          <w:sz w:val="24"/>
        </w:rPr>
        <w:t>无</w:t>
      </w:r>
      <w:r>
        <w:rPr>
          <w:rFonts w:ascii="仿宋_GB2312" w:eastAsia="仿宋_GB2312"/>
          <w:sz w:val="24"/>
        </w:rPr>
        <w:t>重大违法</w:t>
      </w:r>
      <w:r>
        <w:rPr>
          <w:rFonts w:hint="eastAsia" w:ascii="仿宋_GB2312" w:eastAsia="仿宋_GB2312"/>
          <w:sz w:val="24"/>
        </w:rPr>
        <w:t>记录</w:t>
      </w:r>
      <w:r>
        <w:rPr>
          <w:rFonts w:hint="eastAsia" w:ascii="仿宋_GB2312" w:hAnsi="楷体" w:eastAsia="仿宋_GB2312"/>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2021年3月26日—2021年4月5日</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2021年4月5日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w:t>
      </w:r>
      <w:r>
        <w:rPr>
          <w:rFonts w:ascii="仿宋_GB2312" w:eastAsia="仿宋_GB2312"/>
          <w:sz w:val="24"/>
        </w:rPr>
        <w:t>1</w:t>
      </w:r>
      <w:r>
        <w:rPr>
          <w:rFonts w:hint="eastAsia" w:ascii="仿宋_GB2312" w:eastAsia="仿宋_GB2312"/>
          <w:sz w:val="24"/>
        </w:rPr>
        <w:t>年</w:t>
      </w:r>
      <w:r>
        <w:rPr>
          <w:rFonts w:ascii="仿宋_GB2312" w:eastAsia="仿宋_GB2312"/>
          <w:sz w:val="24"/>
        </w:rPr>
        <w:t>4</w:t>
      </w:r>
      <w:r>
        <w:rPr>
          <w:rFonts w:hint="eastAsia" w:ascii="仿宋_GB2312" w:eastAsia="仿宋_GB2312"/>
          <w:sz w:val="24"/>
        </w:rPr>
        <w:t>月</w:t>
      </w:r>
      <w:r>
        <w:rPr>
          <w:rFonts w:ascii="仿宋_GB2312" w:eastAsia="仿宋_GB2312"/>
          <w:sz w:val="24"/>
        </w:rPr>
        <w:t>5</w:t>
      </w:r>
      <w:r>
        <w:rPr>
          <w:rFonts w:hint="eastAsia" w:ascii="仿宋_GB2312" w:eastAsia="仿宋_GB2312"/>
          <w:sz w:val="24"/>
        </w:rPr>
        <w:t>日17时00分前不得启封”的字样。</w:t>
      </w:r>
    </w:p>
    <w:p>
      <w:pPr>
        <w:spacing w:line="460" w:lineRule="exact"/>
        <w:ind w:left="180" w:firstLine="384" w:firstLineChars="16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180" w:firstLine="384" w:firstLineChars="16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询价咨询人：王</w:t>
      </w:r>
      <w:r>
        <w:rPr>
          <w:rFonts w:hint="eastAsia" w:ascii="仿宋_GB2312" w:eastAsia="仿宋_GB2312"/>
          <w:sz w:val="24"/>
          <w:lang w:val="en-US" w:eastAsia="zh-CN"/>
        </w:rPr>
        <w:t>女士</w:t>
      </w:r>
      <w:r>
        <w:rPr>
          <w:rFonts w:hint="eastAsia" w:ascii="仿宋_GB2312" w:eastAsia="仿宋_GB2312"/>
          <w:sz w:val="24"/>
        </w:rPr>
        <w:t xml:space="preserve">                     联系电话：18081146577</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firstLine="480" w:firstLineChars="200"/>
        <w:rPr>
          <w:rFonts w:ascii="仿宋_GB2312" w:eastAsia="仿宋_GB2312"/>
          <w:iCs/>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bookmarkStart w:id="0" w:name="_GoBack"/>
      <w:bookmarkEnd w:id="0"/>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项目名称：成都恒达光学轮式电动液压叉车采购</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pacing w:line="300" w:lineRule="auto"/>
              <w:ind w:firstLine="420" w:firstLineChars="200"/>
              <w:rPr>
                <w:rFonts w:ascii="宋体" w:hAnsi="宋体"/>
                <w:color w:val="000000"/>
                <w:szCs w:val="21"/>
              </w:rPr>
            </w:pPr>
            <w:r>
              <w:rPr>
                <w:rFonts w:hint="eastAsia" w:ascii="宋体" w:hAnsi="宋体"/>
                <w:color w:val="000000"/>
                <w:szCs w:val="21"/>
              </w:rPr>
              <w:t>代理商需提供厂家的授权代理书。</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（2）最近三年没有拖欠材料费用的败诉记录；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电话响应时间不超过2小时，到达现场响应时间不超过72小时。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交货期：出合同预付款支付后30个日历日内交货,35个日历日完成安装调试。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spacing w:line="520" w:lineRule="exact"/>
              <w:jc w:val="left"/>
              <w:rPr>
                <w:sz w:val="36"/>
                <w:szCs w:val="44"/>
              </w:rPr>
            </w:pPr>
            <w:r>
              <w:rPr>
                <w:rFonts w:hint="eastAsia" w:ascii="宋体" w:hAnsi="宋体"/>
                <w:color w:val="000000"/>
                <w:szCs w:val="21"/>
              </w:rPr>
              <w:t>承诺函（见附件一）；报价函（见附件三）；要求确认响应表（见附件四）；</w:t>
            </w:r>
            <w:r>
              <w:rPr>
                <w:rFonts w:hint="eastAsia" w:ascii="宋体" w:hAnsi="宋体"/>
                <w:szCs w:val="21"/>
              </w:rPr>
              <w:t>设备配置明细表及机型参数规格明细（见3</w:t>
            </w:r>
            <w:r>
              <w:rPr>
                <w:rFonts w:ascii="宋体" w:hAnsi="宋体"/>
                <w:szCs w:val="21"/>
              </w:rPr>
              <w:t>.2</w:t>
            </w:r>
            <w:r>
              <w:rPr>
                <w:rFonts w:hint="eastAsia" w:ascii="宋体" w:hAnsi="宋体"/>
                <w:szCs w:val="21"/>
              </w:rPr>
              <w:t>）</w:t>
            </w:r>
            <w:r>
              <w:rPr>
                <w:rFonts w:hint="eastAsia" w:ascii="宋体" w:hAnsi="宋体"/>
                <w:color w:val="000000"/>
                <w:szCs w:val="21"/>
              </w:rPr>
              <w:t>；报价一览表（见附件六）。</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jc w:val="center"/>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Ansi="宋体"/>
                <w:color w:val="000000"/>
                <w:spacing w:val="-8"/>
                <w:kern w:val="0"/>
                <w:szCs w:val="21"/>
              </w:rPr>
              <w:t>1</w:t>
            </w:r>
            <w:r>
              <w:rPr>
                <w:rFonts w:hint="eastAsia" w:hAnsi="宋体"/>
                <w:color w:val="000000"/>
                <w:spacing w:val="-8"/>
                <w:kern w:val="0"/>
                <w:szCs w:val="21"/>
              </w:rPr>
              <w:t>年0</w:t>
            </w:r>
            <w:r>
              <w:rPr>
                <w:rFonts w:hAnsi="宋体"/>
                <w:color w:val="000000"/>
                <w:spacing w:val="-8"/>
                <w:kern w:val="0"/>
                <w:szCs w:val="21"/>
              </w:rPr>
              <w:t>3</w:t>
            </w:r>
            <w:r>
              <w:rPr>
                <w:rFonts w:hint="eastAsia" w:hAnsi="宋体"/>
                <w:color w:val="000000"/>
                <w:spacing w:val="-8"/>
                <w:kern w:val="0"/>
                <w:szCs w:val="21"/>
              </w:rPr>
              <w:t>月</w:t>
            </w:r>
            <w:r>
              <w:rPr>
                <w:rFonts w:hAnsi="宋体"/>
                <w:color w:val="000000"/>
                <w:spacing w:val="-8"/>
                <w:kern w:val="0"/>
                <w:szCs w:val="21"/>
              </w:rPr>
              <w:t>26</w:t>
            </w:r>
            <w:r>
              <w:rPr>
                <w:rFonts w:hint="eastAsia" w:hAnsi="宋体"/>
                <w:color w:val="000000"/>
                <w:spacing w:val="-8"/>
                <w:kern w:val="0"/>
                <w:szCs w:val="21"/>
              </w:rPr>
              <w:t>日8:00时—202</w:t>
            </w:r>
            <w:r>
              <w:rPr>
                <w:rFonts w:hAnsi="宋体"/>
                <w:color w:val="000000"/>
                <w:spacing w:val="-8"/>
                <w:kern w:val="0"/>
                <w:szCs w:val="21"/>
              </w:rPr>
              <w:t>1</w:t>
            </w:r>
            <w:r>
              <w:rPr>
                <w:rFonts w:hint="eastAsia" w:hAnsi="宋体"/>
                <w:color w:val="000000"/>
                <w:spacing w:val="-8"/>
                <w:kern w:val="0"/>
                <w:szCs w:val="21"/>
              </w:rPr>
              <w:t>年0</w:t>
            </w:r>
            <w:r>
              <w:rPr>
                <w:rFonts w:hAnsi="宋体"/>
                <w:color w:val="000000"/>
                <w:spacing w:val="-8"/>
                <w:kern w:val="0"/>
                <w:szCs w:val="21"/>
              </w:rPr>
              <w:t>4</w:t>
            </w:r>
            <w:r>
              <w:rPr>
                <w:rFonts w:hint="eastAsia" w:hAnsi="宋体"/>
                <w:color w:val="000000"/>
                <w:spacing w:val="-8"/>
                <w:kern w:val="0"/>
                <w:szCs w:val="21"/>
              </w:rPr>
              <w:t>月</w:t>
            </w:r>
            <w:r>
              <w:rPr>
                <w:rFonts w:hAnsi="宋体"/>
                <w:color w:val="000000"/>
                <w:spacing w:val="-8"/>
                <w:kern w:val="0"/>
                <w:szCs w:val="21"/>
              </w:rPr>
              <w:t>5</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kern w:val="0"/>
                <w:szCs w:val="21"/>
              </w:rPr>
            </w:pPr>
            <w:r>
              <w:rPr>
                <w:rFonts w:hint="eastAsia" w:ascii="宋体" w:hAnsi="宋体"/>
              </w:rPr>
              <w:t>项目验收合格后一次性支付合同价的95%，另5%作为质保金于项目完成1年后支付，整机质保期不低于1年。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szCs w:val="21"/>
              </w:rPr>
            </w:pPr>
            <w:r>
              <w:rPr>
                <w:rFonts w:hint="eastAsia" w:hAnsi="宋体"/>
                <w:szCs w:val="21"/>
              </w:rPr>
              <w:t>此次采购项目综合考虑最优的价格、产品性能、质量及服务，结合我厂实际使用情况，报价资格符合要求的厂商，进行综合评比，将得分进行高低排序，选择最高分厂家作为此次采购的中标单位。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szCs w:val="21"/>
              </w:rPr>
            </w:pPr>
            <w:r>
              <w:rPr>
                <w:rFonts w:hint="eastAsia" w:hAnsi="宋体"/>
                <w:szCs w:val="21"/>
              </w:rPr>
              <w:t>请按附件数字顺序放置所供资料（可做成单独附件进行装订）</w:t>
            </w:r>
          </w:p>
        </w:tc>
      </w:tr>
    </w:tbl>
    <w:p>
      <w:pPr>
        <w:spacing w:line="560" w:lineRule="exact"/>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我单位因为产能的需求，需要采购1台3.5T轮式电动液压叉车，以满足公司生产转运需要。</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公司地面做环氧树脂地坪漆，拒绝锋利尖锐重物接触地面转运，车间卷帘门限高为</w:t>
      </w:r>
      <w:r>
        <w:rPr>
          <w:rFonts w:asciiTheme="minorEastAsia" w:hAnsiTheme="minorEastAsia" w:eastAsiaTheme="minorEastAsia"/>
          <w:sz w:val="24"/>
          <w:szCs w:val="21"/>
        </w:rPr>
        <w:t>2500</w:t>
      </w:r>
      <w:r>
        <w:rPr>
          <w:rFonts w:hint="eastAsia" w:asciiTheme="minorEastAsia" w:hAnsiTheme="minorEastAsia" w:eastAsiaTheme="minorEastAsia"/>
          <w:sz w:val="24"/>
          <w:szCs w:val="21"/>
        </w:rPr>
        <w:t>mm。</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叉车燃料使用柴油，车间工业化程度高，对燃油尾气处理要求较高。</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我司备有电动叉车2台举升力不足，要求新增叉车举升重量3.5吨或以上。</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参与报价企业应充分了解我司升降叉车的使用环境和使用状况。我司使用环境地面已做地坪漆，对轮胎质量要求较高需做到不能损伤地面、防滑等。转运操作空间狭窄，障碍物较多，故对叉车的转动灵活性要求较高。</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根据我司车间物料的转运需求，决定购进</w:t>
      </w:r>
      <w:r>
        <w:rPr>
          <w:rFonts w:asciiTheme="minorEastAsia" w:hAnsiTheme="minorEastAsia" w:eastAsiaTheme="minorEastAsia"/>
          <w:sz w:val="24"/>
          <w:szCs w:val="21"/>
        </w:rPr>
        <w:t>1</w:t>
      </w:r>
      <w:r>
        <w:rPr>
          <w:rFonts w:hint="eastAsia" w:asciiTheme="minorEastAsia" w:hAnsiTheme="minorEastAsia" w:eastAsiaTheme="minorEastAsia"/>
          <w:sz w:val="24"/>
          <w:szCs w:val="21"/>
        </w:rPr>
        <w:t>台3.5T轮式电动液压叉车以满足物料的安全转运要求。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电池采用锂电池，电池电压及容量≥75</w:t>
      </w:r>
      <w:r>
        <w:rPr>
          <w:rFonts w:asciiTheme="minorEastAsia" w:hAnsiTheme="minorEastAsia" w:eastAsiaTheme="minorEastAsia"/>
          <w:sz w:val="24"/>
          <w:szCs w:val="21"/>
        </w:rPr>
        <w:t>V2</w:t>
      </w:r>
      <w:r>
        <w:rPr>
          <w:rFonts w:hint="eastAsia" w:asciiTheme="minorEastAsia" w:hAnsiTheme="minorEastAsia" w:eastAsiaTheme="minorEastAsia"/>
          <w:sz w:val="24"/>
          <w:szCs w:val="21"/>
        </w:rPr>
        <w:t>50</w:t>
      </w:r>
      <w:r>
        <w:rPr>
          <w:rFonts w:asciiTheme="minorEastAsia" w:hAnsiTheme="minorEastAsia" w:eastAsiaTheme="minorEastAsia"/>
          <w:sz w:val="24"/>
          <w:szCs w:val="21"/>
        </w:rPr>
        <w:t>AH</w:t>
      </w:r>
      <w:r>
        <w:rPr>
          <w:rFonts w:hint="eastAsia" w:asciiTheme="minorEastAsia" w:hAnsiTheme="minorEastAsia" w:eastAsiaTheme="minorEastAsia"/>
          <w:sz w:val="24"/>
          <w:szCs w:val="21"/>
        </w:rPr>
        <w:t>。</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2.3  额定载荷≥3.5T，</w:t>
      </w:r>
      <w:r>
        <w:rPr>
          <w:rFonts w:hint="eastAsia" w:hAnsi="宋体" w:cs="宋体"/>
          <w:color w:val="000000"/>
          <w:kern w:val="0"/>
          <w:sz w:val="24"/>
          <w:szCs w:val="24"/>
        </w:rPr>
        <w:t>自由起升高度</w:t>
      </w:r>
      <w:r>
        <w:rPr>
          <w:rFonts w:hint="eastAsia" w:asciiTheme="minorEastAsia" w:hAnsiTheme="minorEastAsia" w:eastAsiaTheme="minorEastAsia"/>
          <w:sz w:val="24"/>
          <w:szCs w:val="21"/>
        </w:rPr>
        <w:t>≥150mm，</w:t>
      </w:r>
      <w:r>
        <w:rPr>
          <w:rFonts w:hint="eastAsia" w:hAnsi="宋体" w:cs="宋体"/>
          <w:color w:val="000000"/>
          <w:kern w:val="0"/>
          <w:sz w:val="24"/>
          <w:szCs w:val="24"/>
        </w:rPr>
        <w:t>标配门架最大起升高度</w:t>
      </w:r>
      <w:r>
        <w:rPr>
          <w:rFonts w:hint="eastAsia" w:asciiTheme="minorEastAsia" w:hAnsiTheme="minorEastAsia" w:eastAsiaTheme="minorEastAsia"/>
          <w:sz w:val="24"/>
          <w:szCs w:val="21"/>
        </w:rPr>
        <w:t>≥3000mm，</w:t>
      </w:r>
      <w:r>
        <w:rPr>
          <w:rFonts w:hint="eastAsia" w:hAnsi="宋体" w:cs="宋体"/>
          <w:color w:val="000000"/>
          <w:kern w:val="0"/>
          <w:sz w:val="24"/>
          <w:szCs w:val="24"/>
        </w:rPr>
        <w:t>车身最小离地间隙</w:t>
      </w:r>
      <w:r>
        <w:rPr>
          <w:rFonts w:hint="eastAsia" w:asciiTheme="minorEastAsia" w:hAnsiTheme="minorEastAsia" w:eastAsiaTheme="minorEastAsia"/>
          <w:sz w:val="24"/>
          <w:szCs w:val="21"/>
        </w:rPr>
        <w:t>≥150mm</w:t>
      </w:r>
      <w:r>
        <w:rPr>
          <w:rFonts w:hint="eastAsia" w:hAnsi="宋体" w:cs="宋体,Bold"/>
          <w:bCs/>
          <w:kern w:val="0"/>
          <w:sz w:val="24"/>
          <w:szCs w:val="24"/>
        </w:rPr>
        <w:t>。</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3.结构</w:t>
      </w:r>
    </w:p>
    <w:p>
      <w:pPr>
        <w:spacing w:line="500" w:lineRule="exact"/>
        <w:ind w:firstLine="480" w:firstLineChars="200"/>
        <w:rPr>
          <w:rFonts w:ascii="宋体" w:cs="宋体"/>
          <w:kern w:val="0"/>
          <w:sz w:val="24"/>
          <w:szCs w:val="24"/>
        </w:rPr>
      </w:pPr>
      <w:r>
        <w:rPr>
          <w:rFonts w:hint="eastAsia" w:ascii="宋体" w:cs="宋体"/>
          <w:kern w:val="0"/>
          <w:sz w:val="24"/>
          <w:szCs w:val="24"/>
        </w:rPr>
        <w:t>1. 设备结构图</w:t>
      </w:r>
    </w:p>
    <w:p>
      <w:pPr>
        <w:spacing w:line="500" w:lineRule="exact"/>
        <w:ind w:firstLine="480" w:firstLineChars="200"/>
        <w:rPr>
          <w:rFonts w:ascii="宋体" w:cs="宋体"/>
          <w:kern w:val="0"/>
          <w:sz w:val="24"/>
          <w:szCs w:val="24"/>
        </w:rPr>
      </w:pPr>
      <w:r>
        <w:rPr>
          <w:rFonts w:hint="eastAsia" w:ascii="宋体" w:cs="宋体"/>
          <w:kern w:val="0"/>
          <w:sz w:val="24"/>
          <w:szCs w:val="24"/>
        </w:rPr>
        <w:t>轮式电动液压叉车主要升降架、操作室、电动机、电池组成，具体结构见图1图2设备结构示意图,推荐形状实物图（图</w:t>
      </w:r>
      <w:r>
        <w:rPr>
          <w:rFonts w:ascii="宋体" w:cs="宋体"/>
          <w:kern w:val="0"/>
          <w:sz w:val="24"/>
          <w:szCs w:val="24"/>
        </w:rPr>
        <w:t>3</w:t>
      </w:r>
      <w:r>
        <w:rPr>
          <w:rFonts w:hint="eastAsia" w:ascii="宋体" w:cs="宋体"/>
          <w:kern w:val="0"/>
          <w:sz w:val="24"/>
          <w:szCs w:val="24"/>
        </w:rPr>
        <w:t>-1）、（图</w:t>
      </w:r>
      <w:r>
        <w:rPr>
          <w:rFonts w:ascii="宋体" w:cs="宋体"/>
          <w:kern w:val="0"/>
          <w:sz w:val="24"/>
          <w:szCs w:val="24"/>
        </w:rPr>
        <w:t>3</w:t>
      </w:r>
      <w:r>
        <w:rPr>
          <w:rFonts w:hint="eastAsia" w:ascii="宋体" w:cs="宋体"/>
          <w:kern w:val="0"/>
          <w:sz w:val="24"/>
          <w:szCs w:val="24"/>
        </w:rPr>
        <w:t>-2）。</w:t>
      </w:r>
    </w:p>
    <w:p>
      <w:pPr>
        <w:spacing w:line="500" w:lineRule="exact"/>
        <w:rPr>
          <w:rFonts w:ascii="宋体" w:cs="宋体"/>
          <w:kern w:val="0"/>
          <w:sz w:val="24"/>
          <w:szCs w:val="24"/>
        </w:rPr>
      </w:pPr>
    </w:p>
    <w:p>
      <w:pPr>
        <w:spacing w:line="500" w:lineRule="exact"/>
        <w:jc w:val="center"/>
        <w:rPr>
          <w:rFonts w:ascii="宋体" w:cs="宋体"/>
          <w:kern w:val="0"/>
          <w:sz w:val="24"/>
          <w:szCs w:val="24"/>
        </w:rPr>
      </w:pPr>
    </w:p>
    <w:p>
      <w:pPr>
        <w:spacing w:line="500" w:lineRule="exact"/>
        <w:rPr>
          <w:rFonts w:ascii="宋体" w:cs="宋体"/>
          <w:kern w:val="0"/>
          <w:sz w:val="24"/>
          <w:szCs w:val="24"/>
        </w:rPr>
      </w:pPr>
      <w:r>
        <w:rPr>
          <w:rFonts w:ascii="宋体" w:cs="宋体"/>
          <w:kern w:val="0"/>
          <w:sz w:val="24"/>
          <w:szCs w:val="24"/>
        </w:rPr>
        <w:drawing>
          <wp:anchor distT="0" distB="0" distL="114300" distR="114300" simplePos="0" relativeHeight="251652096" behindDoc="0" locked="0" layoutInCell="1" allowOverlap="1">
            <wp:simplePos x="0" y="0"/>
            <wp:positionH relativeFrom="column">
              <wp:posOffset>134620</wp:posOffset>
            </wp:positionH>
            <wp:positionV relativeFrom="paragraph">
              <wp:posOffset>465455</wp:posOffset>
            </wp:positionV>
            <wp:extent cx="5342890" cy="2733040"/>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342857" cy="2733333"/>
                    </a:xfrm>
                    <a:prstGeom prst="rect">
                      <a:avLst/>
                    </a:prstGeom>
                  </pic:spPr>
                </pic:pic>
              </a:graphicData>
            </a:graphic>
          </wp:anchor>
        </w:drawing>
      </w:r>
    </w:p>
    <w:p>
      <w:pPr>
        <w:spacing w:line="500" w:lineRule="exact"/>
        <w:jc w:val="center"/>
        <w:rPr>
          <w:rFonts w:ascii="宋体" w:cs="宋体"/>
          <w:kern w:val="0"/>
          <w:sz w:val="24"/>
          <w:szCs w:val="24"/>
        </w:rPr>
      </w:pPr>
      <w:r>
        <w:rPr>
          <w:rFonts w:hint="eastAsia" w:ascii="宋体" w:cs="宋体"/>
          <w:kern w:val="0"/>
          <w:sz w:val="24"/>
          <w:szCs w:val="24"/>
        </w:rPr>
        <w:t>图1设备结构示意图1</w:t>
      </w:r>
    </w:p>
    <w:p>
      <w:pPr>
        <w:spacing w:line="500" w:lineRule="exact"/>
        <w:jc w:val="center"/>
        <w:rPr>
          <w:rFonts w:ascii="宋体" w:cs="宋体"/>
          <w:kern w:val="0"/>
          <w:sz w:val="24"/>
          <w:szCs w:val="24"/>
        </w:rPr>
      </w:pPr>
      <w:r>
        <w:rPr>
          <w:rFonts w:ascii="宋体" w:cs="宋体"/>
          <w:kern w:val="0"/>
          <w:sz w:val="24"/>
          <w:szCs w:val="24"/>
        </w:rPr>
        <w:drawing>
          <wp:anchor distT="0" distB="0" distL="114300" distR="114300" simplePos="0" relativeHeight="251635712" behindDoc="0" locked="0" layoutInCell="1" allowOverlap="1">
            <wp:simplePos x="0" y="0"/>
            <wp:positionH relativeFrom="column">
              <wp:posOffset>111125</wp:posOffset>
            </wp:positionH>
            <wp:positionV relativeFrom="paragraph">
              <wp:posOffset>574675</wp:posOffset>
            </wp:positionV>
            <wp:extent cx="5599430" cy="3402965"/>
            <wp:effectExtent l="0" t="0" r="0" b="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599430" cy="3402965"/>
                    </a:xfrm>
                    <a:prstGeom prst="rect">
                      <a:avLst/>
                    </a:prstGeom>
                  </pic:spPr>
                </pic:pic>
              </a:graphicData>
            </a:graphic>
          </wp:anchor>
        </w:drawing>
      </w:r>
    </w:p>
    <w:p>
      <w:pPr>
        <w:spacing w:line="500" w:lineRule="exact"/>
        <w:jc w:val="center"/>
        <w:rPr>
          <w:rFonts w:ascii="宋体" w:cs="宋体"/>
          <w:kern w:val="0"/>
          <w:sz w:val="24"/>
          <w:szCs w:val="24"/>
        </w:rPr>
      </w:pPr>
      <w:r>
        <w:rPr>
          <w:rFonts w:hint="eastAsia" w:ascii="宋体" w:cs="宋体"/>
          <w:kern w:val="0"/>
          <w:sz w:val="24"/>
          <w:szCs w:val="24"/>
        </w:rPr>
        <w:t>图2设备结构示意图2</w:t>
      </w:r>
    </w:p>
    <w:p>
      <w:pPr>
        <w:spacing w:line="500" w:lineRule="exact"/>
        <w:rPr>
          <w:rFonts w:ascii="宋体" w:cs="宋体"/>
          <w:kern w:val="0"/>
          <w:sz w:val="24"/>
          <w:szCs w:val="24"/>
        </w:rPr>
      </w:pPr>
      <w:r>
        <w:rPr>
          <w:rFonts w:ascii="宋体" w:cs="宋体"/>
          <w:kern w:val="0"/>
          <w:sz w:val="24"/>
          <w:szCs w:val="24"/>
        </w:rPr>
        <w:drawing>
          <wp:anchor distT="0" distB="0" distL="114300" distR="114300" simplePos="0" relativeHeight="251683840" behindDoc="0" locked="0" layoutInCell="1" allowOverlap="1">
            <wp:simplePos x="0" y="0"/>
            <wp:positionH relativeFrom="column">
              <wp:posOffset>3362960</wp:posOffset>
            </wp:positionH>
            <wp:positionV relativeFrom="paragraph">
              <wp:posOffset>-3810</wp:posOffset>
            </wp:positionV>
            <wp:extent cx="3195955" cy="3672840"/>
            <wp:effectExtent l="0" t="0" r="0" b="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195955" cy="3672840"/>
                    </a:xfrm>
                    <a:prstGeom prst="rect">
                      <a:avLst/>
                    </a:prstGeom>
                  </pic:spPr>
                </pic:pic>
              </a:graphicData>
            </a:graphic>
          </wp:anchor>
        </w:drawing>
      </w:r>
      <w:r>
        <w:rPr>
          <w:rFonts w:ascii="宋体" w:cs="宋体"/>
          <w:kern w:val="0"/>
          <w:sz w:val="24"/>
          <w:szCs w:val="24"/>
        </w:rPr>
        <w:drawing>
          <wp:anchor distT="0" distB="0" distL="114300" distR="114300" simplePos="0" relativeHeight="251666432" behindDoc="0" locked="0" layoutInCell="1" allowOverlap="1">
            <wp:simplePos x="0" y="0"/>
            <wp:positionH relativeFrom="column">
              <wp:posOffset>0</wp:posOffset>
            </wp:positionH>
            <wp:positionV relativeFrom="paragraph">
              <wp:posOffset>82550</wp:posOffset>
            </wp:positionV>
            <wp:extent cx="3132455" cy="3627120"/>
            <wp:effectExtent l="0" t="0" r="0" b="0"/>
            <wp:wrapSquare wrapText="bothSides"/>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132455" cy="3627120"/>
                    </a:xfrm>
                    <a:prstGeom prst="rect">
                      <a:avLst/>
                    </a:prstGeom>
                  </pic:spPr>
                </pic:pic>
              </a:graphicData>
            </a:graphic>
          </wp:anchor>
        </w:drawing>
      </w:r>
    </w:p>
    <w:p>
      <w:pPr>
        <w:spacing w:line="500" w:lineRule="exact"/>
        <w:ind w:firstLine="1200" w:firstLineChars="500"/>
        <w:rPr>
          <w:rFonts w:ascii="宋体" w:cs="宋体"/>
          <w:kern w:val="0"/>
          <w:sz w:val="24"/>
          <w:szCs w:val="24"/>
        </w:rPr>
      </w:pPr>
      <w:r>
        <w:rPr>
          <w:rFonts w:hint="eastAsia" w:ascii="宋体" w:cs="宋体"/>
          <w:kern w:val="0"/>
          <w:sz w:val="24"/>
          <w:szCs w:val="24"/>
        </w:rPr>
        <w:t>外观参考图3</w:t>
      </w:r>
      <w:r>
        <w:rPr>
          <w:rFonts w:ascii="宋体" w:cs="宋体"/>
          <w:kern w:val="0"/>
          <w:sz w:val="24"/>
          <w:szCs w:val="24"/>
        </w:rPr>
        <w:t xml:space="preserve">-1                                  </w:t>
      </w:r>
      <w:r>
        <w:rPr>
          <w:rFonts w:hint="eastAsia" w:ascii="宋体" w:cs="宋体"/>
          <w:kern w:val="0"/>
          <w:sz w:val="24"/>
          <w:szCs w:val="24"/>
        </w:rPr>
        <w:t>外观参考图3</w:t>
      </w:r>
      <w:r>
        <w:rPr>
          <w:rFonts w:ascii="宋体" w:cs="宋体"/>
          <w:kern w:val="0"/>
          <w:sz w:val="24"/>
          <w:szCs w:val="24"/>
        </w:rPr>
        <w:t xml:space="preserve">-2 </w:t>
      </w:r>
    </w:p>
    <w:p>
      <w:pPr>
        <w:spacing w:line="500" w:lineRule="exact"/>
        <w:rPr>
          <w:rFonts w:ascii="宋体" w:cs="宋体"/>
          <w:kern w:val="0"/>
          <w:sz w:val="24"/>
          <w:szCs w:val="24"/>
        </w:rPr>
      </w:pPr>
    </w:p>
    <w:p>
      <w:pPr>
        <w:spacing w:line="500" w:lineRule="exact"/>
        <w:jc w:val="center"/>
        <w:rPr>
          <w:rFonts w:ascii="宋体" w:cs="宋体"/>
          <w:kern w:val="0"/>
          <w:sz w:val="24"/>
          <w:szCs w:val="24"/>
        </w:rPr>
      </w:pPr>
    </w:p>
    <w:p>
      <w:pPr>
        <w:spacing w:line="500" w:lineRule="exact"/>
        <w:jc w:val="center"/>
        <w:rPr>
          <w:rFonts w:ascii="宋体" w:cs="宋体"/>
          <w:kern w:val="0"/>
          <w:sz w:val="24"/>
          <w:szCs w:val="24"/>
        </w:rPr>
      </w:pPr>
    </w:p>
    <w:p>
      <w:pPr>
        <w:spacing w:line="500" w:lineRule="exact"/>
        <w:jc w:val="center"/>
        <w:rPr>
          <w:rFonts w:ascii="宋体" w:cs="宋体"/>
          <w:kern w:val="0"/>
          <w:sz w:val="24"/>
          <w:szCs w:val="24"/>
        </w:rPr>
      </w:pPr>
    </w:p>
    <w:p>
      <w:pPr>
        <w:spacing w:line="500" w:lineRule="exact"/>
        <w:jc w:val="center"/>
        <w:rPr>
          <w:rFonts w:ascii="宋体" w:cs="宋体"/>
          <w:kern w:val="0"/>
          <w:sz w:val="24"/>
          <w:szCs w:val="24"/>
        </w:rPr>
      </w:pPr>
    </w:p>
    <w:p>
      <w:pPr>
        <w:spacing w:line="500" w:lineRule="exact"/>
        <w:jc w:val="center"/>
        <w:rPr>
          <w:rFonts w:ascii="宋体" w:cs="宋体"/>
          <w:kern w:val="0"/>
          <w:sz w:val="24"/>
          <w:szCs w:val="24"/>
        </w:rPr>
      </w:pPr>
    </w:p>
    <w:p>
      <w:pPr>
        <w:spacing w:line="500" w:lineRule="exact"/>
        <w:jc w:val="center"/>
        <w:rPr>
          <w:rFonts w:ascii="宋体" w:cs="宋体"/>
          <w:kern w:val="0"/>
          <w:sz w:val="24"/>
          <w:szCs w:val="24"/>
        </w:rPr>
      </w:pPr>
    </w:p>
    <w:p>
      <w:pPr>
        <w:spacing w:line="500" w:lineRule="exact"/>
        <w:jc w:val="center"/>
        <w:rPr>
          <w:rFonts w:ascii="宋体" w:cs="宋体"/>
          <w:kern w:val="0"/>
          <w:sz w:val="24"/>
          <w:szCs w:val="24"/>
        </w:rPr>
      </w:pPr>
    </w:p>
    <w:p>
      <w:pPr>
        <w:spacing w:line="500" w:lineRule="exact"/>
        <w:jc w:val="center"/>
        <w:rPr>
          <w:rFonts w:ascii="宋体" w:cs="宋体"/>
          <w:kern w:val="0"/>
          <w:sz w:val="24"/>
          <w:szCs w:val="24"/>
        </w:rPr>
      </w:pPr>
    </w:p>
    <w:p>
      <w:pPr>
        <w:spacing w:line="500" w:lineRule="exact"/>
        <w:jc w:val="center"/>
        <w:rPr>
          <w:rFonts w:ascii="宋体" w:cs="宋体"/>
          <w:kern w:val="0"/>
          <w:sz w:val="24"/>
          <w:szCs w:val="24"/>
        </w:rPr>
      </w:pPr>
    </w:p>
    <w:p>
      <w:pPr>
        <w:spacing w:line="500" w:lineRule="exact"/>
        <w:jc w:val="center"/>
        <w:rPr>
          <w:rFonts w:ascii="宋体" w:cs="宋体"/>
          <w:kern w:val="0"/>
          <w:sz w:val="24"/>
          <w:szCs w:val="24"/>
        </w:rPr>
      </w:pPr>
    </w:p>
    <w:p>
      <w:pPr>
        <w:autoSpaceDE w:val="0"/>
        <w:autoSpaceDN w:val="0"/>
        <w:adjustRightInd w:val="0"/>
        <w:spacing w:line="500" w:lineRule="exact"/>
        <w:ind w:firstLine="480" w:firstLineChars="200"/>
        <w:jc w:val="left"/>
        <w:rPr>
          <w:rFonts w:hint="eastAsia" w:ascii="宋体" w:cs="宋体"/>
          <w:kern w:val="0"/>
          <w:sz w:val="24"/>
          <w:szCs w:val="24"/>
        </w:rPr>
      </w:pPr>
    </w:p>
    <w:p>
      <w:pPr>
        <w:autoSpaceDE w:val="0"/>
        <w:autoSpaceDN w:val="0"/>
        <w:adjustRightInd w:val="0"/>
        <w:spacing w:line="500" w:lineRule="exact"/>
        <w:ind w:firstLine="480" w:firstLineChars="200"/>
        <w:jc w:val="left"/>
        <w:rPr>
          <w:rFonts w:ascii="宋体" w:cs="宋体"/>
          <w:kern w:val="0"/>
          <w:sz w:val="24"/>
          <w:szCs w:val="24"/>
        </w:rPr>
      </w:pPr>
      <w:r>
        <w:rPr>
          <w:rFonts w:ascii="宋体" w:cs="宋体"/>
          <w:kern w:val="0"/>
          <w:sz w:val="24"/>
          <w:szCs w:val="24"/>
        </w:rPr>
        <w:t>2.</w:t>
      </w:r>
      <w:r>
        <w:rPr>
          <w:rFonts w:hint="eastAsia" w:ascii="宋体" w:cs="宋体"/>
          <w:kern w:val="0"/>
          <w:sz w:val="24"/>
          <w:szCs w:val="24"/>
        </w:rPr>
        <w:t>性能与技术参数</w:t>
      </w:r>
    </w:p>
    <w:p>
      <w:pPr>
        <w:suppressAutoHyphens/>
        <w:overflowPunct w:val="0"/>
        <w:adjustRightInd w:val="0"/>
        <w:spacing w:line="360" w:lineRule="auto"/>
        <w:ind w:firstLine="470" w:firstLineChars="196"/>
        <w:textAlignment w:val="center"/>
        <w:outlineLvl w:val="8"/>
        <w:rPr>
          <w:rFonts w:ascii="宋体" w:cs="宋体"/>
          <w:kern w:val="0"/>
          <w:sz w:val="24"/>
          <w:szCs w:val="24"/>
        </w:rPr>
      </w:pPr>
      <w:r>
        <w:rPr>
          <w:rFonts w:hint="eastAsia" w:ascii="宋体" w:cs="宋体"/>
          <w:kern w:val="0"/>
          <w:sz w:val="24"/>
          <w:szCs w:val="24"/>
        </w:rPr>
        <w:t>性能与技术参数：厂家提供</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表1为参考性能与技术参数。</w:t>
      </w:r>
    </w:p>
    <w:p>
      <w:pPr>
        <w:suppressAutoHyphens/>
        <w:overflowPunct w:val="0"/>
        <w:adjustRightInd w:val="0"/>
        <w:spacing w:line="360" w:lineRule="auto"/>
        <w:ind w:left="840"/>
        <w:jc w:val="center"/>
        <w:textAlignment w:val="center"/>
        <w:outlineLvl w:val="8"/>
        <w:rPr>
          <w:rFonts w:ascii="楷体_GB2312" w:hAnsi="宋体" w:eastAsia="楷体_GB2312"/>
          <w:sz w:val="22"/>
        </w:rPr>
      </w:pPr>
      <w:r>
        <w:rPr>
          <w:rFonts w:hint="eastAsia" w:ascii="楷体_GB2312" w:hAnsi="宋体" w:eastAsia="楷体_GB2312"/>
          <w:sz w:val="22"/>
        </w:rPr>
        <w:t>表1 3.5</w:t>
      </w:r>
      <w:r>
        <w:rPr>
          <w:rFonts w:ascii="楷体_GB2312" w:hAnsi="宋体" w:eastAsia="楷体_GB2312"/>
          <w:sz w:val="22"/>
        </w:rPr>
        <w:t>T</w:t>
      </w:r>
      <w:r>
        <w:rPr>
          <w:rFonts w:hint="eastAsia" w:ascii="楷体_GB2312" w:hAnsi="宋体" w:eastAsia="楷体_GB2312"/>
          <w:sz w:val="22"/>
        </w:rPr>
        <w:t>叉车主要性能与技术参数</w:t>
      </w:r>
    </w:p>
    <w:tbl>
      <w:tblPr>
        <w:tblStyle w:val="18"/>
        <w:tblW w:w="10348" w:type="dxa"/>
        <w:tblInd w:w="108" w:type="dxa"/>
        <w:tblLayout w:type="fixed"/>
        <w:tblCellMar>
          <w:top w:w="0" w:type="dxa"/>
          <w:left w:w="108" w:type="dxa"/>
          <w:bottom w:w="0" w:type="dxa"/>
          <w:right w:w="108" w:type="dxa"/>
        </w:tblCellMar>
      </w:tblPr>
      <w:tblGrid>
        <w:gridCol w:w="709"/>
        <w:gridCol w:w="4394"/>
        <w:gridCol w:w="1418"/>
        <w:gridCol w:w="2126"/>
        <w:gridCol w:w="1701"/>
      </w:tblGrid>
      <w:tr>
        <w:tblPrEx>
          <w:tblCellMar>
            <w:top w:w="0" w:type="dxa"/>
            <w:left w:w="108" w:type="dxa"/>
            <w:bottom w:w="0" w:type="dxa"/>
            <w:right w:w="108" w:type="dxa"/>
          </w:tblCellMar>
        </w:tblPrEx>
        <w:trPr>
          <w:trHeight w:val="330" w:hRule="atLeast"/>
        </w:trPr>
        <w:tc>
          <w:tcPr>
            <w:tcW w:w="709" w:type="dxa"/>
            <w:tcBorders>
              <w:top w:val="single" w:color="auto" w:sz="4" w:space="0"/>
              <w:left w:val="single" w:color="auto" w:sz="4" w:space="0"/>
              <w:bottom w:val="single" w:color="auto" w:sz="4" w:space="0"/>
              <w:right w:val="single" w:color="auto" w:sz="4" w:space="0"/>
            </w:tcBorders>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序号</w:t>
            </w:r>
          </w:p>
        </w:tc>
        <w:tc>
          <w:tcPr>
            <w:tcW w:w="43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性能项目</w:t>
            </w: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代码/单位</w:t>
            </w:r>
          </w:p>
        </w:tc>
        <w:tc>
          <w:tcPr>
            <w:tcW w:w="212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要求</w:t>
            </w:r>
          </w:p>
        </w:tc>
        <w:tc>
          <w:tcPr>
            <w:tcW w:w="1701" w:type="dxa"/>
            <w:tcBorders>
              <w:top w:val="single" w:color="auto" w:sz="4" w:space="0"/>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备注/说明</w:t>
            </w:r>
          </w:p>
        </w:tc>
      </w:tr>
      <w:tr>
        <w:tblPrEx>
          <w:tblCellMar>
            <w:top w:w="0" w:type="dxa"/>
            <w:left w:w="108" w:type="dxa"/>
            <w:bottom w:w="0" w:type="dxa"/>
            <w:right w:w="108" w:type="dxa"/>
          </w:tblCellMar>
        </w:tblPrEx>
        <w:trPr>
          <w:trHeight w:val="33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1</w:t>
            </w:r>
          </w:p>
        </w:tc>
        <w:tc>
          <w:tcPr>
            <w:tcW w:w="79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基础类型</w:t>
            </w:r>
          </w:p>
        </w:tc>
        <w:tc>
          <w:tcPr>
            <w:tcW w:w="1701" w:type="dxa"/>
            <w:tcBorders>
              <w:top w:val="single" w:color="auto" w:sz="4" w:space="0"/>
              <w:left w:val="single" w:color="auto" w:sz="4" w:space="0"/>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1.1</w:t>
            </w:r>
          </w:p>
        </w:tc>
        <w:tc>
          <w:tcPr>
            <w:tcW w:w="43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动力型式</w:t>
            </w: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p>
        </w:tc>
        <w:tc>
          <w:tcPr>
            <w:tcW w:w="212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电动</w:t>
            </w:r>
          </w:p>
        </w:tc>
        <w:tc>
          <w:tcPr>
            <w:tcW w:w="1701" w:type="dxa"/>
            <w:tcBorders>
              <w:top w:val="single" w:color="auto" w:sz="4" w:space="0"/>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1.2</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操作类型</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座驾式</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1.3</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额定载荷</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Q (kg)</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1.4</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载荷中心距</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c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1.5</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前悬距</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x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≥450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1.6</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轴距</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y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19"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2</w:t>
            </w:r>
          </w:p>
        </w:tc>
        <w:tc>
          <w:tcPr>
            <w:tcW w:w="7938" w:type="dxa"/>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重量</w:t>
            </w:r>
          </w:p>
        </w:tc>
        <w:tc>
          <w:tcPr>
            <w:tcW w:w="1701" w:type="dxa"/>
            <w:tcBorders>
              <w:top w:val="nil"/>
              <w:left w:val="single" w:color="auto" w:sz="4" w:space="0"/>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2.1</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自重(含电瓶)</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kg</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≥4500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72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3</w:t>
            </w:r>
          </w:p>
        </w:tc>
        <w:tc>
          <w:tcPr>
            <w:tcW w:w="7938" w:type="dxa"/>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轮胎，底盘</w:t>
            </w:r>
          </w:p>
        </w:tc>
        <w:tc>
          <w:tcPr>
            <w:tcW w:w="1701" w:type="dxa"/>
            <w:tcBorders>
              <w:top w:val="nil"/>
              <w:left w:val="single" w:color="auto" w:sz="4" w:space="0"/>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57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3.1</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轮胎类型，驱动轮/承载轮（转向轮）</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充气胎</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3.2</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驱动轮尺寸（直径×宽度）</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建议为：28X9-15-14PR</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可由厂家自行设计尺寸</w:t>
            </w: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3.3</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转向轮尺寸（直径×宽度）</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建议为：6.50-10-10PR</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可由厂家自行设计尺寸</w:t>
            </w: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w:t>
            </w:r>
          </w:p>
        </w:tc>
        <w:tc>
          <w:tcPr>
            <w:tcW w:w="7938" w:type="dxa"/>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尺寸</w:t>
            </w:r>
          </w:p>
        </w:tc>
        <w:tc>
          <w:tcPr>
            <w:tcW w:w="1701" w:type="dxa"/>
            <w:tcBorders>
              <w:top w:val="nil"/>
              <w:left w:val="single" w:color="auto" w:sz="4" w:space="0"/>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4.1</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门架及货叉前后倾角</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α/ β (°)</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6/10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4.2</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门架下降后的最低高度</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h1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4.3</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自由起升高度</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h2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4.4</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标配门架最大起升高度</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h3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4.5</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起升最高时的门架高度</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h4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≥4200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4.6</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护顶（驾驶舱）高度</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h6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≥2000&amp;≤2500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4.7</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座椅及站台的高度</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h7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≥1000&amp;≤1200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4.8</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牵引耦合器高度</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h10(mm)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4.9</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整车长度</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l1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≥3600&amp;≤4200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4.10</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到货叉垂直面的长度</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l2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4.11</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整体宽度</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b1/ b2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≥1100&amp;≤1400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4.12</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货叉尺寸</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s/ e/ l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建议为：45×125×1070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可由厂家自行设计尺寸</w:t>
            </w: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4.13</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货叉架类型A,B</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3A</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4.14</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货叉架外宽</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b3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4.15</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车身最小离地间隙</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m2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57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4.16</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托盘为 1000 × 1200交叉的通道宽度</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Ast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≥4000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57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4.17</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托盘为800 × 1200交叉的通道宽度</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Ast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≥4000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285"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4.18</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转弯半径</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Wa (mm)</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≥2500&amp;≤2800</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72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5</w:t>
            </w:r>
          </w:p>
        </w:tc>
        <w:tc>
          <w:tcPr>
            <w:tcW w:w="7938" w:type="dxa"/>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性能参数</w:t>
            </w:r>
          </w:p>
        </w:tc>
        <w:tc>
          <w:tcPr>
            <w:tcW w:w="1701" w:type="dxa"/>
            <w:tcBorders>
              <w:top w:val="nil"/>
              <w:left w:val="single" w:color="auto" w:sz="4" w:space="0"/>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5.1</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行走速度，满载/空载</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km/ h</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≥11&amp;≤15</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5.2</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起升速度，满载/空载</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m/ s</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≥0.25/≥0.3</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5.3</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下降速度，满载/空载</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m/ s</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≥0.35/≥0.4</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5.4</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最大爬坡度，满载/空载</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5.5</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行车制动类型</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液力/机械</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5.6</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驻车制动类型</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机械</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108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6</w:t>
            </w:r>
          </w:p>
        </w:tc>
        <w:tc>
          <w:tcPr>
            <w:tcW w:w="7938" w:type="dxa"/>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电动机，动力单元</w:t>
            </w:r>
          </w:p>
        </w:tc>
        <w:tc>
          <w:tcPr>
            <w:tcW w:w="1701" w:type="dxa"/>
            <w:tcBorders>
              <w:top w:val="nil"/>
              <w:left w:val="single" w:color="auto" w:sz="4" w:space="0"/>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6.1</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驱动电机额定功率 S2 60分钟</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kW</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≥9.5</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6.2</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起升电机额定功率 S3 15%</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kW</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6.3</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电瓶电压/标称容量</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V/ Ah</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≥75V250AH</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72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7</w:t>
            </w:r>
          </w:p>
        </w:tc>
        <w:tc>
          <w:tcPr>
            <w:tcW w:w="7938" w:type="dxa"/>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驱动/起升机构</w:t>
            </w:r>
          </w:p>
        </w:tc>
        <w:tc>
          <w:tcPr>
            <w:tcW w:w="1701" w:type="dxa"/>
            <w:tcBorders>
              <w:top w:val="nil"/>
              <w:left w:val="single" w:color="auto" w:sz="4" w:space="0"/>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7.1</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驱动控制类型</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交流 AC</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72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8</w:t>
            </w:r>
          </w:p>
        </w:tc>
        <w:tc>
          <w:tcPr>
            <w:tcW w:w="7938" w:type="dxa"/>
            <w:gridSpan w:val="3"/>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其它</w:t>
            </w:r>
          </w:p>
        </w:tc>
        <w:tc>
          <w:tcPr>
            <w:tcW w:w="1701" w:type="dxa"/>
            <w:tcBorders>
              <w:top w:val="nil"/>
              <w:left w:val="single" w:color="auto" w:sz="4" w:space="0"/>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8.1</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转向类型</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液力转向</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trHeight w:val="330" w:hRule="atLeast"/>
        </w:trPr>
        <w:tc>
          <w:tcPr>
            <w:tcW w:w="70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8.2</w:t>
            </w:r>
          </w:p>
        </w:tc>
        <w:tc>
          <w:tcPr>
            <w:tcW w:w="439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噪音等级</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dB (A)</w:t>
            </w:r>
          </w:p>
        </w:tc>
        <w:tc>
          <w:tcPr>
            <w:tcW w:w="21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﹤75</w:t>
            </w:r>
          </w:p>
        </w:tc>
        <w:tc>
          <w:tcPr>
            <w:tcW w:w="1701" w:type="dxa"/>
            <w:tcBorders>
              <w:top w:val="nil"/>
              <w:left w:val="nil"/>
              <w:bottom w:val="single" w:color="auto" w:sz="4" w:space="0"/>
              <w:right w:val="single" w:color="auto" w:sz="4" w:space="0"/>
            </w:tcBorders>
          </w:tcPr>
          <w:p>
            <w:pPr>
              <w:widowControl/>
              <w:jc w:val="center"/>
              <w:rPr>
                <w:rFonts w:hint="eastAsia" w:ascii="宋体" w:hAnsi="宋体" w:cs="宋体"/>
                <w:color w:val="000000"/>
                <w:kern w:val="0"/>
                <w:sz w:val="24"/>
                <w:szCs w:val="24"/>
              </w:rPr>
            </w:pPr>
          </w:p>
        </w:tc>
      </w:tr>
    </w:tbl>
    <w:p>
      <w:pPr>
        <w:autoSpaceDE w:val="0"/>
        <w:autoSpaceDN w:val="0"/>
        <w:adjustRightInd w:val="0"/>
        <w:spacing w:line="500" w:lineRule="exact"/>
        <w:ind w:firstLine="480" w:firstLineChars="200"/>
        <w:jc w:val="left"/>
        <w:rPr>
          <w:rFonts w:ascii="宋体" w:cs="宋体"/>
          <w:kern w:val="0"/>
          <w:sz w:val="24"/>
          <w:szCs w:val="24"/>
        </w:rPr>
      </w:pP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3.控制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控制方式：按钮、压杆、方向盘控制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当设备出现异常时,急停按钮可停机</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启动、复位、报警、指示、急停等按钮</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设备配有信号警示灯</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4.其它附件</w:t>
      </w:r>
    </w:p>
    <w:p>
      <w:pPr>
        <w:tabs>
          <w:tab w:val="left" w:pos="840"/>
        </w:tabs>
        <w:autoSpaceDE w:val="0"/>
        <w:autoSpaceDN w:val="0"/>
        <w:adjustRightInd w:val="0"/>
        <w:spacing w:line="500" w:lineRule="exact"/>
        <w:ind w:left="420" w:leftChars="200"/>
        <w:jc w:val="left"/>
        <w:rPr>
          <w:rFonts w:ascii="宋体" w:cs="宋体"/>
          <w:kern w:val="0"/>
          <w:sz w:val="24"/>
          <w:szCs w:val="24"/>
        </w:rPr>
      </w:pPr>
      <w:r>
        <w:rPr>
          <w:rFonts w:hint="eastAsia" w:ascii="宋体" w:cs="宋体"/>
          <w:kern w:val="0"/>
          <w:sz w:val="24"/>
          <w:szCs w:val="24"/>
        </w:rPr>
        <w:t>尾气净化器、平铲斗、圆筒抱夹、下倾翻、铲斗、平抱夹、抓木器、垂直吊臂、前后警示灯、叉车加长脚2条等</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5. 安全保护与措施</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设置信号警示灯</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倒车声光提醒</w:t>
      </w:r>
    </w:p>
    <w:p>
      <w:pPr>
        <w:autoSpaceDE w:val="0"/>
        <w:autoSpaceDN w:val="0"/>
        <w:adjustRightInd w:val="0"/>
        <w:spacing w:line="500" w:lineRule="exact"/>
        <w:ind w:firstLine="480" w:firstLineChars="200"/>
        <w:jc w:val="left"/>
        <w:rPr>
          <w:rFonts w:ascii="宋体" w:cs="宋体"/>
          <w:kern w:val="0"/>
          <w:sz w:val="24"/>
          <w:szCs w:val="24"/>
        </w:rPr>
      </w:pPr>
      <w:r>
        <w:rPr>
          <w:rFonts w:ascii="宋体" w:cs="宋体"/>
          <w:kern w:val="0"/>
          <w:sz w:val="24"/>
          <w:szCs w:val="24"/>
        </w:rPr>
        <w:t>Ops</w:t>
      </w:r>
      <w:r>
        <w:rPr>
          <w:rFonts w:hint="eastAsia" w:ascii="宋体" w:cs="宋体"/>
          <w:kern w:val="0"/>
          <w:sz w:val="24"/>
          <w:szCs w:val="24"/>
        </w:rPr>
        <w:t>系统（人离开座椅，门架不下降）</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灭火器</w:t>
      </w:r>
    </w:p>
    <w:p>
      <w:pPr>
        <w:adjustRightInd w:val="0"/>
        <w:spacing w:line="350" w:lineRule="atLeast"/>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p>
    <w:p>
      <w:pPr>
        <w:autoSpaceDE w:val="0"/>
        <w:autoSpaceDN w:val="0"/>
        <w:adjustRightInd w:val="0"/>
        <w:spacing w:line="500" w:lineRule="exact"/>
        <w:ind w:firstLine="480" w:firstLineChars="200"/>
        <w:jc w:val="left"/>
        <w:rPr>
          <w:rFonts w:ascii="宋体" w:cs="宋体"/>
          <w:kern w:val="0"/>
          <w:sz w:val="24"/>
          <w:szCs w:val="24"/>
        </w:rPr>
      </w:pPr>
      <w:r>
        <w:rPr>
          <w:rFonts w:hint="eastAsia" w:asciiTheme="minorEastAsia" w:hAnsiTheme="minorEastAsia" w:eastAsiaTheme="minorEastAsia"/>
          <w:sz w:val="24"/>
          <w:szCs w:val="21"/>
        </w:rPr>
        <w:t>4.1设备</w:t>
      </w:r>
      <w:r>
        <w:rPr>
          <w:rFonts w:hint="eastAsia" w:ascii="宋体" w:cs="宋体"/>
          <w:kern w:val="0"/>
          <w:sz w:val="24"/>
          <w:szCs w:val="24"/>
        </w:rPr>
        <w:t>手册（纸质档+电子档）</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设备操作手册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设备零件清单</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设备维修手册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4.2  主要零件的使用说明书或手册及出厂合格证明</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设备结构图</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4.3  零件清单</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厂商提供设备主要零件清单/厂牌/型号</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例如：发动机/电池/柴油滤芯/尾气净化器/轮胎等</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5.1设备质保期1年，从验收合格之日起开始计算</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5.2在质保期，设备发生故障（非人为原因），厂商免费提供换新零件和服务，耗材除外</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5.3在设备保修期内，备件的响应时间与人员入厂响应时间相同（小于72小时）</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5.4供应商在设备保修期内，设备出现问题后的响应时间须满足以下要求:电话响应时间为接到电话时计算，小于2小时；如需人员现场维修，服务人员从接到电话时计算，到厂时间小于48小时。</w:t>
      </w:r>
    </w:p>
    <w:p>
      <w:pPr>
        <w:widowControl/>
        <w:spacing w:line="360" w:lineRule="auto"/>
        <w:ind w:firstLine="480" w:firstLineChars="200"/>
        <w:jc w:val="left"/>
        <w:rPr>
          <w:rFonts w:ascii="楷体_GB2312" w:hAnsi="宋体" w:eastAsia="楷体_GB2312"/>
          <w:sz w:val="24"/>
        </w:rPr>
      </w:pPr>
      <w:r>
        <w:rPr>
          <w:rFonts w:hint="eastAsia" w:asciiTheme="minorEastAsia" w:hAnsiTheme="minorEastAsia" w:eastAsiaTheme="minorEastAsia"/>
          <w:sz w:val="24"/>
          <w:szCs w:val="21"/>
        </w:rPr>
        <w:t>5.5保修期内服务人员必须是轮式电动液压叉车维修服务从业3年以上。</w:t>
      </w:r>
    </w:p>
    <w:p>
      <w:pPr>
        <w:tabs>
          <w:tab w:val="left" w:pos="1980"/>
          <w:tab w:val="left" w:pos="7920"/>
        </w:tabs>
        <w:adjustRightInd w:val="0"/>
        <w:snapToGrid w:val="0"/>
        <w:ind w:left="670"/>
        <w:jc w:val="center"/>
        <w:rPr>
          <w:rFonts w:ascii="宋体" w:hAnsi="宋体"/>
          <w:b/>
          <w:sz w:val="32"/>
          <w:szCs w:val="32"/>
        </w:rPr>
      </w:pP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6.其它</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供应商可提供近一年内贵公司轮式电动液压叉车销售使用案例相关数据，此可结合我司需求纳入技术评标考察范围。</w:t>
      </w:r>
    </w:p>
    <w:p>
      <w:pPr>
        <w:rPr>
          <w:rFonts w:ascii="楷体_GB2312" w:hAnsi="宋体" w:eastAsia="楷体_GB2312"/>
          <w:b/>
          <w:sz w:val="28"/>
        </w:rPr>
      </w:pP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日期：年月日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期：年 月日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轮式电动液压叉车询价采购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08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3"/>
        <w:gridCol w:w="4652"/>
        <w:gridCol w:w="1276"/>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652" w:type="dxa"/>
            <w:vAlign w:val="center"/>
          </w:tcPr>
          <w:p>
            <w:pPr>
              <w:spacing w:line="380" w:lineRule="exact"/>
              <w:jc w:val="center"/>
              <w:rPr>
                <w:rFonts w:ascii="宋体" w:hAnsi="宋体"/>
                <w:szCs w:val="21"/>
              </w:rPr>
            </w:pPr>
            <w:r>
              <w:rPr>
                <w:rFonts w:hint="eastAsia" w:ascii="宋体" w:hAnsi="宋体"/>
                <w:szCs w:val="21"/>
              </w:rPr>
              <w:t>见表</w:t>
            </w:r>
          </w:p>
        </w:tc>
        <w:tc>
          <w:tcPr>
            <w:tcW w:w="1276" w:type="dxa"/>
            <w:vAlign w:val="center"/>
          </w:tcPr>
          <w:p>
            <w:pPr>
              <w:spacing w:line="380" w:lineRule="exact"/>
              <w:jc w:val="center"/>
              <w:rPr>
                <w:rFonts w:ascii="宋体" w:hAnsi="宋体"/>
                <w:szCs w:val="21"/>
              </w:rPr>
            </w:pPr>
            <w:r>
              <w:rPr>
                <w:rFonts w:hint="eastAsia" w:ascii="宋体" w:hAnsi="宋体"/>
                <w:szCs w:val="21"/>
              </w:rPr>
              <w:t>完全响应</w:t>
            </w: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性能要求尺寸参数</w:t>
            </w:r>
          </w:p>
        </w:tc>
        <w:tc>
          <w:tcPr>
            <w:tcW w:w="4652" w:type="dxa"/>
            <w:vAlign w:val="center"/>
          </w:tcPr>
          <w:p>
            <w:pPr>
              <w:spacing w:line="380" w:lineRule="exact"/>
              <w:jc w:val="center"/>
              <w:rPr>
                <w:rFonts w:ascii="宋体" w:hAnsi="宋体"/>
                <w:szCs w:val="21"/>
              </w:rPr>
            </w:pPr>
            <w:r>
              <w:rPr>
                <w:rFonts w:hint="eastAsia" w:ascii="宋体" w:hAnsi="宋体"/>
                <w:szCs w:val="21"/>
              </w:rPr>
              <w:t>见表</w:t>
            </w:r>
            <w:r>
              <w:rPr>
                <w:rFonts w:ascii="宋体" w:hAnsi="宋体"/>
                <w:szCs w:val="21"/>
              </w:rPr>
              <w:t>1</w:t>
            </w:r>
            <w:r>
              <w:rPr>
                <w:rFonts w:hint="eastAsia" w:ascii="宋体" w:hAnsi="宋体"/>
                <w:szCs w:val="21"/>
              </w:rPr>
              <w:t>《性能要求尺寸参数》</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控制系统</w:t>
            </w:r>
          </w:p>
        </w:tc>
        <w:tc>
          <w:tcPr>
            <w:tcW w:w="4652" w:type="dxa"/>
            <w:vAlign w:val="center"/>
          </w:tcPr>
          <w:p>
            <w:pPr>
              <w:spacing w:line="380" w:lineRule="exact"/>
              <w:jc w:val="center"/>
              <w:rPr>
                <w:rFonts w:ascii="宋体" w:hAnsi="宋体"/>
                <w:szCs w:val="21"/>
              </w:rPr>
            </w:pPr>
            <w:r>
              <w:rPr>
                <w:rFonts w:hint="eastAsia" w:ascii="宋体" w:hAnsi="宋体"/>
                <w:szCs w:val="21"/>
              </w:rPr>
              <w:t>见3</w:t>
            </w:r>
            <w:r>
              <w:rPr>
                <w:rFonts w:ascii="宋体" w:hAnsi="宋体"/>
                <w:szCs w:val="21"/>
              </w:rPr>
              <w:t>.3</w:t>
            </w:r>
            <w:r>
              <w:rPr>
                <w:rFonts w:hint="eastAsia" w:ascii="宋体" w:hAnsi="宋体"/>
                <w:szCs w:val="21"/>
              </w:rPr>
              <w:t>控制</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清楚我司轮式电动液压叉车的使用环境</w:t>
            </w:r>
          </w:p>
        </w:tc>
        <w:tc>
          <w:tcPr>
            <w:tcW w:w="4652" w:type="dxa"/>
            <w:vAlign w:val="center"/>
          </w:tcPr>
          <w:p>
            <w:pPr>
              <w:spacing w:line="380" w:lineRule="exact"/>
              <w:jc w:val="center"/>
              <w:rPr>
                <w:rFonts w:ascii="宋体" w:hAnsi="宋体"/>
                <w:szCs w:val="21"/>
              </w:rPr>
            </w:pPr>
            <w:r>
              <w:rPr>
                <w:rFonts w:hint="eastAsia" w:ascii="宋体" w:hAnsi="宋体"/>
                <w:szCs w:val="21"/>
              </w:rPr>
              <w:t>地坪漆，运转空间小，禁污染</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安全保护与措施</w:t>
            </w:r>
          </w:p>
        </w:tc>
        <w:tc>
          <w:tcPr>
            <w:tcW w:w="4652" w:type="dxa"/>
            <w:vAlign w:val="center"/>
          </w:tcPr>
          <w:p>
            <w:pPr>
              <w:widowControl/>
              <w:jc w:val="center"/>
              <w:rPr>
                <w:rFonts w:ascii="宋体" w:cs="宋体"/>
                <w:kern w:val="0"/>
                <w:sz w:val="24"/>
                <w:szCs w:val="24"/>
              </w:rPr>
            </w:pPr>
            <w:r>
              <w:rPr>
                <w:rFonts w:hint="eastAsia" w:ascii="宋体" w:hAnsi="宋体"/>
                <w:szCs w:val="21"/>
              </w:rPr>
              <w:t>见3.5安全保护与措施</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叉车整体质保（无人为损坏）</w:t>
            </w:r>
          </w:p>
        </w:tc>
        <w:tc>
          <w:tcPr>
            <w:tcW w:w="4652" w:type="dxa"/>
            <w:vAlign w:val="center"/>
          </w:tcPr>
          <w:p>
            <w:pPr>
              <w:spacing w:line="380" w:lineRule="exact"/>
              <w:jc w:val="center"/>
              <w:rPr>
                <w:rFonts w:ascii="宋体" w:hAnsi="宋体"/>
                <w:szCs w:val="21"/>
              </w:rPr>
            </w:pPr>
            <w:r>
              <w:rPr>
                <w:rFonts w:hint="eastAsia" w:ascii="宋体" w:hAnsi="宋体"/>
                <w:szCs w:val="21"/>
              </w:rPr>
              <w:t>一内无条件更换配件</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配套赠送备件</w:t>
            </w:r>
          </w:p>
        </w:tc>
        <w:tc>
          <w:tcPr>
            <w:tcW w:w="4652" w:type="dxa"/>
            <w:vAlign w:val="center"/>
          </w:tcPr>
          <w:p>
            <w:pPr>
              <w:autoSpaceDE w:val="0"/>
              <w:autoSpaceDN w:val="0"/>
              <w:adjustRightInd w:val="0"/>
              <w:spacing w:line="500" w:lineRule="exact"/>
              <w:ind w:firstLine="420" w:firstLineChars="200"/>
              <w:jc w:val="center"/>
              <w:rPr>
                <w:rFonts w:ascii="宋体" w:cs="宋体"/>
                <w:kern w:val="0"/>
                <w:sz w:val="24"/>
                <w:szCs w:val="24"/>
              </w:rPr>
            </w:pPr>
            <w:r>
              <w:rPr>
                <w:rFonts w:hint="eastAsia" w:ascii="宋体" w:hAnsi="宋体"/>
                <w:szCs w:val="21"/>
              </w:rPr>
              <w:t>见3.4</w:t>
            </w:r>
            <w:r>
              <w:rPr>
                <w:rFonts w:hint="eastAsia" w:ascii="宋体" w:cs="宋体"/>
                <w:kern w:val="0"/>
                <w:sz w:val="24"/>
                <w:szCs w:val="24"/>
              </w:rPr>
              <w:t>其它附件</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652" w:type="dxa"/>
            <w:vAlign w:val="center"/>
          </w:tcPr>
          <w:p>
            <w:pPr>
              <w:spacing w:line="360" w:lineRule="exact"/>
              <w:jc w:val="center"/>
              <w:rPr>
                <w:rFonts w:ascii="宋体" w:hAnsi="宋体"/>
                <w:szCs w:val="21"/>
              </w:rPr>
            </w:pPr>
            <w:r>
              <w:rPr>
                <w:rFonts w:hint="eastAsia" w:ascii="宋体" w:hAnsi="宋体"/>
                <w:color w:val="000000"/>
              </w:rPr>
              <w:t>验收合格后支付</w:t>
            </w:r>
            <w:r>
              <w:rPr>
                <w:rFonts w:ascii="宋体" w:hAnsi="宋体"/>
                <w:color w:val="000000"/>
              </w:rPr>
              <w:t>9</w:t>
            </w:r>
            <w:r>
              <w:rPr>
                <w:rFonts w:hint="eastAsia" w:ascii="宋体" w:hAnsi="宋体"/>
                <w:color w:val="000000"/>
              </w:rPr>
              <w:t>5%，另5%作为质保金</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评标方式</w:t>
            </w:r>
          </w:p>
        </w:tc>
        <w:tc>
          <w:tcPr>
            <w:tcW w:w="4652"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评分标准</w:t>
            </w:r>
          </w:p>
        </w:tc>
        <w:tc>
          <w:tcPr>
            <w:tcW w:w="4652" w:type="dxa"/>
            <w:vAlign w:val="center"/>
          </w:tcPr>
          <w:p>
            <w:pPr>
              <w:spacing w:line="360" w:lineRule="exact"/>
              <w:jc w:val="center"/>
              <w:rPr>
                <w:rFonts w:ascii="宋体" w:hAnsi="宋体"/>
                <w:szCs w:val="21"/>
              </w:rPr>
            </w:pPr>
            <w:r>
              <w:rPr>
                <w:rFonts w:hint="eastAsia" w:ascii="宋体" w:hAnsi="宋体"/>
                <w:szCs w:val="21"/>
              </w:rPr>
              <w:t>综合评分表</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合同样式</w:t>
            </w:r>
          </w:p>
        </w:tc>
        <w:tc>
          <w:tcPr>
            <w:tcW w:w="4652" w:type="dxa"/>
            <w:vAlign w:val="center"/>
          </w:tcPr>
          <w:p>
            <w:pPr>
              <w:spacing w:line="360" w:lineRule="exact"/>
              <w:jc w:val="center"/>
              <w:rPr>
                <w:rFonts w:ascii="宋体" w:hAnsi="宋体"/>
                <w:szCs w:val="21"/>
              </w:rPr>
            </w:pPr>
            <w:r>
              <w:rPr>
                <w:rFonts w:hint="eastAsia" w:ascii="宋体" w:hAnsi="宋体"/>
                <w:szCs w:val="21"/>
              </w:rPr>
              <w:t>合同范本</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bl>
    <w:p>
      <w:pPr>
        <w:widowControl/>
        <w:spacing w:line="420" w:lineRule="exact"/>
        <w:jc w:val="left"/>
        <w:rPr>
          <w:rFonts w:ascii="黑体" w:hAnsi="宋体" w:eastAsia="黑体" w:cs="宋体"/>
          <w:color w:val="FF0000"/>
          <w:kern w:val="0"/>
          <w:sz w:val="24"/>
        </w:rPr>
      </w:pPr>
      <w:r>
        <w:rPr>
          <w:rFonts w:hint="eastAsia"/>
          <w:color w:val="000000"/>
        </w:rPr>
        <w:t>（</w:t>
      </w:r>
      <w:r>
        <w:rPr>
          <w:rFonts w:hint="eastAsia" w:ascii="黑体" w:hAnsi="宋体" w:eastAsia="黑体" w:cs="宋体"/>
          <w:color w:val="FF0000"/>
          <w:kern w:val="0"/>
          <w:sz w:val="24"/>
        </w:rPr>
        <w:t>请将选定设备的具体技术参数填入“具体参数数据、说明/备注”栏中，将作为综合考评重要依据，如有比要求的技术参数更优而未填写的，则按要求的最低标准进行考评。针对恒达技术要求进行确认是否响应满足， 如有不响应，请备注</w:t>
      </w:r>
    </w:p>
    <w:p>
      <w:pPr>
        <w:widowControl/>
        <w:spacing w:line="420" w:lineRule="exact"/>
        <w:ind w:firstLine="2280" w:firstLineChars="950"/>
        <w:jc w:val="left"/>
        <w:rPr>
          <w:color w:val="000000"/>
        </w:rPr>
      </w:pPr>
      <w:r>
        <w:rPr>
          <w:rFonts w:hint="eastAsia" w:ascii="黑体" w:hAnsi="宋体" w:eastAsia="黑体" w:cs="宋体"/>
          <w:color w:val="000000"/>
          <w:kern w:val="0"/>
          <w:sz w:val="24"/>
        </w:rPr>
        <w:t>参与报价公司（盖章）：</w:t>
      </w:r>
    </w:p>
    <w:p>
      <w:pPr>
        <w:jc w:val="righ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rPr>
          <w:rFonts w:ascii="黑体" w:hAnsi="宋体" w:eastAsia="黑体" w:cs="宋体"/>
          <w:color w:val="000000"/>
          <w:kern w:val="0"/>
          <w:sz w:val="24"/>
        </w:rPr>
      </w:pPr>
    </w:p>
    <w:p>
      <w:pPr>
        <w:spacing w:line="520" w:lineRule="exact"/>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tbl>
      <w:tblPr>
        <w:tblStyle w:val="18"/>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241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主要设备配件</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主要备件一：电动机</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1.1.2</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主要备件二:电池</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1.1.3</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主要备件三：变速箱</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需确定有无此配置</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1.1.4</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主要备件四: 轮胎</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主要备件五：工作装置</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1.1.6</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主要备件六：驱动装置</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1.1.7</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主要备件七: 操作控制装置</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1193"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r>
      <w:tr>
        <w:tblPrEx>
          <w:tblCellMar>
            <w:top w:w="0" w:type="dxa"/>
            <w:left w:w="108" w:type="dxa"/>
            <w:bottom w:w="0" w:type="dxa"/>
            <w:right w:w="108" w:type="dxa"/>
          </w:tblCellMar>
        </w:tblPrEx>
        <w:trPr>
          <w:trHeight w:val="1130"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轮式电动液压叉车</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w:t>
            </w:r>
            <w:r>
              <w:rPr>
                <w:rFonts w:ascii="宋体" w:hAnsi="宋体" w:cs="宋体"/>
                <w:color w:val="000000"/>
                <w:kern w:val="0"/>
                <w:sz w:val="22"/>
                <w:szCs w:val="22"/>
              </w:rPr>
              <w:t>T</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辆</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币种：人民币 单位：元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Y="3346"/>
        <w:tblW w:w="10456" w:type="dxa"/>
        <w:tblInd w:w="0" w:type="dxa"/>
        <w:tblLayout w:type="autofit"/>
        <w:tblCellMar>
          <w:top w:w="0" w:type="dxa"/>
          <w:left w:w="108" w:type="dxa"/>
          <w:bottom w:w="0" w:type="dxa"/>
          <w:right w:w="108" w:type="dxa"/>
        </w:tblCellMar>
      </w:tblPr>
      <w:tblGrid>
        <w:gridCol w:w="620"/>
        <w:gridCol w:w="1805"/>
        <w:gridCol w:w="851"/>
        <w:gridCol w:w="4629"/>
        <w:gridCol w:w="992"/>
        <w:gridCol w:w="1559"/>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80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2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99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55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99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满分50分，得分=满分值（50）*最低报价/报价</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性能要求尺寸参数</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满分15分，尺寸设计的合理性综合评价。高：12-15分，较高：9-12分，一般：6-9分，较低：3-5分，低：0-3分。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数据列入合同附件</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设备配件选择的适应性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满分15分，从电动机、操作控制装置、传动装置材料等方面进行综合评定。好：12-15分，较好：9-12分，一般：6-9分，较差：3-5分，差：0-3分。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重点关注电池、电机、控制、传动装置的综合性能</w:t>
            </w:r>
          </w:p>
        </w:tc>
      </w:tr>
      <w:tr>
        <w:tblPrEx>
          <w:tblCellMar>
            <w:top w:w="0" w:type="dxa"/>
            <w:left w:w="108" w:type="dxa"/>
            <w:bottom w:w="0" w:type="dxa"/>
            <w:right w:w="108" w:type="dxa"/>
          </w:tblCellMar>
        </w:tblPrEx>
        <w:trPr>
          <w:trHeight w:val="926"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整机质保：</w:t>
            </w:r>
            <w:r>
              <w:rPr>
                <w:rFonts w:ascii="宋体" w:hAnsi="宋体" w:cs="宋体"/>
                <w:color w:val="000000"/>
                <w:kern w:val="0"/>
                <w:sz w:val="22"/>
                <w:szCs w:val="22"/>
              </w:rPr>
              <w:t>1</w:t>
            </w:r>
            <w:r>
              <w:rPr>
                <w:rFonts w:hint="eastAsia" w:ascii="宋体" w:hAnsi="宋体" w:cs="宋体"/>
                <w:color w:val="000000"/>
                <w:kern w:val="0"/>
                <w:sz w:val="22"/>
                <w:szCs w:val="22"/>
              </w:rPr>
              <w:t>年以下0分，</w:t>
            </w:r>
            <w:r>
              <w:rPr>
                <w:rFonts w:ascii="宋体" w:hAnsi="宋体" w:cs="宋体"/>
                <w:color w:val="000000"/>
                <w:kern w:val="0"/>
                <w:sz w:val="22"/>
                <w:szCs w:val="22"/>
              </w:rPr>
              <w:t>1</w:t>
            </w:r>
            <w:r>
              <w:rPr>
                <w:rFonts w:hint="eastAsia" w:ascii="宋体" w:hAnsi="宋体" w:cs="宋体"/>
                <w:color w:val="000000"/>
                <w:kern w:val="0"/>
                <w:sz w:val="22"/>
                <w:szCs w:val="22"/>
              </w:rPr>
              <w:t>年到</w:t>
            </w:r>
            <w:r>
              <w:rPr>
                <w:rFonts w:ascii="宋体" w:hAnsi="宋体" w:cs="宋体"/>
                <w:color w:val="000000"/>
                <w:kern w:val="0"/>
                <w:sz w:val="22"/>
                <w:szCs w:val="22"/>
              </w:rPr>
              <w:t>2</w:t>
            </w:r>
            <w:r>
              <w:rPr>
                <w:rFonts w:hint="eastAsia" w:ascii="宋体" w:hAnsi="宋体" w:cs="宋体"/>
                <w:color w:val="000000"/>
                <w:kern w:val="0"/>
                <w:sz w:val="22"/>
                <w:szCs w:val="22"/>
              </w:rPr>
              <w:t>年得</w:t>
            </w:r>
            <w:r>
              <w:rPr>
                <w:rFonts w:hint="eastAsia" w:ascii="宋体" w:hAnsi="宋体" w:cs="宋体"/>
                <w:color w:val="000000"/>
                <w:kern w:val="0"/>
                <w:sz w:val="22"/>
                <w:szCs w:val="22"/>
                <w:lang w:val="en-US" w:eastAsia="zh-CN"/>
              </w:rPr>
              <w:t>2</w:t>
            </w:r>
            <w:r>
              <w:rPr>
                <w:rFonts w:hint="eastAsia" w:ascii="宋体" w:hAnsi="宋体" w:cs="宋体"/>
                <w:color w:val="000000"/>
                <w:kern w:val="0"/>
                <w:sz w:val="22"/>
                <w:szCs w:val="22"/>
              </w:rPr>
              <w:t>分，</w:t>
            </w:r>
            <w:r>
              <w:rPr>
                <w:rFonts w:ascii="宋体" w:hAnsi="宋体" w:cs="宋体"/>
                <w:color w:val="000000"/>
                <w:kern w:val="0"/>
                <w:sz w:val="22"/>
                <w:szCs w:val="22"/>
              </w:rPr>
              <w:t>2</w:t>
            </w:r>
            <w:r>
              <w:rPr>
                <w:rFonts w:hint="eastAsia" w:ascii="宋体" w:hAnsi="宋体" w:cs="宋体"/>
                <w:color w:val="000000"/>
                <w:kern w:val="0"/>
                <w:sz w:val="22"/>
                <w:szCs w:val="22"/>
              </w:rPr>
              <w:t>年及以上得</w:t>
            </w:r>
            <w:r>
              <w:rPr>
                <w:rFonts w:hint="eastAsia" w:ascii="宋体" w:hAnsi="宋体" w:cs="宋体"/>
                <w:color w:val="000000"/>
                <w:kern w:val="0"/>
                <w:sz w:val="22"/>
                <w:szCs w:val="22"/>
                <w:lang w:val="en-US" w:eastAsia="zh-CN"/>
              </w:rPr>
              <w:t>3</w:t>
            </w:r>
            <w:r>
              <w:rPr>
                <w:rFonts w:hint="eastAsia" w:ascii="宋体" w:hAnsi="宋体" w:cs="宋体"/>
                <w:color w:val="000000"/>
                <w:kern w:val="0"/>
                <w:sz w:val="22"/>
                <w:szCs w:val="22"/>
              </w:rPr>
              <w:t>分；配套赠送配件每项加1分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安全保护与措施</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满分5分，参照第三部分第三条第三点，每缺失一项扣2分。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满分5分，所必须附件每缺失一份扣2分。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9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文件资料或商务要求响应完整性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满分5分，所需文件每缺失1份或要求未响应扣1分,。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p>
    <w:p>
      <w:pPr>
        <w:ind w:right="480"/>
        <w:rPr>
          <w:color w:val="000000"/>
        </w:rPr>
      </w:pPr>
      <w:r>
        <w:rPr>
          <w:rFonts w:hint="eastAsia"/>
          <w:color w:val="000000"/>
        </w:rPr>
        <w:t>评分人：日期</w:t>
      </w:r>
    </w:p>
    <w:p>
      <w:pPr>
        <w:ind w:right="480"/>
        <w:rPr>
          <w:color w:val="000000"/>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轮式电动液压叉车</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3.5</w:t>
            </w:r>
            <w:r>
              <w:rPr>
                <w:rFonts w:ascii="仿宋_GB2312" w:eastAsia="仿宋_GB2312"/>
                <w:sz w:val="24"/>
              </w:rPr>
              <w:t>T</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ascii="仿宋_GB2312" w:eastAsia="仿宋_GB2312"/>
                <w:sz w:val="24"/>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cs="Times New Roman"/>
          <w:color w:val="auto"/>
          <w:kern w:val="2"/>
          <w:sz w:val="2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第一期付款：合同签订后个工作日内支付合同总价款的</w:t>
      </w:r>
      <w:r>
        <w:rPr>
          <w:rFonts w:hint="eastAsia" w:ascii="仿宋_GB2312" w:eastAsia="仿宋_GB2312"/>
          <w:kern w:val="0"/>
          <w:sz w:val="28"/>
          <w:szCs w:val="18"/>
          <w:u w:val="single"/>
          <w:lang w:val="en-US" w:eastAsia="zh-CN"/>
        </w:rPr>
        <w:t>30</w:t>
      </w:r>
      <w:r>
        <w:rPr>
          <w:rFonts w:hint="eastAsia" w:ascii="仿宋_GB2312" w:eastAsia="仿宋_GB2312"/>
          <w:kern w:val="0"/>
          <w:sz w:val="28"/>
          <w:szCs w:val="18"/>
          <w:lang w:val="en-US" w:eastAsia="zh-CN"/>
        </w:rPr>
        <w:t>%</w:t>
      </w:r>
      <w:r>
        <w:rPr>
          <w:rFonts w:hint="eastAsia" w:ascii="仿宋_GB2312" w:eastAsia="仿宋_GB2312"/>
          <w:kern w:val="0"/>
          <w:sz w:val="28"/>
          <w:szCs w:val="18"/>
        </w:rPr>
        <w:t>，</w:t>
      </w:r>
      <w:r>
        <w:rPr>
          <w:rFonts w:hint="eastAsia" w:ascii="仿宋_GB2312" w:eastAsia="仿宋_GB2312"/>
          <w:sz w:val="28"/>
          <w:szCs w:val="18"/>
        </w:rPr>
        <w:t>即人民币</w:t>
      </w:r>
      <w:r>
        <w:rPr>
          <w:rFonts w:hint="eastAsia" w:ascii="仿宋_GB2312" w:eastAsia="仿宋_GB2312"/>
          <w:sz w:val="28"/>
          <w:szCs w:val="18"/>
          <w:u w:val="single"/>
          <w:lang w:val="en-US" w:eastAsia="zh-CN"/>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ascii="仿宋_GB2312" w:eastAsia="仿宋_GB2312"/>
          <w:sz w:val="28"/>
          <w:u w:val="single"/>
        </w:rPr>
        <w:t>30</w:t>
      </w:r>
      <w:r>
        <w:rPr>
          <w:rFonts w:hint="eastAsia" w:ascii="仿宋_GB2312" w:eastAsia="仿宋_GB2312"/>
          <w:sz w:val="28"/>
        </w:rPr>
        <w:t>个工作日内支付合同总价款的</w:t>
      </w:r>
      <w:r>
        <w:rPr>
          <w:rFonts w:hint="eastAsia" w:ascii="仿宋_GB2312" w:eastAsia="仿宋_GB2312"/>
          <w:sz w:val="28"/>
          <w:u w:val="single"/>
          <w:lang w:val="en-US" w:eastAsia="zh-CN"/>
        </w:rPr>
        <w:t>65</w:t>
      </w:r>
      <w:r>
        <w:rPr>
          <w:rFonts w:ascii="仿宋_GB2312" w:eastAsia="仿宋_GB2312"/>
          <w:sz w:val="28"/>
          <w:u w:val="single"/>
        </w:rPr>
        <w:t xml:space="preserve">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lang w:val="en-US" w:eastAsia="zh-CN"/>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设备安装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lang w:val="en-US" w:eastAsia="zh-CN"/>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lang w:val="en-US" w:eastAsia="zh-CN"/>
        </w:rPr>
        <w:t xml:space="preserve">  </w:t>
      </w:r>
      <w:r>
        <w:rPr>
          <w:rFonts w:ascii="仿宋_GB2312" w:eastAsia="仿宋_GB2312"/>
          <w:kern w:val="0"/>
          <w:sz w:val="28"/>
          <w:szCs w:val="18"/>
        </w:rPr>
        <w:t>年</w:t>
      </w:r>
      <w:r>
        <w:rPr>
          <w:rFonts w:hint="eastAsia" w:ascii="仿宋_GB2312" w:eastAsia="仿宋_GB2312"/>
          <w:kern w:val="0"/>
          <w:sz w:val="28"/>
          <w:szCs w:val="18"/>
          <w:u w:val="single"/>
          <w:lang w:val="en-US" w:eastAsia="zh-CN"/>
        </w:rPr>
        <w:t xml:space="preserve">  </w:t>
      </w:r>
      <w:r>
        <w:rPr>
          <w:rFonts w:ascii="仿宋_GB2312" w:eastAsia="仿宋_GB2312"/>
          <w:kern w:val="0"/>
          <w:sz w:val="28"/>
          <w:szCs w:val="18"/>
        </w:rPr>
        <w:t>月</w:t>
      </w:r>
      <w:r>
        <w:rPr>
          <w:rFonts w:hint="eastAsia" w:ascii="仿宋_GB2312" w:eastAsia="仿宋_GB2312"/>
          <w:kern w:val="0"/>
          <w:sz w:val="28"/>
          <w:szCs w:val="18"/>
          <w:u w:val="single"/>
          <w:lang w:val="en-US" w:eastAsia="zh-CN"/>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，甲方负责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u w:val="single"/>
        </w:rPr>
        <w:t xml:space="preserve">彭科文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u w:val="single"/>
        </w:rPr>
        <w:t>15828380743</w:t>
      </w:r>
      <w:r>
        <w:rPr>
          <w:rFonts w:hint="eastAsia" w:ascii="仿宋_GB2312" w:eastAsia="仿宋_GB2312"/>
          <w:kern w:val="0"/>
          <w:sz w:val="28"/>
          <w:szCs w:val="1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ascii="仿宋_GB2312" w:eastAsia="仿宋_GB2312"/>
          <w:sz w:val="28"/>
          <w:u w:val="single"/>
        </w:rPr>
        <w:t>1</w:t>
      </w:r>
      <w:r>
        <w:rPr>
          <w:rFonts w:hint="eastAsia" w:ascii="仿宋_GB2312" w:eastAsia="仿宋_GB2312"/>
          <w:sz w:val="28"/>
        </w:rPr>
        <w:t>个工作日的免费操作培训和维修培训。培训内容包括：设备操作、编程及日常机械、常规维修和针对典型零件的加工培训，使经过培训的甲方操作人员能熟练操作设备并能排除简单故障。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甲</w:t>
      </w:r>
      <w:r>
        <w:rPr>
          <w:rFonts w:ascii="仿宋_GB2312" w:eastAsia="仿宋_GB2312"/>
          <w:sz w:val="28"/>
          <w:szCs w:val="18"/>
          <w:lang w:eastAsia="zh-CN"/>
        </w:rPr>
        <w:t>方(盖章)</w:t>
      </w:r>
      <w:r>
        <w:rPr>
          <w:rFonts w:hint="eastAsia" w:ascii="仿宋_GB2312" w:eastAsia="仿宋_GB2312"/>
          <w:sz w:val="28"/>
          <w:szCs w:val="18"/>
          <w:lang w:eastAsia="zh-CN"/>
        </w:rPr>
        <w:t>：                   乙</w:t>
      </w:r>
      <w:r>
        <w:rPr>
          <w:rFonts w:ascii="仿宋_GB2312" w:eastAsia="仿宋_GB2312"/>
          <w:sz w:val="28"/>
          <w:szCs w:val="18"/>
          <w:lang w:eastAsia="zh-CN"/>
        </w:rPr>
        <w:t>方(盖章)</w:t>
      </w:r>
      <w:r>
        <w:rPr>
          <w:rFonts w:hint="eastAsia" w:ascii="仿宋_GB2312" w:eastAsia="仿宋_GB2312"/>
          <w:sz w:val="28"/>
          <w:szCs w:val="18"/>
          <w:lang w:eastAsia="zh-CN"/>
        </w:rPr>
        <w:t>：</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委托代理人：　                 委托代理人</w:t>
      </w:r>
      <w:r>
        <w:rPr>
          <w:rFonts w:ascii="仿宋_GB2312" w:eastAsia="仿宋_GB2312"/>
          <w:sz w:val="28"/>
          <w:szCs w:val="18"/>
          <w:lang w:eastAsia="zh-CN"/>
        </w:rPr>
        <w:t xml:space="preserve">： </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签订时间：                     签订时间：</w:t>
      </w:r>
    </w:p>
    <w:p>
      <w:pPr>
        <w:ind w:right="480"/>
        <w:jc w:val="center"/>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PMingLiU">
    <w:altName w:val="PMingLiU-ExtB"/>
    <w:panose1 w:val="02020500000000000000"/>
    <w:charset w:val="88"/>
    <w:family w:val="roman"/>
    <w:pitch w:val="default"/>
    <w:sig w:usb0="00000000" w:usb1="00000000" w:usb2="00000016" w:usb3="00000000" w:csb0="00100001" w:csb1="00000000"/>
  </w:font>
  <w:font w:name="Helv">
    <w:altName w:val="Segoe Print"/>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仿宋"/>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55CE"/>
    <w:rsid w:val="00006568"/>
    <w:rsid w:val="00013FE1"/>
    <w:rsid w:val="00022290"/>
    <w:rsid w:val="0002378E"/>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17F"/>
    <w:rsid w:val="000A6B9F"/>
    <w:rsid w:val="000A7C52"/>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36D4C"/>
    <w:rsid w:val="001409CB"/>
    <w:rsid w:val="0014142C"/>
    <w:rsid w:val="00141BEA"/>
    <w:rsid w:val="00144134"/>
    <w:rsid w:val="00146D71"/>
    <w:rsid w:val="00151C9D"/>
    <w:rsid w:val="001550C5"/>
    <w:rsid w:val="0016239D"/>
    <w:rsid w:val="00167DF2"/>
    <w:rsid w:val="00182B52"/>
    <w:rsid w:val="00183193"/>
    <w:rsid w:val="00184749"/>
    <w:rsid w:val="00187901"/>
    <w:rsid w:val="00190033"/>
    <w:rsid w:val="00192149"/>
    <w:rsid w:val="00193ECD"/>
    <w:rsid w:val="00197732"/>
    <w:rsid w:val="00197823"/>
    <w:rsid w:val="001A09B3"/>
    <w:rsid w:val="001A20E8"/>
    <w:rsid w:val="001A77EA"/>
    <w:rsid w:val="001B089A"/>
    <w:rsid w:val="001B6E1F"/>
    <w:rsid w:val="001B6FC7"/>
    <w:rsid w:val="001B72C4"/>
    <w:rsid w:val="001C0B52"/>
    <w:rsid w:val="001C686B"/>
    <w:rsid w:val="001D316D"/>
    <w:rsid w:val="001D4406"/>
    <w:rsid w:val="001E11BC"/>
    <w:rsid w:val="001E1A40"/>
    <w:rsid w:val="001E42F1"/>
    <w:rsid w:val="001F35D2"/>
    <w:rsid w:val="001F406E"/>
    <w:rsid w:val="001F5ECE"/>
    <w:rsid w:val="00201849"/>
    <w:rsid w:val="00201D3B"/>
    <w:rsid w:val="00204579"/>
    <w:rsid w:val="00204E2A"/>
    <w:rsid w:val="0021473C"/>
    <w:rsid w:val="002179B7"/>
    <w:rsid w:val="00221484"/>
    <w:rsid w:val="00223359"/>
    <w:rsid w:val="002309EF"/>
    <w:rsid w:val="00242A6C"/>
    <w:rsid w:val="00246671"/>
    <w:rsid w:val="00252EE7"/>
    <w:rsid w:val="002556C0"/>
    <w:rsid w:val="00255C86"/>
    <w:rsid w:val="0025764D"/>
    <w:rsid w:val="00260D16"/>
    <w:rsid w:val="002669D8"/>
    <w:rsid w:val="00266CB3"/>
    <w:rsid w:val="002713F4"/>
    <w:rsid w:val="00274E20"/>
    <w:rsid w:val="00275907"/>
    <w:rsid w:val="00284352"/>
    <w:rsid w:val="00286E2B"/>
    <w:rsid w:val="00290FD7"/>
    <w:rsid w:val="00291957"/>
    <w:rsid w:val="00293B59"/>
    <w:rsid w:val="002970DD"/>
    <w:rsid w:val="00297E2B"/>
    <w:rsid w:val="002A1B51"/>
    <w:rsid w:val="002A5A8B"/>
    <w:rsid w:val="002A6DF9"/>
    <w:rsid w:val="002A7716"/>
    <w:rsid w:val="002C2E19"/>
    <w:rsid w:val="002C7715"/>
    <w:rsid w:val="002D39EA"/>
    <w:rsid w:val="002D3F54"/>
    <w:rsid w:val="002D7ABB"/>
    <w:rsid w:val="002E2932"/>
    <w:rsid w:val="002E3281"/>
    <w:rsid w:val="002E4738"/>
    <w:rsid w:val="002F177D"/>
    <w:rsid w:val="002F2263"/>
    <w:rsid w:val="002F336B"/>
    <w:rsid w:val="002F647E"/>
    <w:rsid w:val="00300BA2"/>
    <w:rsid w:val="003015CB"/>
    <w:rsid w:val="00310016"/>
    <w:rsid w:val="00310585"/>
    <w:rsid w:val="00312064"/>
    <w:rsid w:val="00312A38"/>
    <w:rsid w:val="0031449C"/>
    <w:rsid w:val="003159DA"/>
    <w:rsid w:val="003340B1"/>
    <w:rsid w:val="003373A3"/>
    <w:rsid w:val="003419E0"/>
    <w:rsid w:val="00347F94"/>
    <w:rsid w:val="0035143A"/>
    <w:rsid w:val="00351F4D"/>
    <w:rsid w:val="003526D6"/>
    <w:rsid w:val="00361399"/>
    <w:rsid w:val="00364B68"/>
    <w:rsid w:val="0036626F"/>
    <w:rsid w:val="00382569"/>
    <w:rsid w:val="00382C02"/>
    <w:rsid w:val="00383668"/>
    <w:rsid w:val="00383A96"/>
    <w:rsid w:val="003851A2"/>
    <w:rsid w:val="003866B8"/>
    <w:rsid w:val="003914A7"/>
    <w:rsid w:val="003941B6"/>
    <w:rsid w:val="003949AE"/>
    <w:rsid w:val="003A10DA"/>
    <w:rsid w:val="003A1582"/>
    <w:rsid w:val="003A197D"/>
    <w:rsid w:val="003B0D18"/>
    <w:rsid w:val="003B1179"/>
    <w:rsid w:val="003B23B7"/>
    <w:rsid w:val="003B2690"/>
    <w:rsid w:val="003B33D1"/>
    <w:rsid w:val="003B47C3"/>
    <w:rsid w:val="003B486E"/>
    <w:rsid w:val="003B71BD"/>
    <w:rsid w:val="003C5F89"/>
    <w:rsid w:val="003D1320"/>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30ED1"/>
    <w:rsid w:val="004349F9"/>
    <w:rsid w:val="004360BB"/>
    <w:rsid w:val="00442DC0"/>
    <w:rsid w:val="00450DAD"/>
    <w:rsid w:val="0045520E"/>
    <w:rsid w:val="004555D9"/>
    <w:rsid w:val="004571B4"/>
    <w:rsid w:val="0046127C"/>
    <w:rsid w:val="00467BCE"/>
    <w:rsid w:val="00474A25"/>
    <w:rsid w:val="00482695"/>
    <w:rsid w:val="00483A0C"/>
    <w:rsid w:val="004842AA"/>
    <w:rsid w:val="00484344"/>
    <w:rsid w:val="0048537D"/>
    <w:rsid w:val="0049002A"/>
    <w:rsid w:val="00495D40"/>
    <w:rsid w:val="0049713B"/>
    <w:rsid w:val="004A14E0"/>
    <w:rsid w:val="004A353F"/>
    <w:rsid w:val="004B793D"/>
    <w:rsid w:val="004C4F12"/>
    <w:rsid w:val="004D1000"/>
    <w:rsid w:val="004D3C17"/>
    <w:rsid w:val="004D63C2"/>
    <w:rsid w:val="004D68BB"/>
    <w:rsid w:val="004D73A3"/>
    <w:rsid w:val="004D7BB7"/>
    <w:rsid w:val="004E013F"/>
    <w:rsid w:val="004E1AF7"/>
    <w:rsid w:val="004E3926"/>
    <w:rsid w:val="004E3ACA"/>
    <w:rsid w:val="004E3C66"/>
    <w:rsid w:val="004E3E13"/>
    <w:rsid w:val="004F058D"/>
    <w:rsid w:val="004F1D65"/>
    <w:rsid w:val="004F4D3B"/>
    <w:rsid w:val="005122E6"/>
    <w:rsid w:val="00513B5B"/>
    <w:rsid w:val="00517E94"/>
    <w:rsid w:val="005206C0"/>
    <w:rsid w:val="00521939"/>
    <w:rsid w:val="00521B26"/>
    <w:rsid w:val="00527580"/>
    <w:rsid w:val="00531897"/>
    <w:rsid w:val="005376FA"/>
    <w:rsid w:val="0054063F"/>
    <w:rsid w:val="00540BB1"/>
    <w:rsid w:val="0054291D"/>
    <w:rsid w:val="00545987"/>
    <w:rsid w:val="00547258"/>
    <w:rsid w:val="00547FDD"/>
    <w:rsid w:val="005509A3"/>
    <w:rsid w:val="00552B23"/>
    <w:rsid w:val="00554653"/>
    <w:rsid w:val="0055543D"/>
    <w:rsid w:val="00555DFA"/>
    <w:rsid w:val="0056310A"/>
    <w:rsid w:val="00564A2D"/>
    <w:rsid w:val="00565579"/>
    <w:rsid w:val="005658C8"/>
    <w:rsid w:val="005675F2"/>
    <w:rsid w:val="00567F90"/>
    <w:rsid w:val="005716B5"/>
    <w:rsid w:val="00572789"/>
    <w:rsid w:val="00581F0F"/>
    <w:rsid w:val="005850D8"/>
    <w:rsid w:val="00586940"/>
    <w:rsid w:val="00594113"/>
    <w:rsid w:val="005A1FCE"/>
    <w:rsid w:val="005A4672"/>
    <w:rsid w:val="005B2B70"/>
    <w:rsid w:val="005B3313"/>
    <w:rsid w:val="005C0D0D"/>
    <w:rsid w:val="005C315B"/>
    <w:rsid w:val="005C5B8E"/>
    <w:rsid w:val="005C7C17"/>
    <w:rsid w:val="005D4292"/>
    <w:rsid w:val="005D7FAD"/>
    <w:rsid w:val="005E1390"/>
    <w:rsid w:val="005E33D5"/>
    <w:rsid w:val="005E3A98"/>
    <w:rsid w:val="005E49B0"/>
    <w:rsid w:val="005E5CDE"/>
    <w:rsid w:val="005F0959"/>
    <w:rsid w:val="005F14EE"/>
    <w:rsid w:val="005F228E"/>
    <w:rsid w:val="005F2B97"/>
    <w:rsid w:val="005F2DB2"/>
    <w:rsid w:val="005F469C"/>
    <w:rsid w:val="005F4D57"/>
    <w:rsid w:val="006014CA"/>
    <w:rsid w:val="006073B7"/>
    <w:rsid w:val="006142F8"/>
    <w:rsid w:val="00616479"/>
    <w:rsid w:val="00616757"/>
    <w:rsid w:val="0061769A"/>
    <w:rsid w:val="0062132C"/>
    <w:rsid w:val="00623840"/>
    <w:rsid w:val="00624143"/>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77BC7"/>
    <w:rsid w:val="006877C7"/>
    <w:rsid w:val="00695560"/>
    <w:rsid w:val="006956F3"/>
    <w:rsid w:val="00696A97"/>
    <w:rsid w:val="00696CD7"/>
    <w:rsid w:val="006B3997"/>
    <w:rsid w:val="006D007D"/>
    <w:rsid w:val="006D133F"/>
    <w:rsid w:val="006D39B6"/>
    <w:rsid w:val="006D602F"/>
    <w:rsid w:val="006E00AF"/>
    <w:rsid w:val="006E1B30"/>
    <w:rsid w:val="006F0376"/>
    <w:rsid w:val="006F1A4C"/>
    <w:rsid w:val="006F6107"/>
    <w:rsid w:val="006F6DFA"/>
    <w:rsid w:val="006F744A"/>
    <w:rsid w:val="00701221"/>
    <w:rsid w:val="007070EE"/>
    <w:rsid w:val="007134BB"/>
    <w:rsid w:val="00715622"/>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440D"/>
    <w:rsid w:val="00784540"/>
    <w:rsid w:val="00784DB1"/>
    <w:rsid w:val="00785B33"/>
    <w:rsid w:val="007863F3"/>
    <w:rsid w:val="00790A40"/>
    <w:rsid w:val="0079128D"/>
    <w:rsid w:val="00792A7E"/>
    <w:rsid w:val="007A314B"/>
    <w:rsid w:val="007B5DD2"/>
    <w:rsid w:val="007C091A"/>
    <w:rsid w:val="007C2827"/>
    <w:rsid w:val="007C4227"/>
    <w:rsid w:val="007C48E0"/>
    <w:rsid w:val="007C5635"/>
    <w:rsid w:val="007D7CCD"/>
    <w:rsid w:val="007D7EAE"/>
    <w:rsid w:val="007E4EBA"/>
    <w:rsid w:val="007E7DB8"/>
    <w:rsid w:val="007F0B42"/>
    <w:rsid w:val="00801B63"/>
    <w:rsid w:val="00805534"/>
    <w:rsid w:val="00810BC7"/>
    <w:rsid w:val="00810BCA"/>
    <w:rsid w:val="00815245"/>
    <w:rsid w:val="0083119A"/>
    <w:rsid w:val="00835FA7"/>
    <w:rsid w:val="008366DA"/>
    <w:rsid w:val="00836D98"/>
    <w:rsid w:val="00836F24"/>
    <w:rsid w:val="00837005"/>
    <w:rsid w:val="008416CA"/>
    <w:rsid w:val="0084366B"/>
    <w:rsid w:val="008442F7"/>
    <w:rsid w:val="0084477E"/>
    <w:rsid w:val="00852422"/>
    <w:rsid w:val="008545D5"/>
    <w:rsid w:val="008551B1"/>
    <w:rsid w:val="00865367"/>
    <w:rsid w:val="008658E5"/>
    <w:rsid w:val="00870005"/>
    <w:rsid w:val="00871EA4"/>
    <w:rsid w:val="0087430E"/>
    <w:rsid w:val="00875FC3"/>
    <w:rsid w:val="00880D56"/>
    <w:rsid w:val="00883363"/>
    <w:rsid w:val="00883ED6"/>
    <w:rsid w:val="00885D64"/>
    <w:rsid w:val="00895212"/>
    <w:rsid w:val="008A0DC9"/>
    <w:rsid w:val="008B16DD"/>
    <w:rsid w:val="008C06E5"/>
    <w:rsid w:val="008C382A"/>
    <w:rsid w:val="008C7C6E"/>
    <w:rsid w:val="008D263D"/>
    <w:rsid w:val="008D3CAB"/>
    <w:rsid w:val="008D5C53"/>
    <w:rsid w:val="008D7144"/>
    <w:rsid w:val="008E35C7"/>
    <w:rsid w:val="008E5858"/>
    <w:rsid w:val="008E6946"/>
    <w:rsid w:val="008E76B6"/>
    <w:rsid w:val="008F2C14"/>
    <w:rsid w:val="008F7CD0"/>
    <w:rsid w:val="00903478"/>
    <w:rsid w:val="00904226"/>
    <w:rsid w:val="00907C3B"/>
    <w:rsid w:val="00911583"/>
    <w:rsid w:val="00915E4A"/>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74C27"/>
    <w:rsid w:val="009868F2"/>
    <w:rsid w:val="00990668"/>
    <w:rsid w:val="00997AEF"/>
    <w:rsid w:val="009A2F5E"/>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44D4"/>
    <w:rsid w:val="00A26ED2"/>
    <w:rsid w:val="00A31438"/>
    <w:rsid w:val="00A31447"/>
    <w:rsid w:val="00A36017"/>
    <w:rsid w:val="00A366A7"/>
    <w:rsid w:val="00A369F2"/>
    <w:rsid w:val="00A3753C"/>
    <w:rsid w:val="00A45654"/>
    <w:rsid w:val="00A45E4F"/>
    <w:rsid w:val="00A62049"/>
    <w:rsid w:val="00A666D1"/>
    <w:rsid w:val="00A6688A"/>
    <w:rsid w:val="00A66ADE"/>
    <w:rsid w:val="00A66B95"/>
    <w:rsid w:val="00A712A2"/>
    <w:rsid w:val="00A72C9A"/>
    <w:rsid w:val="00A76352"/>
    <w:rsid w:val="00A774B5"/>
    <w:rsid w:val="00A839B9"/>
    <w:rsid w:val="00A85809"/>
    <w:rsid w:val="00A90C55"/>
    <w:rsid w:val="00A93A3E"/>
    <w:rsid w:val="00A95674"/>
    <w:rsid w:val="00A96D64"/>
    <w:rsid w:val="00AA0AFA"/>
    <w:rsid w:val="00AA0CF5"/>
    <w:rsid w:val="00AA13B0"/>
    <w:rsid w:val="00AA2778"/>
    <w:rsid w:val="00AB3CEB"/>
    <w:rsid w:val="00AB4022"/>
    <w:rsid w:val="00AC72D6"/>
    <w:rsid w:val="00AE2E74"/>
    <w:rsid w:val="00AE3AC9"/>
    <w:rsid w:val="00AE3BCC"/>
    <w:rsid w:val="00AF4E36"/>
    <w:rsid w:val="00AF5773"/>
    <w:rsid w:val="00AF6A7F"/>
    <w:rsid w:val="00AF7CBF"/>
    <w:rsid w:val="00B021C2"/>
    <w:rsid w:val="00B05E03"/>
    <w:rsid w:val="00B079DD"/>
    <w:rsid w:val="00B07F29"/>
    <w:rsid w:val="00B12309"/>
    <w:rsid w:val="00B14EB0"/>
    <w:rsid w:val="00B170F8"/>
    <w:rsid w:val="00B17B6E"/>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6CA3"/>
    <w:rsid w:val="00B875D6"/>
    <w:rsid w:val="00B90599"/>
    <w:rsid w:val="00B933CD"/>
    <w:rsid w:val="00B93458"/>
    <w:rsid w:val="00B93922"/>
    <w:rsid w:val="00BA14AC"/>
    <w:rsid w:val="00BA253D"/>
    <w:rsid w:val="00BA385E"/>
    <w:rsid w:val="00BA57D9"/>
    <w:rsid w:val="00BA7F48"/>
    <w:rsid w:val="00BB3DCF"/>
    <w:rsid w:val="00BC213D"/>
    <w:rsid w:val="00BC5082"/>
    <w:rsid w:val="00BD2B0A"/>
    <w:rsid w:val="00BD2D9C"/>
    <w:rsid w:val="00BD3B0E"/>
    <w:rsid w:val="00BD5B13"/>
    <w:rsid w:val="00BD7F9C"/>
    <w:rsid w:val="00BE58C2"/>
    <w:rsid w:val="00BE6470"/>
    <w:rsid w:val="00BF0E07"/>
    <w:rsid w:val="00C0059F"/>
    <w:rsid w:val="00C01F43"/>
    <w:rsid w:val="00C07AE2"/>
    <w:rsid w:val="00C109B8"/>
    <w:rsid w:val="00C10B60"/>
    <w:rsid w:val="00C13C0F"/>
    <w:rsid w:val="00C167C8"/>
    <w:rsid w:val="00C21AFC"/>
    <w:rsid w:val="00C3377D"/>
    <w:rsid w:val="00C412A5"/>
    <w:rsid w:val="00C45ECD"/>
    <w:rsid w:val="00C50919"/>
    <w:rsid w:val="00C57736"/>
    <w:rsid w:val="00C6166C"/>
    <w:rsid w:val="00C646C3"/>
    <w:rsid w:val="00C66B39"/>
    <w:rsid w:val="00C67DB5"/>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23EE"/>
    <w:rsid w:val="00CD3415"/>
    <w:rsid w:val="00CD4692"/>
    <w:rsid w:val="00CE2BE3"/>
    <w:rsid w:val="00CE74CB"/>
    <w:rsid w:val="00CF05B1"/>
    <w:rsid w:val="00CF46DF"/>
    <w:rsid w:val="00CF6489"/>
    <w:rsid w:val="00D02BA2"/>
    <w:rsid w:val="00D11AB0"/>
    <w:rsid w:val="00D15145"/>
    <w:rsid w:val="00D16EE0"/>
    <w:rsid w:val="00D21E77"/>
    <w:rsid w:val="00D375CD"/>
    <w:rsid w:val="00D41A8F"/>
    <w:rsid w:val="00D41B41"/>
    <w:rsid w:val="00D47EE9"/>
    <w:rsid w:val="00D53281"/>
    <w:rsid w:val="00D54E6E"/>
    <w:rsid w:val="00D60185"/>
    <w:rsid w:val="00D60367"/>
    <w:rsid w:val="00D605F5"/>
    <w:rsid w:val="00D60CD2"/>
    <w:rsid w:val="00D60F4B"/>
    <w:rsid w:val="00D64434"/>
    <w:rsid w:val="00D661B6"/>
    <w:rsid w:val="00D67E6B"/>
    <w:rsid w:val="00D80663"/>
    <w:rsid w:val="00D823B6"/>
    <w:rsid w:val="00D82FCF"/>
    <w:rsid w:val="00D966FE"/>
    <w:rsid w:val="00DA1090"/>
    <w:rsid w:val="00DA5B2F"/>
    <w:rsid w:val="00DC200D"/>
    <w:rsid w:val="00DC7652"/>
    <w:rsid w:val="00DD0FFE"/>
    <w:rsid w:val="00DD2750"/>
    <w:rsid w:val="00DD34AD"/>
    <w:rsid w:val="00DD3CCD"/>
    <w:rsid w:val="00DD64AE"/>
    <w:rsid w:val="00DD765C"/>
    <w:rsid w:val="00DE3CE8"/>
    <w:rsid w:val="00DF2A41"/>
    <w:rsid w:val="00DF668F"/>
    <w:rsid w:val="00DF706D"/>
    <w:rsid w:val="00DF7D50"/>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572C6"/>
    <w:rsid w:val="00E66C9D"/>
    <w:rsid w:val="00E67DDE"/>
    <w:rsid w:val="00E738DD"/>
    <w:rsid w:val="00E7544D"/>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C7F25"/>
    <w:rsid w:val="00ED22F8"/>
    <w:rsid w:val="00ED4E5B"/>
    <w:rsid w:val="00EE516F"/>
    <w:rsid w:val="00EF0B5C"/>
    <w:rsid w:val="00EF25C8"/>
    <w:rsid w:val="00EF4244"/>
    <w:rsid w:val="00EF7DE6"/>
    <w:rsid w:val="00F01E56"/>
    <w:rsid w:val="00F0358E"/>
    <w:rsid w:val="00F07AC7"/>
    <w:rsid w:val="00F126E9"/>
    <w:rsid w:val="00F20A7A"/>
    <w:rsid w:val="00F2242D"/>
    <w:rsid w:val="00F2426D"/>
    <w:rsid w:val="00F32FD4"/>
    <w:rsid w:val="00F33BAA"/>
    <w:rsid w:val="00F34D03"/>
    <w:rsid w:val="00F34FD7"/>
    <w:rsid w:val="00F366A1"/>
    <w:rsid w:val="00F36B1F"/>
    <w:rsid w:val="00F4281C"/>
    <w:rsid w:val="00F43C99"/>
    <w:rsid w:val="00F503B4"/>
    <w:rsid w:val="00F50D90"/>
    <w:rsid w:val="00F533FB"/>
    <w:rsid w:val="00F54995"/>
    <w:rsid w:val="00F55CF7"/>
    <w:rsid w:val="00F60F0D"/>
    <w:rsid w:val="00F620F0"/>
    <w:rsid w:val="00F66FCC"/>
    <w:rsid w:val="00F67D56"/>
    <w:rsid w:val="00F70DFB"/>
    <w:rsid w:val="00F71C95"/>
    <w:rsid w:val="00F725E7"/>
    <w:rsid w:val="00F8116C"/>
    <w:rsid w:val="00F84270"/>
    <w:rsid w:val="00F85363"/>
    <w:rsid w:val="00F857C2"/>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 w:val="10DF6B3C"/>
    <w:rsid w:val="4B7840A2"/>
    <w:rsid w:val="649974F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nhideWhenUsed="0" w:uiPriority="0" w:semiHidden="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uiPriority w:val="0"/>
    <w:rPr>
      <w:rFonts w:ascii="宋体"/>
      <w:sz w:val="18"/>
      <w:szCs w:val="18"/>
    </w:rPr>
  </w:style>
  <w:style w:type="paragraph" w:styleId="13">
    <w:name w:val="footer"/>
    <w:basedOn w:val="1"/>
    <w:link w:val="37"/>
    <w:uiPriority w:val="0"/>
    <w:pPr>
      <w:tabs>
        <w:tab w:val="center" w:pos="4320"/>
        <w:tab w:val="right" w:pos="8640"/>
      </w:tabs>
    </w:pPr>
  </w:style>
  <w:style w:type="paragraph" w:styleId="14">
    <w:name w:val="header"/>
    <w:basedOn w:val="1"/>
    <w:link w:val="36"/>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uiPriority w:val="0"/>
    <w:rPr>
      <w:b/>
      <w:bCs/>
    </w:rPr>
  </w:style>
  <w:style w:type="table" w:styleId="19">
    <w:name w:val="Table Grid"/>
    <w:basedOn w:val="18"/>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uiPriority w:val="99"/>
    <w:rPr>
      <w:color w:val="0000FF"/>
      <w:u w:val="single"/>
    </w:rPr>
  </w:style>
  <w:style w:type="character" w:styleId="22">
    <w:name w:val="annotation reference"/>
    <w:basedOn w:val="20"/>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uiPriority w:val="0"/>
    <w:rPr>
      <w:rFonts w:hint="eastAsia" w:ascii="宋体" w:hAnsi="宋体" w:eastAsia="宋体"/>
      <w:color w:val="000000"/>
      <w:sz w:val="22"/>
      <w:szCs w:val="22"/>
      <w:u w:val="none"/>
    </w:rPr>
  </w:style>
  <w:style w:type="character" w:customStyle="1" w:styleId="30">
    <w:name w:val="font31"/>
    <w:basedOn w:val="20"/>
    <w:uiPriority w:val="0"/>
    <w:rPr>
      <w:rFonts w:hint="default" w:ascii="Helv" w:hAnsi="Helv"/>
      <w:color w:val="000000"/>
      <w:sz w:val="22"/>
      <w:szCs w:val="22"/>
      <w:u w:val="none"/>
    </w:rPr>
  </w:style>
  <w:style w:type="character" w:customStyle="1" w:styleId="31">
    <w:name w:val="font41"/>
    <w:basedOn w:val="20"/>
    <w:uiPriority w:val="0"/>
    <w:rPr>
      <w:rFonts w:hint="eastAsia" w:ascii="宋体" w:hAnsi="宋体" w:eastAsia="宋体"/>
      <w:b/>
      <w:bCs/>
      <w:color w:val="000000"/>
      <w:sz w:val="24"/>
      <w:szCs w:val="24"/>
      <w:u w:val="none"/>
    </w:rPr>
  </w:style>
  <w:style w:type="character" w:customStyle="1" w:styleId="32">
    <w:name w:val="font51"/>
    <w:basedOn w:val="20"/>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locked/>
    <w:uiPriority w:val="0"/>
    <w:rPr>
      <w:rFonts w:ascii="宋体" w:hAnsi="Courier New" w:cs="Courier New"/>
      <w:kern w:val="0"/>
      <w:sz w:val="21"/>
      <w:szCs w:val="21"/>
    </w:rPr>
  </w:style>
  <w:style w:type="character" w:customStyle="1" w:styleId="35">
    <w:name w:val="标题 4 Char"/>
    <w:basedOn w:val="20"/>
    <w:link w:val="6"/>
    <w:semiHidden/>
    <w:uiPriority w:val="0"/>
    <w:rPr>
      <w:rFonts w:ascii="Cambria" w:hAnsi="Cambria" w:eastAsia="宋体"/>
      <w:b/>
      <w:bCs/>
      <w:sz w:val="28"/>
      <w:szCs w:val="28"/>
      <w:lang w:val="en-US" w:eastAsia="zh-CN" w:bidi="ar-SA"/>
    </w:rPr>
  </w:style>
  <w:style w:type="character" w:customStyle="1" w:styleId="36">
    <w:name w:val="页眉 Char"/>
    <w:basedOn w:val="20"/>
    <w:link w:val="14"/>
    <w:uiPriority w:val="0"/>
    <w:rPr>
      <w:kern w:val="2"/>
      <w:sz w:val="21"/>
    </w:rPr>
  </w:style>
  <w:style w:type="character" w:customStyle="1" w:styleId="37">
    <w:name w:val="页脚 Char"/>
    <w:basedOn w:val="20"/>
    <w:link w:val="13"/>
    <w:uiPriority w:val="0"/>
    <w:rPr>
      <w:kern w:val="2"/>
      <w:sz w:val="21"/>
    </w:rPr>
  </w:style>
  <w:style w:type="character" w:customStyle="1" w:styleId="38">
    <w:name w:val="批注文字 Char"/>
    <w:basedOn w:val="20"/>
    <w:link w:val="7"/>
    <w:uiPriority w:val="0"/>
    <w:rPr>
      <w:kern w:val="2"/>
    </w:rPr>
  </w:style>
  <w:style w:type="character" w:customStyle="1" w:styleId="39">
    <w:name w:val="批注主题 Char"/>
    <w:basedOn w:val="38"/>
    <w:link w:val="17"/>
    <w:uiPriority w:val="0"/>
    <w:rPr>
      <w:b/>
      <w:bCs/>
      <w:kern w:val="2"/>
    </w:rPr>
  </w:style>
  <w:style w:type="character" w:customStyle="1" w:styleId="40">
    <w:name w:val="批注框文本 Char"/>
    <w:basedOn w:val="20"/>
    <w:link w:val="12"/>
    <w:uiPriority w:val="0"/>
    <w:rPr>
      <w:rFonts w:ascii="宋体"/>
      <w:kern w:val="2"/>
      <w:sz w:val="18"/>
      <w:szCs w:val="18"/>
    </w:rPr>
  </w:style>
  <w:style w:type="paragraph" w:customStyle="1" w:styleId="41">
    <w:name w:val="Defaul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2EDFA5-B8F3-4E81-8E67-36B058AF7AD5}">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26</Pages>
  <Words>1626</Words>
  <Characters>9271</Characters>
  <Lines>77</Lines>
  <Paragraphs>21</Paragraphs>
  <TotalTime>1350</TotalTime>
  <ScaleCrop>false</ScaleCrop>
  <LinksUpToDate>false</LinksUpToDate>
  <CharactersWithSpaces>10876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2021-03-26T07:46:07Z</dcterms:modified>
  <dc:title>投标邀请</dc:title>
  <cp:revision>197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