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ascii="宋体" w:hAnsi="宋体"/>
          <w:sz w:val="36"/>
          <w:szCs w:val="36"/>
        </w:rPr>
      </w:pPr>
      <w:r>
        <w:rPr>
          <w:rFonts w:hint="eastAsia" w:ascii="宋体" w:hAnsi="宋体"/>
          <w:sz w:val="36"/>
          <w:szCs w:val="36"/>
        </w:rPr>
        <w:t>项目名称：振动光饰机采购项目</w:t>
      </w:r>
    </w:p>
    <w:p>
      <w:pPr>
        <w:autoSpaceDE w:val="0"/>
        <w:autoSpaceDN w:val="0"/>
        <w:adjustRightInd w:val="0"/>
        <w:ind w:left="199" w:leftChars="95" w:firstLine="1620" w:firstLineChars="450"/>
        <w:jc w:val="left"/>
        <w:rPr>
          <w:rFonts w:ascii="宋体" w:hAnsi="宋体"/>
          <w:sz w:val="36"/>
          <w:szCs w:val="36"/>
        </w:rPr>
      </w:pPr>
      <w:r>
        <w:rPr>
          <w:rFonts w:hint="eastAsia" w:ascii="宋体" w:hAnsi="宋体"/>
          <w:sz w:val="36"/>
          <w:szCs w:val="36"/>
        </w:rPr>
        <w:t>项目编号：</w:t>
      </w:r>
      <w:r>
        <w:rPr>
          <w:rFonts w:ascii="宋体" w:hAnsi="宋体"/>
          <w:sz w:val="36"/>
          <w:szCs w:val="36"/>
        </w:rPr>
        <w:t>HDGX-2021-</w:t>
      </w:r>
      <w:r>
        <w:rPr>
          <w:rFonts w:hint="eastAsia" w:ascii="宋体" w:hAnsi="宋体"/>
          <w:sz w:val="36"/>
          <w:szCs w:val="36"/>
        </w:rPr>
        <w:t>008</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ind w:firstLine="1980" w:firstLineChars="450"/>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rPr>
          <w:rFonts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二○二一年三月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成都恒达光学有限公司就振动光饰机采购项目组织询价，欢迎合格供应商报价。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项目名称：振动光饰机采购项目</w:t>
      </w:r>
    </w:p>
    <w:p>
      <w:pPr>
        <w:pStyle w:val="9"/>
        <w:spacing w:line="460" w:lineRule="exact"/>
        <w:ind w:firstLine="120" w:firstLineChars="50"/>
        <w:rPr>
          <w:rFonts w:ascii="仿宋_GB2312" w:eastAsia="仿宋_GB2312"/>
        </w:rPr>
      </w:pPr>
      <w:r>
        <w:rPr>
          <w:rFonts w:hint="eastAsia" w:ascii="仿宋_GB2312" w:eastAsia="仿宋_GB2312"/>
        </w:rPr>
        <w:t>项目编号：</w:t>
      </w:r>
      <w:r>
        <w:rPr>
          <w:rFonts w:ascii="仿宋_GB2312" w:eastAsia="仿宋_GB2312"/>
        </w:rPr>
        <w:t>HDGX-2021-</w:t>
      </w:r>
      <w:r>
        <w:rPr>
          <w:rFonts w:hint="eastAsia" w:ascii="仿宋_GB2312" w:eastAsia="仿宋_GB2312"/>
        </w:rPr>
        <w:t>008</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成都恒达光学有限公司拟采购</w:t>
      </w:r>
      <w:r>
        <w:rPr>
          <w:rFonts w:hint="eastAsia" w:ascii="仿宋_GB2312" w:hAnsi="宋体" w:eastAsia="仿宋_GB2312" w:cs="仿宋"/>
          <w:bCs/>
          <w:color w:val="000000"/>
        </w:rPr>
        <w:t>振动光饰机</w:t>
      </w:r>
      <w:r>
        <w:rPr>
          <w:rFonts w:ascii="仿宋_GB2312" w:hAnsi="宋体" w:eastAsia="仿宋_GB2312" w:cs="仿宋"/>
          <w:bCs/>
          <w:color w:val="000000"/>
        </w:rPr>
        <w:t>4</w:t>
      </w:r>
      <w:r>
        <w:rPr>
          <w:rFonts w:hint="eastAsia" w:ascii="仿宋_GB2312" w:hAnsi="宋体" w:eastAsia="仿宋_GB2312" w:cs="仿宋"/>
          <w:bCs/>
          <w:color w:val="000000"/>
        </w:rPr>
        <w:t>台（具体为：型号30L的</w:t>
      </w:r>
      <w:r>
        <w:rPr>
          <w:rFonts w:ascii="仿宋_GB2312" w:hAnsi="宋体" w:eastAsia="仿宋_GB2312" w:cs="仿宋"/>
          <w:bCs/>
          <w:color w:val="000000"/>
        </w:rPr>
        <w:t>2</w:t>
      </w:r>
      <w:r>
        <w:rPr>
          <w:rFonts w:hint="eastAsia" w:ascii="仿宋_GB2312" w:hAnsi="宋体" w:eastAsia="仿宋_GB2312" w:cs="仿宋"/>
          <w:bCs/>
          <w:color w:val="000000"/>
        </w:rPr>
        <w:t>台，型号为50L的2台）</w:t>
      </w:r>
      <w:r>
        <w:rPr>
          <w:rFonts w:hint="eastAsia" w:ascii="仿宋_GB2312" w:eastAsia="仿宋_GB2312"/>
        </w:rPr>
        <w:t>，主要包括货款，税款，运输费、安装、调试费，详见询价采购文件第三部分技术标准及报价要求。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eastAsia="仿宋_GB2312"/>
          <w:sz w:val="24"/>
        </w:rPr>
      </w:pPr>
      <w:r>
        <w:rPr>
          <w:rFonts w:hint="eastAsia" w:ascii="仿宋_GB2312" w:hAnsi="楷体" w:eastAsia="仿宋_GB2312"/>
          <w:bCs/>
          <w:spacing w:val="8"/>
          <w:sz w:val="24"/>
        </w:rPr>
        <w:t>（二）本项目不接受联合体询价。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2021年3月26日—2021年</w:t>
      </w:r>
      <w:r>
        <w:rPr>
          <w:rFonts w:hint="eastAsia" w:ascii="仿宋_GB2312" w:eastAsia="仿宋_GB2312"/>
          <w:b/>
          <w:sz w:val="24"/>
        </w:rPr>
        <w:t>4</w:t>
      </w:r>
      <w:r>
        <w:rPr>
          <w:rFonts w:ascii="仿宋_GB2312" w:eastAsia="仿宋_GB2312"/>
          <w:b/>
          <w:sz w:val="24"/>
        </w:rPr>
        <w:t>月5日</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2021年4月5日</w:t>
      </w:r>
      <w:r>
        <w:rPr>
          <w:rFonts w:hint="eastAsia" w:ascii="仿宋_GB2312" w:eastAsia="仿宋_GB2312"/>
          <w:sz w:val="24"/>
        </w:rPr>
        <w:t>17:00</w:t>
      </w:r>
    </w:p>
    <w:p>
      <w:pPr>
        <w:spacing w:line="540" w:lineRule="exact"/>
        <w:ind w:left="567" w:leftChars="270"/>
        <w:rPr>
          <w:rFonts w:ascii="仿宋_GB2312" w:eastAsia="仿宋_GB2312"/>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w:t>
      </w:r>
      <w:r>
        <w:rPr>
          <w:rFonts w:ascii="仿宋_GB2312" w:eastAsia="仿宋_GB2312"/>
          <w:sz w:val="24"/>
        </w:rPr>
        <w:t>1</w:t>
      </w:r>
      <w:r>
        <w:rPr>
          <w:rFonts w:hint="eastAsia" w:ascii="仿宋_GB2312" w:eastAsia="仿宋_GB2312"/>
          <w:sz w:val="24"/>
        </w:rPr>
        <w:t>年</w:t>
      </w:r>
      <w:r>
        <w:rPr>
          <w:rFonts w:ascii="仿宋_GB2312" w:eastAsia="仿宋_GB2312"/>
          <w:sz w:val="24"/>
        </w:rPr>
        <w:t>4</w:t>
      </w:r>
      <w:r>
        <w:rPr>
          <w:rFonts w:hint="eastAsia" w:ascii="仿宋_GB2312" w:eastAsia="仿宋_GB2312"/>
          <w:sz w:val="24"/>
        </w:rPr>
        <w:t>月</w:t>
      </w:r>
      <w:r>
        <w:rPr>
          <w:rFonts w:ascii="仿宋_GB2312" w:eastAsia="仿宋_GB2312"/>
          <w:sz w:val="24"/>
        </w:rPr>
        <w:t>5</w:t>
      </w:r>
      <w:r>
        <w:rPr>
          <w:rFonts w:hint="eastAsia" w:ascii="仿宋_GB2312" w:eastAsia="仿宋_GB2312"/>
          <w:sz w:val="24"/>
        </w:rPr>
        <w:t>日17时00分前不得启封”的字样。</w:t>
      </w:r>
    </w:p>
    <w:p>
      <w:pPr>
        <w:spacing w:line="460" w:lineRule="exact"/>
        <w:ind w:left="180" w:firstLine="384" w:firstLineChars="160"/>
        <w:rPr>
          <w:rFonts w:ascii="仿宋_GB2312" w:eastAsia="仿宋_GB2312"/>
          <w:sz w:val="24"/>
        </w:rPr>
      </w:pPr>
      <w:r>
        <w:rPr>
          <w:rFonts w:hint="eastAsia" w:ascii="仿宋_GB2312" w:eastAsia="仿宋_GB2312"/>
          <w:sz w:val="24"/>
        </w:rPr>
        <w:t>（三）误发、迟发、非纸质方式发送询价文件或询价文件无公章的，视为无效资料。</w:t>
      </w:r>
    </w:p>
    <w:p>
      <w:pPr>
        <w:spacing w:line="460" w:lineRule="exact"/>
        <w:ind w:left="180" w:firstLine="384" w:firstLineChars="160"/>
        <w:rPr>
          <w:rFonts w:ascii="仿宋_GB2312" w:eastAsia="仿宋_GB2312"/>
          <w:sz w:val="24"/>
        </w:rPr>
      </w:pPr>
      <w:r>
        <w:rPr>
          <w:rFonts w:hint="eastAsia" w:ascii="仿宋_GB2312" w:eastAsia="仿宋_GB2312"/>
          <w:sz w:val="24"/>
        </w:rPr>
        <w:t>（四）报价文件接收地点：都江堰市蒲阳经济开发区光泰路12号成都恒达光学有限公司财务部。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（五）报价文件接收人：赵女士      联系电话：13699482248</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0" w:firstLine="384" w:firstLineChars="160"/>
        <w:rPr>
          <w:rFonts w:ascii="仿宋_GB2312" w:eastAsia="仿宋_GB2312"/>
          <w:sz w:val="24"/>
        </w:rPr>
      </w:pPr>
      <w:r>
        <w:rPr>
          <w:rFonts w:hint="eastAsia" w:ascii="仿宋_GB2312" w:eastAsia="仿宋_GB2312"/>
          <w:sz w:val="24"/>
        </w:rPr>
        <w:t>询价咨询人：王</w:t>
      </w:r>
      <w:r>
        <w:rPr>
          <w:rFonts w:hint="eastAsia" w:ascii="仿宋_GB2312" w:eastAsia="仿宋_GB2312"/>
          <w:sz w:val="24"/>
          <w:lang w:val="en-US" w:eastAsia="zh-CN"/>
        </w:rPr>
        <w:t>女士</w:t>
      </w:r>
      <w:r>
        <w:rPr>
          <w:rFonts w:hint="eastAsia" w:ascii="仿宋_GB2312" w:eastAsia="仿宋_GB2312"/>
          <w:sz w:val="24"/>
        </w:rPr>
        <w:t xml:space="preserve">               联系电话：15928103439</w:t>
      </w:r>
    </w:p>
    <w:p>
      <w:pPr>
        <w:spacing w:line="460" w:lineRule="exact"/>
        <w:ind w:left="180" w:firstLine="384" w:firstLineChars="160"/>
        <w:rPr>
          <w:rFonts w:ascii="仿宋_GB2312" w:eastAsia="仿宋_GB2312"/>
          <w:sz w:val="24"/>
        </w:rPr>
      </w:pPr>
      <w:r>
        <w:rPr>
          <w:rFonts w:hint="eastAsia" w:ascii="仿宋_GB2312" w:eastAsia="仿宋_GB2312"/>
          <w:sz w:val="24"/>
        </w:rPr>
        <w:t>技术咨询人：彭科文               联系电话：15828380743</w:t>
      </w:r>
    </w:p>
    <w:p>
      <w:pPr>
        <w:spacing w:line="460" w:lineRule="exact"/>
        <w:ind w:firstLine="480" w:firstLineChars="200"/>
        <w:rPr>
          <w:rFonts w:ascii="仿宋_GB2312" w:eastAsia="仿宋_GB2312"/>
          <w:iCs/>
          <w:sz w:val="24"/>
        </w:rPr>
      </w:pPr>
      <w:r>
        <w:rPr>
          <w:rFonts w:hint="eastAsia" w:ascii="仿宋_GB2312" w:eastAsia="仿宋_GB2312"/>
          <w:sz w:val="24"/>
        </w:rPr>
        <w:t xml:space="preserve">询价采购监督人：赵女士            联系电话： </w:t>
      </w:r>
      <w:r>
        <w:rPr>
          <w:rFonts w:ascii="仿宋_GB2312" w:eastAsia="仿宋_GB2312"/>
          <w:sz w:val="24"/>
        </w:rPr>
        <w:t>028-87235208</w:t>
      </w:r>
    </w:p>
    <w:p>
      <w:pPr>
        <w:spacing w:line="460" w:lineRule="exact"/>
        <w:ind w:left="181" w:leftChars="86" w:firstLine="504" w:firstLineChars="210"/>
        <w:rPr>
          <w:rFonts w:ascii="仿宋_GB2312" w:eastAsia="仿宋_GB2312"/>
          <w:iCs/>
          <w:sz w:val="24"/>
        </w:rPr>
      </w:pPr>
    </w:p>
    <w:p>
      <w:pPr>
        <w:pStyle w:val="10"/>
        <w:spacing w:line="400" w:lineRule="exact"/>
        <w:ind w:right="420"/>
        <w:jc w:val="center"/>
        <w:rPr>
          <w:rFonts w:ascii="仿宋_GB2312" w:eastAsia="仿宋_GB2312"/>
          <w:sz w:val="24"/>
        </w:rPr>
      </w:pPr>
    </w:p>
    <w:p>
      <w:pPr>
        <w:pStyle w:val="10"/>
        <w:spacing w:line="400" w:lineRule="exact"/>
        <w:ind w:right="420"/>
        <w:jc w:val="center"/>
        <w:rPr>
          <w:rFonts w:ascii="仿宋_GB2312" w:eastAsia="仿宋_GB2312"/>
          <w:sz w:val="24"/>
        </w:rPr>
      </w:pPr>
    </w:p>
    <w:p>
      <w:pPr>
        <w:pStyle w:val="10"/>
        <w:spacing w:line="400" w:lineRule="exact"/>
        <w:ind w:right="420"/>
        <w:jc w:val="center"/>
        <w:rPr>
          <w:rFonts w:ascii="仿宋_GB2312" w:eastAsia="仿宋_GB2312"/>
          <w:sz w:val="24"/>
        </w:rPr>
      </w:pPr>
    </w:p>
    <w:p>
      <w:pPr>
        <w:pStyle w:val="10"/>
        <w:spacing w:line="400" w:lineRule="exact"/>
        <w:ind w:right="420"/>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rPr>
          <w:rFonts w:ascii="仿宋_GB2312" w:eastAsia="仿宋_GB2312"/>
          <w:sz w:val="200"/>
          <w:szCs w:val="200"/>
        </w:rPr>
      </w:pPr>
    </w:p>
    <w:p>
      <w:pPr>
        <w:pStyle w:val="10"/>
        <w:spacing w:line="400" w:lineRule="exact"/>
        <w:ind w:right="420"/>
        <w:rPr>
          <w:rFonts w:ascii="仿宋_GB2312" w:eastAsia="仿宋_GB2312"/>
          <w:sz w:val="200"/>
          <w:szCs w:val="200"/>
        </w:rPr>
      </w:pP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cs="宋体" w:asciiTheme="minorEastAsia" w:hAnsiTheme="minorEastAsia" w:eastAsiaTheme="minorEastAsia"/>
                <w:color w:val="333333"/>
                <w:kern w:val="0"/>
                <w:szCs w:val="21"/>
                <w:u w:val="single"/>
              </w:rPr>
              <w:t>成都恒达光学振动光饰机采购</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施工</w:t>
            </w:r>
            <w:r>
              <w:rPr>
                <w:rFonts w:hAnsi="宋体"/>
                <w:color w:val="000000"/>
                <w:kern w:val="0"/>
                <w:szCs w:val="21"/>
              </w:rPr>
              <w:t>地点</w:t>
            </w:r>
          </w:p>
        </w:tc>
        <w:tc>
          <w:tcPr>
            <w:tcW w:w="6480"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20" w:lineRule="exact"/>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电话响应时间不超过2小时，到达现场响应时间不超过24小时。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color w:val="000000"/>
                <w:kern w:val="0"/>
                <w:szCs w:val="21"/>
              </w:rPr>
            </w:pPr>
            <w:r>
              <w:rPr>
                <w:rFonts w:hAnsi="宋体"/>
                <w:color w:val="000000"/>
                <w:kern w:val="0"/>
                <w:szCs w:val="21"/>
              </w:rPr>
              <w:t>踏勘现场</w:t>
            </w:r>
          </w:p>
        </w:tc>
        <w:tc>
          <w:tcPr>
            <w:tcW w:w="6480" w:type="dxa"/>
            <w:vAlign w:val="center"/>
          </w:tcPr>
          <w:p>
            <w:pPr>
              <w:widowControl/>
              <w:spacing w:line="360" w:lineRule="exact"/>
              <w:jc w:val="left"/>
              <w:rPr>
                <w:rFonts w:hAnsi="宋体"/>
                <w:color w:val="000000"/>
                <w:szCs w:val="21"/>
              </w:rPr>
            </w:pPr>
            <w:r>
              <w:rPr>
                <w:rFonts w:hAnsi="宋体"/>
                <w:color w:val="000000"/>
                <w:szCs w:val="21"/>
              </w:rPr>
              <w:t>不组织，</w:t>
            </w:r>
            <w:r>
              <w:rPr>
                <w:rFonts w:hint="eastAsia" w:hAnsi="宋体"/>
                <w:color w:val="000000"/>
                <w:szCs w:val="21"/>
              </w:rPr>
              <w:t>可与我司设备管理员</w:t>
            </w:r>
            <w:r>
              <w:rPr>
                <w:rFonts w:hAnsi="宋体"/>
                <w:color w:val="000000"/>
                <w:szCs w:val="21"/>
              </w:rPr>
              <w:t>联系</w:t>
            </w:r>
            <w:r>
              <w:rPr>
                <w:rFonts w:hint="eastAsia" w:hAnsi="宋体"/>
                <w:color w:val="000000"/>
                <w:szCs w:val="21"/>
              </w:rPr>
              <w:t>答疑。</w:t>
            </w:r>
          </w:p>
          <w:p>
            <w:pPr>
              <w:widowControl/>
              <w:spacing w:line="360" w:lineRule="exact"/>
              <w:jc w:val="left"/>
              <w:rPr>
                <w:rFonts w:hAnsi="宋体"/>
                <w:color w:val="000000"/>
                <w:szCs w:val="21"/>
              </w:rPr>
            </w:pPr>
            <w:r>
              <w:rPr>
                <w:rFonts w:hint="eastAsia" w:hAnsi="宋体"/>
                <w:color w:val="000000"/>
                <w:szCs w:val="21"/>
              </w:rPr>
              <w:t>联系人：彭科文</w:t>
            </w:r>
          </w:p>
          <w:p>
            <w:pPr>
              <w:widowControl/>
              <w:spacing w:line="360" w:lineRule="exact"/>
              <w:jc w:val="left"/>
              <w:rPr>
                <w:color w:val="000000"/>
                <w:kern w:val="0"/>
                <w:szCs w:val="21"/>
              </w:rPr>
            </w:pPr>
            <w:r>
              <w:rPr>
                <w:rFonts w:hint="eastAsia" w:hAnsi="宋体"/>
                <w:color w:val="000000"/>
                <w:szCs w:val="21"/>
              </w:rPr>
              <w:t>联系电话：</w:t>
            </w:r>
            <w:r>
              <w:rPr>
                <w:rFonts w:hAnsi="宋体"/>
                <w:color w:val="000000"/>
                <w:szCs w:val="21"/>
              </w:rPr>
              <w:t>028-87235208</w:t>
            </w:r>
            <w:r>
              <w:rPr>
                <w:rFonts w:hint="eastAsia" w:hAnsi="宋体"/>
                <w:color w:val="000000"/>
                <w:szCs w:val="21"/>
              </w:rPr>
              <w:t xml:space="preserve">  15828380743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1.5</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color w:val="000000"/>
                <w:kern w:val="0"/>
                <w:szCs w:val="21"/>
              </w:rPr>
            </w:pPr>
            <w:r>
              <w:rPr>
                <w:rFonts w:hint="eastAsia" w:ascii="宋体" w:hAnsi="宋体"/>
                <w:color w:val="000000"/>
              </w:rPr>
              <w:t>交货期：出合同后30个日历日内交货。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施工安全管理</w:t>
            </w:r>
          </w:p>
        </w:tc>
        <w:tc>
          <w:tcPr>
            <w:tcW w:w="6480" w:type="dxa"/>
            <w:vAlign w:val="center"/>
          </w:tcPr>
          <w:p>
            <w:pPr>
              <w:widowControl/>
              <w:spacing w:line="360" w:lineRule="exact"/>
              <w:jc w:val="left"/>
              <w:rPr>
                <w:rFonts w:ascii="宋体" w:hAnsi="宋体"/>
                <w:color w:val="000000"/>
              </w:rPr>
            </w:pPr>
            <w:r>
              <w:rPr>
                <w:rFonts w:hint="eastAsia" w:ascii="宋体" w:hAnsi="宋体"/>
                <w:color w:val="000000"/>
              </w:rPr>
              <w:t>投标方全权承担施工期间项目的安全责任，提供必要的安全施工证明资料。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报价函（见附件三）；要求确认响应表（见附件四）；设备配置明细表（见附件五）；报价一览表（见附件六）；设备外形尺寸表和性能要求尺寸表（见附件七）</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2.1</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w:t>
            </w:r>
            <w:r>
              <w:rPr>
                <w:rFonts w:hAnsi="宋体"/>
                <w:color w:val="000000"/>
                <w:spacing w:val="-8"/>
                <w:kern w:val="0"/>
                <w:szCs w:val="21"/>
              </w:rPr>
              <w:t>1</w:t>
            </w:r>
            <w:r>
              <w:rPr>
                <w:rFonts w:hint="eastAsia" w:hAnsi="宋体"/>
                <w:color w:val="000000"/>
                <w:spacing w:val="-8"/>
                <w:kern w:val="0"/>
                <w:szCs w:val="21"/>
              </w:rPr>
              <w:t>年0</w:t>
            </w:r>
            <w:r>
              <w:rPr>
                <w:rFonts w:hAnsi="宋体"/>
                <w:color w:val="000000"/>
                <w:spacing w:val="-8"/>
                <w:kern w:val="0"/>
                <w:szCs w:val="21"/>
              </w:rPr>
              <w:t>3</w:t>
            </w:r>
            <w:r>
              <w:rPr>
                <w:rFonts w:hint="eastAsia" w:hAnsi="宋体"/>
                <w:color w:val="000000"/>
                <w:spacing w:val="-8"/>
                <w:kern w:val="0"/>
                <w:szCs w:val="21"/>
              </w:rPr>
              <w:t>月</w:t>
            </w:r>
            <w:r>
              <w:rPr>
                <w:rFonts w:hAnsi="宋体"/>
                <w:color w:val="000000"/>
                <w:spacing w:val="-8"/>
                <w:kern w:val="0"/>
                <w:szCs w:val="21"/>
              </w:rPr>
              <w:t>26</w:t>
            </w:r>
            <w:r>
              <w:rPr>
                <w:rFonts w:hint="eastAsia" w:hAnsi="宋体"/>
                <w:color w:val="000000"/>
                <w:spacing w:val="-8"/>
                <w:kern w:val="0"/>
                <w:szCs w:val="21"/>
              </w:rPr>
              <w:t>日08:00时—202</w:t>
            </w:r>
            <w:r>
              <w:rPr>
                <w:rFonts w:hAnsi="宋体"/>
                <w:color w:val="000000"/>
                <w:spacing w:val="-8"/>
                <w:kern w:val="0"/>
                <w:szCs w:val="21"/>
              </w:rPr>
              <w:t>1</w:t>
            </w:r>
            <w:r>
              <w:rPr>
                <w:rFonts w:hint="eastAsia" w:hAnsi="宋体"/>
                <w:color w:val="000000"/>
                <w:spacing w:val="-8"/>
                <w:kern w:val="0"/>
                <w:szCs w:val="21"/>
              </w:rPr>
              <w:t>年04月</w:t>
            </w:r>
            <w:r>
              <w:rPr>
                <w:rFonts w:hAnsi="宋体"/>
                <w:color w:val="000000"/>
                <w:spacing w:val="-8"/>
                <w:kern w:val="0"/>
                <w:szCs w:val="21"/>
              </w:rPr>
              <w:t>5</w:t>
            </w:r>
            <w:r>
              <w:rPr>
                <w:rFonts w:hint="eastAsia" w:hAnsi="宋体"/>
                <w:color w:val="000000"/>
                <w:spacing w:val="-8"/>
                <w:kern w:val="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2.3</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color w:val="000000"/>
                <w:kern w:val="0"/>
                <w:szCs w:val="21"/>
              </w:rPr>
            </w:pPr>
            <w:r>
              <w:rPr>
                <w:rFonts w:hint="eastAsia" w:ascii="宋体" w:hAnsi="宋体"/>
                <w:color w:val="000000"/>
              </w:rPr>
              <w:t>签订合同后支付总价的30%作为项目预付款，验收合格后支付65%，另5%作为质保金，整机质保期原则上不低于1年(振动电机质保期不低于2年)。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2.4</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60" w:lineRule="exact"/>
              <w:jc w:val="left"/>
              <w:rPr>
                <w:rFonts w:hAnsi="宋体"/>
                <w:color w:val="000000"/>
                <w:szCs w:val="21"/>
              </w:rPr>
            </w:pPr>
            <w:r>
              <w:rPr>
                <w:rFonts w:hint="eastAsia" w:hAnsi="宋体"/>
                <w:color w:val="000000"/>
                <w:szCs w:val="21"/>
              </w:rPr>
              <w:t>此次采购项目为市场成熟的产品，综合考虑最优的价格和服务，结合我厂实际使用情况，报价资格符合要求的厂商，进行综合评比，将得分进行高低排序，选择最高分厂家作为此次采购的中标单位。</w:t>
            </w:r>
          </w:p>
        </w:tc>
      </w:tr>
    </w:tbl>
    <w:p>
      <w:pPr>
        <w:spacing w:line="560" w:lineRule="exact"/>
        <w:jc w:val="center"/>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我单位因为产品结构及产能的需求，需要2台</w:t>
      </w:r>
      <w:r>
        <w:rPr>
          <w:rFonts w:asciiTheme="minorEastAsia" w:hAnsiTheme="minorEastAsia" w:eastAsiaTheme="minorEastAsia"/>
          <w:sz w:val="24"/>
          <w:szCs w:val="21"/>
        </w:rPr>
        <w:t>30</w:t>
      </w:r>
      <w:r>
        <w:rPr>
          <w:rFonts w:hint="eastAsia" w:asciiTheme="minorEastAsia" w:hAnsiTheme="minorEastAsia" w:eastAsiaTheme="minorEastAsia"/>
          <w:sz w:val="24"/>
          <w:szCs w:val="21"/>
        </w:rPr>
        <w:t>L, 2台50L，共计</w:t>
      </w:r>
      <w:r>
        <w:rPr>
          <w:rFonts w:asciiTheme="minorEastAsia" w:hAnsiTheme="minorEastAsia" w:eastAsiaTheme="minorEastAsia"/>
          <w:sz w:val="24"/>
          <w:szCs w:val="21"/>
        </w:rPr>
        <w:t>4</w:t>
      </w:r>
      <w:r>
        <w:rPr>
          <w:rFonts w:hint="eastAsia" w:asciiTheme="minorEastAsia" w:hAnsiTheme="minorEastAsia" w:eastAsiaTheme="minorEastAsia"/>
          <w:sz w:val="24"/>
          <w:szCs w:val="21"/>
        </w:rPr>
        <w:t>台振动光饰机，以满足公司生产需要。</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1.设备使用环境及场地要求</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1.1  公司设有专门的振动光饰机设备放置场所（滚料工序），设备放置区域面积（单台）约为1200mm（长）*1000mm（宽），限高为</w:t>
      </w:r>
      <w:r>
        <w:rPr>
          <w:rFonts w:asciiTheme="minorEastAsia" w:hAnsiTheme="minorEastAsia" w:eastAsiaTheme="minorEastAsia"/>
          <w:sz w:val="24"/>
          <w:szCs w:val="21"/>
        </w:rPr>
        <w:t>2</w:t>
      </w:r>
      <w:r>
        <w:rPr>
          <w:rFonts w:hint="eastAsia" w:asciiTheme="minorEastAsia" w:hAnsiTheme="minorEastAsia" w:eastAsiaTheme="minorEastAsia"/>
          <w:sz w:val="24"/>
          <w:szCs w:val="21"/>
        </w:rPr>
        <w:t>000mm。</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1.2  主供电为3相380V，线径为1.5平米（铜芯），备有零线和地线。</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1.3  我司备有振动光饰机的冲洗设备，紧邻两台设备共用一个水龙头，水管直径为2</w:t>
      </w:r>
      <w:r>
        <w:rPr>
          <w:rFonts w:asciiTheme="minorEastAsia" w:hAnsiTheme="minorEastAsia" w:eastAsiaTheme="minorEastAsia"/>
          <w:sz w:val="24"/>
          <w:szCs w:val="21"/>
        </w:rPr>
        <w:t>5</w:t>
      </w:r>
      <w:r>
        <w:rPr>
          <w:rFonts w:hint="eastAsia" w:asciiTheme="minorEastAsia" w:hAnsiTheme="minorEastAsia" w:eastAsiaTheme="minorEastAsia"/>
          <w:sz w:val="24"/>
          <w:szCs w:val="21"/>
        </w:rPr>
        <w:t>mm。</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1.4参与报价企业应充分了解我司振动光饰机的使用环境和使用状况。我司使用环境潮湿，多水故对设备振动电机的防水具有较高要求，振动光饰机的正常使用频率为33—43HZ，即可满足我司的振动及研磨产品的翻转要求，且为连续使用。。</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2.主要技术要求</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  根据我司滚料工序的现场需求，决定购进</w:t>
      </w:r>
      <w:r>
        <w:rPr>
          <w:rFonts w:asciiTheme="minorEastAsia" w:hAnsiTheme="minorEastAsia" w:eastAsiaTheme="minorEastAsia"/>
          <w:sz w:val="24"/>
          <w:szCs w:val="21"/>
        </w:rPr>
        <w:t>4</w:t>
      </w:r>
      <w:r>
        <w:rPr>
          <w:rFonts w:hint="eastAsia" w:asciiTheme="minorEastAsia" w:hAnsiTheme="minorEastAsia" w:eastAsiaTheme="minorEastAsia"/>
          <w:sz w:val="24"/>
          <w:szCs w:val="21"/>
        </w:rPr>
        <w:t>台振动光饰机以满足产品的加工要求。</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2.2  动力采用三相电机（知名防水电机），其核定频率为50HZ。</w:t>
      </w:r>
    </w:p>
    <w:p>
      <w:pPr>
        <w:pStyle w:val="10"/>
        <w:spacing w:line="500" w:lineRule="exact"/>
        <w:ind w:firstLine="480" w:firstLineChars="200"/>
        <w:rPr>
          <w:rFonts w:hAnsi="宋体" w:cs="宋体,Bold"/>
          <w:bCs/>
          <w:kern w:val="0"/>
          <w:sz w:val="24"/>
          <w:szCs w:val="24"/>
        </w:rPr>
      </w:pPr>
      <w:r>
        <w:rPr>
          <w:rFonts w:hint="eastAsia" w:hAnsi="宋体" w:cs="宋体,Bold"/>
          <w:bCs/>
          <w:kern w:val="0"/>
          <w:sz w:val="24"/>
          <w:szCs w:val="24"/>
        </w:rPr>
        <w:t>2.3  频率要求：所需振动光饰机调速采用变频无极调速，因与公司现有设备使用变频器可互换使用，规定采用型号为四方E550的变频器；变频范围：0.5HZ-400HZ；翻滚效果常用频率：23HZ-43HZ。</w:t>
      </w:r>
    </w:p>
    <w:p>
      <w:pPr>
        <w:pStyle w:val="10"/>
        <w:spacing w:line="500" w:lineRule="exact"/>
        <w:ind w:firstLine="480" w:firstLineChars="200"/>
        <w:rPr>
          <w:rFonts w:hAnsi="宋体" w:cs="宋体,Bold"/>
          <w:bCs/>
          <w:kern w:val="0"/>
          <w:sz w:val="24"/>
          <w:szCs w:val="24"/>
        </w:rPr>
      </w:pPr>
      <w:r>
        <w:rPr>
          <w:rFonts w:hint="eastAsia" w:hAnsi="宋体" w:cs="宋体,Bold"/>
          <w:bCs/>
          <w:kern w:val="0"/>
          <w:sz w:val="24"/>
          <w:szCs w:val="24"/>
        </w:rPr>
        <w:t>2.4  设备空载时，噪音低于65分贝,满载时噪音低于85分贝。</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3.结构</w:t>
      </w:r>
    </w:p>
    <w:p>
      <w:pPr>
        <w:spacing w:line="500" w:lineRule="exact"/>
        <w:ind w:firstLine="480" w:firstLineChars="200"/>
        <w:rPr>
          <w:rFonts w:ascii="宋体" w:cs="宋体"/>
          <w:kern w:val="0"/>
          <w:sz w:val="24"/>
          <w:szCs w:val="24"/>
        </w:rPr>
      </w:pPr>
      <w:r>
        <w:rPr>
          <w:rFonts w:hint="eastAsia" w:ascii="宋体" w:cs="宋体"/>
          <w:kern w:val="0"/>
          <w:sz w:val="24"/>
          <w:szCs w:val="24"/>
        </w:rPr>
        <w:t>1. 设备结构图</w:t>
      </w:r>
    </w:p>
    <w:p>
      <w:pPr>
        <w:spacing w:line="500" w:lineRule="exact"/>
        <w:ind w:firstLine="480" w:firstLineChars="200"/>
        <w:rPr>
          <w:rFonts w:ascii="宋体" w:cs="宋体"/>
          <w:kern w:val="0"/>
          <w:sz w:val="24"/>
          <w:szCs w:val="24"/>
        </w:rPr>
      </w:pPr>
      <w:r>
        <w:rPr>
          <w:rFonts w:hint="eastAsia" w:ascii="宋体" w:cs="宋体"/>
          <w:kern w:val="0"/>
          <w:sz w:val="24"/>
          <w:szCs w:val="24"/>
        </w:rPr>
        <w:t>振动光饰机主要振动缸、压缩弹簧、振动电机、电气控制箱组成，具体结构见图1设备结构示意图。</w:t>
      </w:r>
    </w:p>
    <w:p>
      <w:pPr>
        <w:spacing w:line="500" w:lineRule="exact"/>
        <w:ind w:firstLine="480" w:firstLineChars="200"/>
        <w:rPr>
          <w:rFonts w:ascii="宋体" w:cs="宋体"/>
          <w:kern w:val="0"/>
          <w:sz w:val="24"/>
          <w:szCs w:val="24"/>
        </w:rPr>
      </w:pPr>
    </w:p>
    <w:p>
      <w:pPr>
        <w:spacing w:line="500" w:lineRule="exact"/>
        <w:jc w:val="center"/>
        <w:rPr>
          <w:rFonts w:ascii="宋体" w:cs="宋体"/>
          <w:kern w:val="0"/>
          <w:sz w:val="24"/>
          <w:szCs w:val="24"/>
        </w:rPr>
      </w:pPr>
      <w:r>
        <w:rPr>
          <w:rFonts w:ascii="宋体" w:cs="宋体"/>
          <w:kern w:val="0"/>
          <w:sz w:val="24"/>
          <w:szCs w:val="24"/>
        </w:rPr>
        <w:drawing>
          <wp:anchor distT="0" distB="0" distL="114300" distR="114300" simplePos="0" relativeHeight="251658240" behindDoc="0" locked="0" layoutInCell="1" allowOverlap="1">
            <wp:simplePos x="0" y="0"/>
            <wp:positionH relativeFrom="column">
              <wp:posOffset>527685</wp:posOffset>
            </wp:positionH>
            <wp:positionV relativeFrom="paragraph">
              <wp:posOffset>-17145</wp:posOffset>
            </wp:positionV>
            <wp:extent cx="4067810" cy="3886200"/>
            <wp:effectExtent l="19050" t="0" r="8890" b="0"/>
            <wp:wrapTopAndBottom/>
            <wp:docPr id="3" name="图片 2" descr="{0EFEBC9A-ADF3-4976-A587-866ABD2313E8}.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0EFEBC9A-ADF3-4976-A587-866ABD2313E8}.bmp"/>
                    <pic:cNvPicPr>
                      <a:picLocks noChangeAspect="1"/>
                    </pic:cNvPicPr>
                  </pic:nvPicPr>
                  <pic:blipFill>
                    <a:blip r:embed="rId4"/>
                    <a:stretch>
                      <a:fillRect/>
                    </a:stretch>
                  </pic:blipFill>
                  <pic:spPr>
                    <a:xfrm>
                      <a:off x="0" y="0"/>
                      <a:ext cx="4067810" cy="3886200"/>
                    </a:xfrm>
                    <a:prstGeom prst="rect">
                      <a:avLst/>
                    </a:prstGeom>
                  </pic:spPr>
                </pic:pic>
              </a:graphicData>
            </a:graphic>
          </wp:anchor>
        </w:drawing>
      </w:r>
      <w:r>
        <w:rPr>
          <w:rFonts w:hint="eastAsia" w:ascii="宋体" w:cs="宋体"/>
          <w:kern w:val="0"/>
          <w:sz w:val="24"/>
          <w:szCs w:val="24"/>
        </w:rPr>
        <w:t>图11设备结构示意图</w:t>
      </w:r>
    </w:p>
    <w:p>
      <w:pPr>
        <w:autoSpaceDE w:val="0"/>
        <w:autoSpaceDN w:val="0"/>
        <w:adjustRightInd w:val="0"/>
        <w:spacing w:line="500" w:lineRule="exact"/>
        <w:ind w:firstLine="480" w:firstLineChars="200"/>
        <w:jc w:val="left"/>
        <w:rPr>
          <w:rFonts w:ascii="宋体" w:cs="宋体"/>
          <w:kern w:val="0"/>
          <w:sz w:val="24"/>
          <w:szCs w:val="24"/>
        </w:rPr>
      </w:pPr>
      <w:r>
        <w:rPr>
          <w:rFonts w:ascii="宋体" w:cs="宋体"/>
          <w:kern w:val="0"/>
          <w:sz w:val="24"/>
          <w:szCs w:val="24"/>
        </w:rPr>
        <w:t xml:space="preserve">2. </w:t>
      </w:r>
      <w:r>
        <w:rPr>
          <w:rFonts w:hint="eastAsia" w:ascii="宋体" w:cs="宋体"/>
          <w:kern w:val="0"/>
          <w:sz w:val="24"/>
          <w:szCs w:val="24"/>
        </w:rPr>
        <w:t>本体</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本体：由衬胶包裹工作腔体，衬胶厚度不得小于15mm。</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 xml:space="preserve">骨架：优质碳钢骨架， </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布局：上半部分为工作腔体、下半部分为机台固定部分，中间通过振动弹簧连接，振动电机固定在上半部分，放置振动电机的封闭腔上端盖可拆卸，以方便查看上下摆锤的夹角。</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机台主体须做防锈处理（电机表壳、机台表壳、弹簧、摆锤等），弹簧连接处必须加胶垫。</w:t>
      </w:r>
    </w:p>
    <w:p>
      <w:pPr>
        <w:suppressAutoHyphens/>
        <w:overflowPunct w:val="0"/>
        <w:adjustRightInd w:val="0"/>
        <w:spacing w:line="360" w:lineRule="auto"/>
        <w:ind w:firstLine="470" w:firstLineChars="196"/>
        <w:textAlignment w:val="center"/>
        <w:outlineLvl w:val="8"/>
        <w:rPr>
          <w:rFonts w:ascii="宋体" w:cs="宋体"/>
          <w:kern w:val="0"/>
          <w:sz w:val="24"/>
          <w:szCs w:val="24"/>
        </w:rPr>
      </w:pPr>
      <w:r>
        <w:rPr>
          <w:rFonts w:hint="eastAsia" w:ascii="宋体" w:cs="宋体"/>
          <w:kern w:val="0"/>
          <w:sz w:val="24"/>
          <w:szCs w:val="24"/>
        </w:rPr>
        <w:t>控制柜设备外形尺寸：厂家提供参数。</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设备外形尺寸</w:t>
      </w:r>
      <w:r>
        <w:rPr>
          <w:rFonts w:ascii="宋体" w:cs="宋体"/>
          <w:kern w:val="0"/>
          <w:sz w:val="24"/>
          <w:szCs w:val="24"/>
        </w:rPr>
        <w:t xml:space="preserve">: </w:t>
      </w:r>
      <w:r>
        <w:rPr>
          <w:rFonts w:hint="eastAsia" w:ascii="宋体" w:cs="宋体"/>
          <w:kern w:val="0"/>
          <w:sz w:val="24"/>
          <w:szCs w:val="24"/>
        </w:rPr>
        <w:t>厂家提供参数；表1为外形参考尺寸，表二为性能要求尺寸参数。床头箱精加工，确保了机床核心部分精度要求，同时箱内轴承采购于全国知名品牌，主轴及齿轮经过高频淬火、精密磨削，表面抛丸处理。</w:t>
      </w:r>
    </w:p>
    <w:p>
      <w:pPr>
        <w:autoSpaceDE w:val="0"/>
        <w:autoSpaceDN w:val="0"/>
        <w:adjustRightInd w:val="0"/>
        <w:spacing w:line="500" w:lineRule="exact"/>
        <w:ind w:firstLine="480" w:firstLineChars="200"/>
        <w:jc w:val="left"/>
        <w:rPr>
          <w:rFonts w:ascii="宋体" w:cs="宋体"/>
          <w:kern w:val="0"/>
          <w:sz w:val="24"/>
          <w:szCs w:val="24"/>
        </w:rPr>
      </w:pPr>
    </w:p>
    <w:p>
      <w:pPr>
        <w:autoSpaceDE w:val="0"/>
        <w:autoSpaceDN w:val="0"/>
        <w:adjustRightInd w:val="0"/>
        <w:spacing w:line="500" w:lineRule="exact"/>
        <w:jc w:val="left"/>
        <w:rPr>
          <w:rFonts w:ascii="宋体" w:cs="宋体"/>
          <w:kern w:val="0"/>
          <w:sz w:val="24"/>
          <w:szCs w:val="24"/>
        </w:rPr>
      </w:pPr>
    </w:p>
    <w:tbl>
      <w:tblPr>
        <w:tblStyle w:val="18"/>
        <w:tblW w:w="7020" w:type="dxa"/>
        <w:jc w:val="center"/>
        <w:tblLayout w:type="autofit"/>
        <w:tblCellMar>
          <w:top w:w="0" w:type="dxa"/>
          <w:left w:w="108" w:type="dxa"/>
          <w:bottom w:w="0" w:type="dxa"/>
          <w:right w:w="108" w:type="dxa"/>
        </w:tblCellMar>
      </w:tblPr>
      <w:tblGrid>
        <w:gridCol w:w="1080"/>
        <w:gridCol w:w="1351"/>
        <w:gridCol w:w="1134"/>
        <w:gridCol w:w="997"/>
        <w:gridCol w:w="1148"/>
        <w:gridCol w:w="1310"/>
      </w:tblGrid>
      <w:tr>
        <w:tblPrEx>
          <w:tblCellMar>
            <w:top w:w="0" w:type="dxa"/>
            <w:left w:w="108" w:type="dxa"/>
            <w:bottom w:w="0" w:type="dxa"/>
            <w:right w:w="108" w:type="dxa"/>
          </w:tblCellMar>
        </w:tblPrEx>
        <w:trPr>
          <w:trHeight w:val="27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ΦA(mm)</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ΦB(mm)</w:t>
            </w:r>
          </w:p>
        </w:tc>
        <w:tc>
          <w:tcPr>
            <w:tcW w:w="99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ΦC(mm)</w:t>
            </w:r>
          </w:p>
        </w:tc>
        <w:tc>
          <w:tcPr>
            <w:tcW w:w="114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H1(mm)</w:t>
            </w:r>
          </w:p>
        </w:tc>
        <w:tc>
          <w:tcPr>
            <w:tcW w:w="13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H2(mm)</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30L</w:t>
            </w: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560±50</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160±20</w:t>
            </w:r>
          </w:p>
        </w:tc>
        <w:tc>
          <w:tcPr>
            <w:tcW w:w="99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160±20</w:t>
            </w:r>
          </w:p>
        </w:tc>
        <w:tc>
          <w:tcPr>
            <w:tcW w:w="114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785±80</w:t>
            </w:r>
          </w:p>
        </w:tc>
        <w:tc>
          <w:tcPr>
            <w:tcW w:w="13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190±20</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50L</w:t>
            </w: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640±50</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140±20</w:t>
            </w:r>
          </w:p>
        </w:tc>
        <w:tc>
          <w:tcPr>
            <w:tcW w:w="99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195±20</w:t>
            </w:r>
          </w:p>
        </w:tc>
        <w:tc>
          <w:tcPr>
            <w:tcW w:w="114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680±50</w:t>
            </w:r>
          </w:p>
        </w:tc>
        <w:tc>
          <w:tcPr>
            <w:tcW w:w="13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220±20</w:t>
            </w:r>
          </w:p>
        </w:tc>
      </w:tr>
    </w:tbl>
    <w:p>
      <w:pPr>
        <w:suppressAutoHyphens/>
        <w:overflowPunct w:val="0"/>
        <w:adjustRightInd w:val="0"/>
        <w:spacing w:line="360" w:lineRule="auto"/>
        <w:ind w:left="840"/>
        <w:jc w:val="center"/>
        <w:textAlignment w:val="center"/>
        <w:outlineLvl w:val="8"/>
        <w:rPr>
          <w:rFonts w:ascii="楷体_GB2312" w:hAnsi="宋体" w:eastAsia="楷体_GB2312"/>
          <w:sz w:val="22"/>
        </w:rPr>
      </w:pPr>
      <w:r>
        <w:rPr>
          <w:rFonts w:hint="eastAsia" w:ascii="楷体_GB2312" w:hAnsi="宋体" w:eastAsia="楷体_GB2312"/>
          <w:sz w:val="22"/>
        </w:rPr>
        <w:t>表1 设备外形参考尺寸</w:t>
      </w:r>
    </w:p>
    <w:p>
      <w:pPr>
        <w:suppressAutoHyphens/>
        <w:overflowPunct w:val="0"/>
        <w:adjustRightInd w:val="0"/>
        <w:spacing w:line="360" w:lineRule="auto"/>
        <w:ind w:left="840"/>
        <w:jc w:val="center"/>
        <w:textAlignment w:val="center"/>
        <w:outlineLvl w:val="8"/>
        <w:rPr>
          <w:rFonts w:ascii="楷体_GB2312" w:hAnsi="宋体" w:eastAsia="楷体_GB2312"/>
          <w:sz w:val="22"/>
        </w:rPr>
      </w:pPr>
    </w:p>
    <w:tbl>
      <w:tblPr>
        <w:tblStyle w:val="18"/>
        <w:tblW w:w="10460" w:type="dxa"/>
        <w:tblInd w:w="93" w:type="dxa"/>
        <w:tblLayout w:type="autofit"/>
        <w:tblCellMar>
          <w:top w:w="0" w:type="dxa"/>
          <w:left w:w="108" w:type="dxa"/>
          <w:bottom w:w="0" w:type="dxa"/>
          <w:right w:w="108" w:type="dxa"/>
        </w:tblCellMar>
      </w:tblPr>
      <w:tblGrid>
        <w:gridCol w:w="3120"/>
        <w:gridCol w:w="1660"/>
        <w:gridCol w:w="5680"/>
      </w:tblGrid>
      <w:tr>
        <w:tblPrEx>
          <w:tblCellMar>
            <w:top w:w="0" w:type="dxa"/>
            <w:left w:w="108" w:type="dxa"/>
            <w:bottom w:w="0" w:type="dxa"/>
            <w:right w:w="108" w:type="dxa"/>
          </w:tblCellMar>
        </w:tblPrEx>
        <w:trPr>
          <w:trHeight w:val="540" w:hRule="atLeast"/>
        </w:trPr>
        <w:tc>
          <w:tcPr>
            <w:tcW w:w="3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尺寸名称</w:t>
            </w: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对应字母代码及尺寸要求（mm）</w:t>
            </w:r>
          </w:p>
        </w:tc>
        <w:tc>
          <w:tcPr>
            <w:tcW w:w="56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原因</w:t>
            </w:r>
          </w:p>
        </w:tc>
      </w:tr>
      <w:tr>
        <w:tblPrEx>
          <w:tblCellMar>
            <w:top w:w="0" w:type="dxa"/>
            <w:left w:w="108" w:type="dxa"/>
            <w:bottom w:w="0" w:type="dxa"/>
            <w:right w:w="108" w:type="dxa"/>
          </w:tblCellMar>
        </w:tblPrEx>
        <w:trPr>
          <w:trHeight w:val="54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护罩与固定座间距</w:t>
            </w:r>
          </w:p>
        </w:tc>
        <w:tc>
          <w:tcPr>
            <w:tcW w:w="16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15≤a≤30</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1.便于拆卸振动缸和固定座；</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2.防止间隙过小时固定座与护罩在振动时的机械干涉；</w:t>
            </w:r>
          </w:p>
        </w:tc>
      </w:tr>
      <w:tr>
        <w:tblPrEx>
          <w:tblCellMar>
            <w:top w:w="0" w:type="dxa"/>
            <w:left w:w="108" w:type="dxa"/>
            <w:bottom w:w="0" w:type="dxa"/>
            <w:right w:w="108" w:type="dxa"/>
          </w:tblCellMar>
        </w:tblPrEx>
        <w:trPr>
          <w:trHeight w:val="54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护罩盖过固定座的间距</w:t>
            </w:r>
          </w:p>
        </w:tc>
        <w:tc>
          <w:tcPr>
            <w:tcW w:w="16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50≤b≤100</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防止冲洗地面时，水进入固定电机的型腔，造成电机渗水，影响电机寿命；</w:t>
            </w:r>
          </w:p>
        </w:tc>
      </w:tr>
      <w:tr>
        <w:tblPrEx>
          <w:tblCellMar>
            <w:top w:w="0" w:type="dxa"/>
            <w:left w:w="108" w:type="dxa"/>
            <w:bottom w:w="0" w:type="dxa"/>
            <w:right w:w="108" w:type="dxa"/>
          </w:tblCellMar>
        </w:tblPrEx>
        <w:trPr>
          <w:trHeight w:val="27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电机固定板厚度</w:t>
            </w:r>
          </w:p>
        </w:tc>
        <w:tc>
          <w:tcPr>
            <w:tcW w:w="16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15≤c≤25</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增强固定强度，防止螺纹滑丝或固定板损坏；</w:t>
            </w:r>
          </w:p>
        </w:tc>
      </w:tr>
      <w:tr>
        <w:tblPrEx>
          <w:tblCellMar>
            <w:top w:w="0" w:type="dxa"/>
            <w:left w:w="108" w:type="dxa"/>
            <w:bottom w:w="0" w:type="dxa"/>
            <w:right w:w="108" w:type="dxa"/>
          </w:tblCellMar>
        </w:tblPrEx>
        <w:trPr>
          <w:trHeight w:val="27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弹簧固定板厚度</w:t>
            </w:r>
          </w:p>
        </w:tc>
        <w:tc>
          <w:tcPr>
            <w:tcW w:w="16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15≤d≤25</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增强固定强度，防止固定板损坏；</w:t>
            </w:r>
          </w:p>
        </w:tc>
      </w:tr>
      <w:tr>
        <w:tblPrEx>
          <w:tblCellMar>
            <w:top w:w="0" w:type="dxa"/>
            <w:left w:w="108" w:type="dxa"/>
            <w:bottom w:w="0" w:type="dxa"/>
            <w:right w:w="108" w:type="dxa"/>
          </w:tblCellMar>
        </w:tblPrEx>
        <w:trPr>
          <w:trHeight w:val="27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电机固定座与摆锤的间距</w:t>
            </w:r>
          </w:p>
        </w:tc>
        <w:tc>
          <w:tcPr>
            <w:tcW w:w="16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15≤e≤50</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方便拆卸和安装</w:t>
            </w:r>
          </w:p>
        </w:tc>
      </w:tr>
      <w:tr>
        <w:tblPrEx>
          <w:tblCellMar>
            <w:top w:w="0" w:type="dxa"/>
            <w:left w:w="108" w:type="dxa"/>
            <w:bottom w:w="0" w:type="dxa"/>
            <w:right w:w="108" w:type="dxa"/>
          </w:tblCellMar>
        </w:tblPrEx>
        <w:trPr>
          <w:trHeight w:val="27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弹簧固定板与摆锤的间距</w:t>
            </w:r>
          </w:p>
        </w:tc>
        <w:tc>
          <w:tcPr>
            <w:tcW w:w="16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15≤f≤50</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方便拆卸和安装</w:t>
            </w:r>
          </w:p>
        </w:tc>
      </w:tr>
      <w:tr>
        <w:tblPrEx>
          <w:tblCellMar>
            <w:top w:w="0" w:type="dxa"/>
            <w:left w:w="108" w:type="dxa"/>
            <w:bottom w:w="0" w:type="dxa"/>
            <w:right w:w="108" w:type="dxa"/>
          </w:tblCellMar>
        </w:tblPrEx>
        <w:trPr>
          <w:trHeight w:val="54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弹簧固定套内圆形钢台的高度</w:t>
            </w:r>
          </w:p>
        </w:tc>
        <w:tc>
          <w:tcPr>
            <w:tcW w:w="16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25≤g≤35</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过短影响圆形钢台的寿命（锈蚀磨损），太长影响弹簧的振动效果；</w:t>
            </w:r>
          </w:p>
        </w:tc>
      </w:tr>
      <w:tr>
        <w:tblPrEx>
          <w:tblCellMar>
            <w:top w:w="0" w:type="dxa"/>
            <w:left w:w="108" w:type="dxa"/>
            <w:bottom w:w="0" w:type="dxa"/>
            <w:right w:w="108" w:type="dxa"/>
          </w:tblCellMar>
        </w:tblPrEx>
        <w:trPr>
          <w:trHeight w:val="27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电机固定螺孔</w:t>
            </w:r>
          </w:p>
        </w:tc>
        <w:tc>
          <w:tcPr>
            <w:tcW w:w="16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≥M12</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增加强度，防止滑丝；连接螺栓最小为M12,带弹平垫。</w:t>
            </w:r>
          </w:p>
        </w:tc>
      </w:tr>
    </w:tbl>
    <w:p>
      <w:pPr>
        <w:suppressAutoHyphens/>
        <w:overflowPunct w:val="0"/>
        <w:adjustRightInd w:val="0"/>
        <w:spacing w:line="360" w:lineRule="auto"/>
        <w:jc w:val="center"/>
        <w:textAlignment w:val="center"/>
        <w:outlineLvl w:val="8"/>
        <w:rPr>
          <w:rFonts w:ascii="楷体_GB2312" w:hAnsi="宋体" w:eastAsia="楷体_GB2312"/>
          <w:sz w:val="22"/>
        </w:rPr>
      </w:pPr>
      <w:r>
        <w:rPr>
          <w:rFonts w:hint="eastAsia" w:ascii="楷体_GB2312" w:hAnsi="宋体" w:eastAsia="楷体_GB2312"/>
          <w:sz w:val="22"/>
        </w:rPr>
        <w:t>表2 性能要求尺寸参数</w:t>
      </w:r>
    </w:p>
    <w:p>
      <w:pPr>
        <w:autoSpaceDE w:val="0"/>
        <w:autoSpaceDN w:val="0"/>
        <w:adjustRightInd w:val="0"/>
        <w:spacing w:line="500" w:lineRule="exact"/>
        <w:ind w:firstLine="480" w:firstLineChars="200"/>
        <w:jc w:val="left"/>
        <w:rPr>
          <w:rFonts w:ascii="宋体" w:cs="宋体"/>
          <w:kern w:val="0"/>
          <w:sz w:val="24"/>
          <w:szCs w:val="24"/>
        </w:rPr>
      </w:pP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3. 电气控制</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电气控制方式： 继电器控制</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总电源开关带漏电保护</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操作界面可设定工艺参数，时间继电器设定时间、变频器面板设定振动频率</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当设备出现异常时,急停按钮可停机</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启动、复位、报警、指示、急停等按钮</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设备配有双色信号灯</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红色：停止</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绿色：运行</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4.其它附件</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 xml:space="preserve">振动电机备用固定螺栓：20颗 </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 xml:space="preserve">机台拆卸及安装专用工具：1套 </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振动弹簧固定及防磨胶垫：2套（使用弹簧个数的两倍）</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 xml:space="preserve">振动弹簧：每台设备备用1套 </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5. 安全保护与措施</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电机及机台接地保护</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电机过流过载保护</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机台主体防倒、防摔</w:t>
      </w:r>
    </w:p>
    <w:p>
      <w:pPr>
        <w:adjustRightInd w:val="0"/>
        <w:spacing w:line="350" w:lineRule="atLeast"/>
        <w:textAlignment w:val="baseline"/>
        <w:rPr>
          <w:rFonts w:ascii="楷体_GB2312" w:hAnsi="宋体" w:eastAsia="楷体_GB2312"/>
          <w:sz w:val="22"/>
        </w:rPr>
      </w:pPr>
      <w:r>
        <w:rPr>
          <w:rFonts w:hint="eastAsia" w:asciiTheme="minorEastAsia" w:hAnsiTheme="minorEastAsia" w:eastAsiaTheme="minorEastAsia"/>
          <w:b/>
          <w:sz w:val="32"/>
          <w:szCs w:val="32"/>
        </w:rPr>
        <w:t>4.文件资料</w:t>
      </w:r>
    </w:p>
    <w:p>
      <w:pPr>
        <w:autoSpaceDE w:val="0"/>
        <w:autoSpaceDN w:val="0"/>
        <w:adjustRightInd w:val="0"/>
        <w:spacing w:line="500" w:lineRule="exact"/>
        <w:ind w:firstLine="480" w:firstLineChars="200"/>
        <w:jc w:val="left"/>
        <w:rPr>
          <w:rFonts w:ascii="宋体" w:cs="宋体"/>
          <w:kern w:val="0"/>
          <w:sz w:val="24"/>
          <w:szCs w:val="24"/>
        </w:rPr>
      </w:pPr>
      <w:r>
        <w:rPr>
          <w:rFonts w:hint="eastAsia" w:asciiTheme="minorEastAsia" w:hAnsiTheme="minorEastAsia" w:eastAsiaTheme="minorEastAsia"/>
          <w:sz w:val="24"/>
          <w:szCs w:val="21"/>
        </w:rPr>
        <w:t>4.1</w:t>
      </w:r>
      <w:r>
        <w:rPr>
          <w:rFonts w:hint="eastAsia" w:ascii="宋体" w:cs="宋体"/>
          <w:kern w:val="0"/>
          <w:sz w:val="24"/>
          <w:szCs w:val="24"/>
        </w:rPr>
        <w:t>机台手册</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机台操作手册</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机台零件清单</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机台维修手册</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4.2  主要零件的使用说明书或手册及出厂合格证明</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机台电路图</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机台结构图</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4.3  零件清单</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厂商提供机台主要零件清单/厂牌/型号</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例如：振动电机/振动弹簧/交流接触器/热继电器/中间继电器/变频器/断路器/时间继电器等</w:t>
      </w:r>
    </w:p>
    <w:p>
      <w:pPr>
        <w:pStyle w:val="8"/>
        <w:jc w:val="both"/>
        <w:rPr>
          <w:rFonts w:eastAsiaTheme="minorEastAsia"/>
          <w:b/>
          <w:lang w:val="sv-SE" w:eastAsia="zh-CN"/>
        </w:rPr>
      </w:pP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5.</w:t>
      </w:r>
      <w:r>
        <w:rPr>
          <w:rFonts w:asciiTheme="minorEastAsia" w:hAnsiTheme="minorEastAsia" w:eastAsiaTheme="minorEastAsia"/>
          <w:b/>
          <w:sz w:val="32"/>
          <w:szCs w:val="32"/>
        </w:rPr>
        <w:t>保</w:t>
      </w:r>
      <w:r>
        <w:rPr>
          <w:rFonts w:hint="eastAsia" w:asciiTheme="minorEastAsia" w:hAnsiTheme="minorEastAsia" w:eastAsiaTheme="minorEastAsia"/>
          <w:b/>
          <w:sz w:val="32"/>
          <w:szCs w:val="32"/>
        </w:rPr>
        <w:t>修期</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5.1机台质保期1年，从验收合格之日起开始计算</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5.2在质保期，机台发生故障（非人为原因），厂商免费提供换新零件和服务，耗材除外</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5.3在机台保修期内，备件的响应时间与人员入厂响应时间相同（小于72小时）</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5.4供应商在机台保修期内，机台出现问题后的响应时间须满足以下要求:电话响应时间为接到电话时计算，小于2小时；如需人员现场维修，服务人员从接到电话时计算，到厂时间小于48小时。</w:t>
      </w:r>
    </w:p>
    <w:p>
      <w:pPr>
        <w:widowControl/>
        <w:spacing w:line="360" w:lineRule="auto"/>
        <w:ind w:firstLine="480" w:firstLineChars="200"/>
        <w:jc w:val="left"/>
        <w:rPr>
          <w:rFonts w:ascii="楷体_GB2312" w:hAnsi="宋体" w:eastAsia="楷体_GB2312"/>
          <w:sz w:val="24"/>
        </w:rPr>
      </w:pPr>
      <w:r>
        <w:rPr>
          <w:rFonts w:hint="eastAsia" w:asciiTheme="minorEastAsia" w:hAnsiTheme="minorEastAsia" w:eastAsiaTheme="minorEastAsia"/>
          <w:sz w:val="24"/>
          <w:szCs w:val="21"/>
        </w:rPr>
        <w:t>5.5保修期内服务人员必须是振动光饰机行业维修服务从业3年以上。</w:t>
      </w:r>
    </w:p>
    <w:p>
      <w:pPr>
        <w:tabs>
          <w:tab w:val="left" w:pos="1980"/>
          <w:tab w:val="left" w:pos="7920"/>
        </w:tabs>
        <w:adjustRightInd w:val="0"/>
        <w:snapToGrid w:val="0"/>
        <w:ind w:left="670"/>
        <w:jc w:val="center"/>
        <w:rPr>
          <w:rFonts w:ascii="宋体" w:hAnsi="宋体"/>
          <w:b/>
          <w:sz w:val="32"/>
          <w:szCs w:val="32"/>
        </w:rPr>
      </w:pP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6.其它</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6.1供应商可提供近一年内本公司振动光饰机改进优化的评述及验证的相关数据，此可结合我司需求纳入技术评标考察范围。</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6.2  鉴于振动电机拆卸及弹簧的更换工作量大（操作空间有限、更换弹簧用时过多，更换后定位较难），供应商可根据以上问题做出优化及验证的相关数据，此结合我司需求纳入技术评标重点考察范围。。</w:t>
      </w:r>
    </w:p>
    <w:p>
      <w:pPr>
        <w:rPr>
          <w:rFonts w:ascii="楷体_GB2312" w:hAnsi="宋体" w:eastAsia="楷体_GB2312"/>
          <w:b/>
          <w:sz w:val="28"/>
        </w:rPr>
      </w:pPr>
    </w:p>
    <w:p>
      <w:pPr>
        <w:sectPr>
          <w:pgSz w:w="11907" w:h="16840" w:orient="landscape"/>
          <w:pgMar w:top="1797" w:right="1827" w:bottom="1797" w:left="1089" w:header="851" w:footer="992" w:gutter="0"/>
          <w:cols w:space="425" w:num="1"/>
          <w:docGrid w:type="linesAndChars" w:linePitch="312" w:charSpace="0"/>
        </w:sectPr>
      </w:pPr>
    </w:p>
    <w:p>
      <w:pPr>
        <w:spacing w:line="520" w:lineRule="exact"/>
      </w:pPr>
      <w:r>
        <w:rPr>
          <w:rFonts w:hint="eastAsia"/>
        </w:rPr>
        <w:t>附件一</w:t>
      </w:r>
    </w:p>
    <w:p>
      <w:pPr>
        <w:widowControl/>
        <w:spacing w:line="420" w:lineRule="exact"/>
        <w:jc w:val="left"/>
        <w:rPr>
          <w:rFonts w:ascii="宋体" w:hAnsi="宋体" w:cs="宋体"/>
          <w:b/>
          <w:color w:val="000000"/>
          <w:kern w:val="0"/>
          <w:sz w:val="24"/>
        </w:rPr>
      </w:pPr>
    </w:p>
    <w:p>
      <w:pPr>
        <w:widowControl/>
        <w:shd w:val="clear" w:color="auto" w:fill="FFFFFF"/>
        <w:spacing w:line="360" w:lineRule="atLeast"/>
        <w:jc w:val="left"/>
        <w:rPr>
          <w:rFonts w:ascii="宋体" w:hAnsi="宋体" w:cs="宋体"/>
          <w:color w:val="000000"/>
          <w:kern w:val="0"/>
          <w:sz w:val="24"/>
          <w:szCs w:val="24"/>
        </w:rPr>
      </w:pPr>
      <w:r>
        <w:rPr>
          <w:rFonts w:ascii="宋体" w:hAnsi="宋体" w:cs="宋体"/>
          <w:color w:val="000000"/>
          <w:kern w:val="0"/>
          <w:sz w:val="24"/>
          <w:szCs w:val="24"/>
        </w:rPr>
        <w:t>致：</w:t>
      </w:r>
      <w:r>
        <w:rPr>
          <w:rFonts w:hint="eastAsia" w:ascii="宋体" w:hAnsi="宋体" w:cs="宋体"/>
          <w:color w:val="000000"/>
          <w:kern w:val="0"/>
          <w:sz w:val="24"/>
          <w:szCs w:val="24"/>
        </w:rPr>
        <w:t>成都恒达光学有限公司：</w:t>
      </w:r>
    </w:p>
    <w:p>
      <w:pPr>
        <w:widowControl/>
        <w:shd w:val="clear" w:color="auto" w:fill="FFFFFF"/>
        <w:spacing w:line="360" w:lineRule="atLeast"/>
        <w:jc w:val="left"/>
        <w:rPr>
          <w:rFonts w:ascii="宋体" w:hAnsi="宋体" w:cs="宋体"/>
          <w:color w:val="000000"/>
          <w:kern w:val="0"/>
          <w:sz w:val="24"/>
          <w:szCs w:val="24"/>
        </w:rPr>
      </w:pPr>
    </w:p>
    <w:p>
      <w:pPr>
        <w:widowControl/>
        <w:shd w:val="clear" w:color="auto" w:fill="FFFFFF"/>
        <w:spacing w:line="360" w:lineRule="atLeast"/>
        <w:ind w:firstLine="480"/>
        <w:jc w:val="left"/>
        <w:rPr>
          <w:rFonts w:ascii="宋体" w:hAnsi="宋体" w:cs="宋体"/>
          <w:color w:val="000000"/>
          <w:kern w:val="0"/>
          <w:sz w:val="24"/>
          <w:szCs w:val="24"/>
        </w:rPr>
      </w:pPr>
      <w:r>
        <w:rPr>
          <w:rFonts w:ascii="宋体" w:hAnsi="宋体" w:cs="宋体"/>
          <w:color w:val="000000"/>
          <w:kern w:val="0"/>
          <w:sz w:val="24"/>
          <w:szCs w:val="24"/>
        </w:rPr>
        <w:t>在审阅了</w:t>
      </w:r>
      <w:r>
        <w:rPr>
          <w:rFonts w:hint="eastAsia" w:ascii="宋体" w:hAnsi="宋体" w:cs="宋体"/>
          <w:color w:val="000000"/>
          <w:kern w:val="0"/>
          <w:sz w:val="24"/>
          <w:szCs w:val="24"/>
        </w:rPr>
        <w:t>《封闭式报价邀请函》</w:t>
      </w:r>
      <w:r>
        <w:rPr>
          <w:rFonts w:ascii="宋体" w:hAnsi="宋体" w:cs="宋体"/>
          <w:color w:val="000000"/>
          <w:kern w:val="0"/>
          <w:sz w:val="24"/>
          <w:szCs w:val="24"/>
        </w:rPr>
        <w:t>文件后，我方决定参与</w:t>
      </w:r>
      <w:r>
        <w:rPr>
          <w:rFonts w:hint="eastAsia" w:ascii="宋体" w:hAnsi="宋体" w:cs="宋体"/>
          <w:color w:val="000000"/>
          <w:kern w:val="0"/>
          <w:sz w:val="24"/>
          <w:szCs w:val="24"/>
        </w:rPr>
        <w:t>报价</w:t>
      </w:r>
      <w:r>
        <w:rPr>
          <w:rFonts w:ascii="宋体" w:hAnsi="宋体" w:cs="宋体"/>
          <w:color w:val="000000"/>
          <w:kern w:val="0"/>
          <w:sz w:val="24"/>
          <w:szCs w:val="24"/>
        </w:rPr>
        <w:t>，我方保证所提供的全部报价和其它证明文件的真实性、合法性，并愿赔偿因上述报价和其它证明文件的瑕疵所蒙受的全部经济损失。</w:t>
      </w:r>
    </w:p>
    <w:p>
      <w:pPr>
        <w:widowControl/>
        <w:shd w:val="clear" w:color="auto" w:fill="FFFFFF"/>
        <w:spacing w:line="360" w:lineRule="atLeast"/>
        <w:ind w:firstLine="480"/>
        <w:jc w:val="left"/>
        <w:rPr>
          <w:rFonts w:ascii="宋体" w:hAnsi="宋体" w:cs="宋体"/>
          <w:color w:val="000000"/>
          <w:kern w:val="0"/>
          <w:sz w:val="24"/>
          <w:szCs w:val="24"/>
        </w:rPr>
      </w:pPr>
    </w:p>
    <w:p>
      <w:pPr>
        <w:widowControl/>
        <w:shd w:val="clear" w:color="auto" w:fill="FFFFFF"/>
        <w:spacing w:line="360" w:lineRule="atLeast"/>
        <w:ind w:firstLine="480"/>
        <w:jc w:val="left"/>
        <w:rPr>
          <w:rFonts w:ascii="宋体" w:hAnsi="宋体" w:cs="宋体"/>
          <w:color w:val="000000"/>
          <w:kern w:val="0"/>
          <w:sz w:val="24"/>
          <w:szCs w:val="24"/>
        </w:rPr>
      </w:pPr>
    </w:p>
    <w:p>
      <w:pPr>
        <w:widowControl/>
        <w:shd w:val="clear" w:color="auto" w:fill="FFFFFF"/>
        <w:spacing w:line="360" w:lineRule="atLeast"/>
        <w:ind w:firstLine="480"/>
        <w:jc w:val="left"/>
        <w:rPr>
          <w:rFonts w:ascii="宋体" w:hAnsi="宋体" w:cs="宋体"/>
          <w:color w:val="000000"/>
          <w:kern w:val="0"/>
          <w:sz w:val="24"/>
          <w:szCs w:val="24"/>
        </w:rPr>
      </w:pPr>
      <w:r>
        <w:rPr>
          <w:rFonts w:hint="eastAsia" w:ascii="宋体" w:hAnsi="宋体" w:cs="宋体"/>
          <w:color w:val="000000"/>
          <w:kern w:val="0"/>
          <w:sz w:val="24"/>
          <w:szCs w:val="24"/>
        </w:rPr>
        <w:t>报价单位</w:t>
      </w:r>
      <w:r>
        <w:rPr>
          <w:rFonts w:ascii="宋体" w:hAnsi="宋体" w:cs="宋体"/>
          <w:color w:val="000000"/>
          <w:kern w:val="0"/>
          <w:sz w:val="24"/>
          <w:szCs w:val="24"/>
        </w:rPr>
        <w:t>（盖章）：_______________________________________</w:t>
      </w:r>
    </w:p>
    <w:p>
      <w:pPr>
        <w:widowControl/>
        <w:shd w:val="clear" w:color="auto" w:fill="FFFFFF"/>
        <w:spacing w:line="360" w:lineRule="atLeast"/>
        <w:ind w:firstLine="480"/>
        <w:jc w:val="left"/>
        <w:rPr>
          <w:rFonts w:ascii="宋体" w:hAnsi="宋体" w:cs="宋体"/>
          <w:color w:val="000000"/>
          <w:kern w:val="0"/>
          <w:sz w:val="24"/>
          <w:szCs w:val="24"/>
        </w:rPr>
      </w:pPr>
      <w:r>
        <w:rPr>
          <w:rFonts w:ascii="宋体" w:hAnsi="宋体" w:cs="宋体"/>
          <w:color w:val="000000"/>
          <w:kern w:val="0"/>
          <w:sz w:val="24"/>
          <w:szCs w:val="24"/>
        </w:rPr>
        <w:t>法定代表人（签字）：_____________________</w:t>
      </w:r>
    </w:p>
    <w:p>
      <w:pPr>
        <w:widowControl/>
        <w:shd w:val="clear" w:color="auto" w:fill="FFFFFF"/>
        <w:spacing w:line="360" w:lineRule="atLeast"/>
        <w:ind w:firstLine="480"/>
        <w:jc w:val="left"/>
        <w:rPr>
          <w:rFonts w:ascii="宋体" w:hAnsi="宋体" w:cs="宋体"/>
          <w:color w:val="000000"/>
          <w:kern w:val="0"/>
          <w:sz w:val="24"/>
          <w:szCs w:val="24"/>
        </w:rPr>
      </w:pPr>
      <w:r>
        <w:rPr>
          <w:rFonts w:ascii="宋体" w:hAnsi="宋体" w:cs="宋体"/>
          <w:color w:val="000000"/>
          <w:kern w:val="0"/>
          <w:sz w:val="24"/>
          <w:szCs w:val="24"/>
        </w:rPr>
        <w:t>出具日期：__________年_______月_______日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490" w:firstLineChars="850"/>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本授权书声明：在本书上签字的 （公司名称）（法定代表人姓名、职务）代表本公司任命在本书上签字的 （被授权人姓名、职务）为本公司的合法代理人，在 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被授权人：（签字）  性 别：    年龄：</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     手机：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 xml:space="preserve">法定代表人：（签字）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  手机：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期：年 月日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报价函</w:t>
      </w:r>
    </w:p>
    <w:p>
      <w:pPr>
        <w:spacing w:line="360" w:lineRule="exact"/>
        <w:rPr>
          <w:sz w:val="24"/>
        </w:rPr>
      </w:pPr>
    </w:p>
    <w:p>
      <w:pPr>
        <w:spacing w:line="360" w:lineRule="auto"/>
        <w:rPr>
          <w:sz w:val="24"/>
        </w:rPr>
      </w:pPr>
      <w:r>
        <w:rPr>
          <w:sz w:val="24"/>
        </w:rPr>
        <w:t>致：</w:t>
      </w:r>
      <w:r>
        <w:rPr>
          <w:rFonts w:hint="eastAsia"/>
          <w:sz w:val="24"/>
          <w:u w:val="single"/>
        </w:rPr>
        <w:t>成都恒达光学有限公司</w:t>
      </w:r>
    </w:p>
    <w:p>
      <w:pPr>
        <w:spacing w:line="360" w:lineRule="auto"/>
        <w:ind w:firstLine="480" w:firstLineChars="200"/>
        <w:rPr>
          <w:sz w:val="24"/>
        </w:rPr>
      </w:pPr>
      <w:r>
        <w:rPr>
          <w:sz w:val="24"/>
        </w:rPr>
        <w:t>根据贵</w:t>
      </w:r>
      <w:r>
        <w:rPr>
          <w:rFonts w:hint="eastAsia"/>
          <w:sz w:val="24"/>
        </w:rPr>
        <w:t>公司</w:t>
      </w:r>
      <w:r>
        <w:rPr>
          <w:rFonts w:hint="eastAsia"/>
          <w:sz w:val="24"/>
          <w:u w:val="single"/>
        </w:rPr>
        <w:t>振动光饰机设备采购</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w:t>
      </w:r>
      <w:r>
        <w:rPr>
          <w:sz w:val="24"/>
        </w:rPr>
        <w:t>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：_________________</w:t>
      </w:r>
    </w:p>
    <w:p>
      <w:pPr>
        <w:spacing w:line="440" w:lineRule="exact"/>
        <w:ind w:firstLine="2880" w:firstLineChars="1200"/>
        <w:jc w:val="right"/>
        <w:rPr>
          <w:sz w:val="24"/>
        </w:rPr>
      </w:pPr>
      <w:r>
        <w:rPr>
          <w:sz w:val="24"/>
        </w:rPr>
        <w:t>日期：______年___月___日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01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15"/>
        <w:gridCol w:w="2868"/>
        <w:gridCol w:w="2194"/>
        <w:gridCol w:w="21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171"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15"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2868" w:type="dxa"/>
            <w:vAlign w:val="center"/>
          </w:tcPr>
          <w:p>
            <w:pPr>
              <w:jc w:val="center"/>
              <w:rPr>
                <w:rFonts w:ascii="宋体" w:hAnsi="宋体"/>
                <w:sz w:val="24"/>
                <w:szCs w:val="24"/>
              </w:rPr>
            </w:pPr>
            <w:r>
              <w:rPr>
                <w:rFonts w:hint="eastAsia" w:ascii="宋体" w:hAnsi="宋体"/>
                <w:sz w:val="24"/>
                <w:szCs w:val="24"/>
              </w:rPr>
              <w:t>要求</w:t>
            </w:r>
          </w:p>
        </w:tc>
        <w:tc>
          <w:tcPr>
            <w:tcW w:w="2194" w:type="dxa"/>
            <w:vAlign w:val="center"/>
          </w:tcPr>
          <w:p>
            <w:pPr>
              <w:jc w:val="center"/>
              <w:rPr>
                <w:rFonts w:ascii="宋体" w:hAnsi="宋体"/>
                <w:sz w:val="24"/>
                <w:szCs w:val="24"/>
              </w:rPr>
            </w:pPr>
            <w:r>
              <w:rPr>
                <w:rFonts w:hint="eastAsia" w:ascii="宋体" w:hAnsi="宋体"/>
                <w:sz w:val="24"/>
                <w:szCs w:val="24"/>
              </w:rPr>
              <w:t>是否响应</w:t>
            </w:r>
          </w:p>
        </w:tc>
        <w:tc>
          <w:tcPr>
            <w:tcW w:w="2194"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15"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2868" w:type="dxa"/>
            <w:vAlign w:val="center"/>
          </w:tcPr>
          <w:p>
            <w:pPr>
              <w:spacing w:line="380" w:lineRule="exact"/>
              <w:jc w:val="center"/>
              <w:rPr>
                <w:rFonts w:ascii="宋体" w:hAnsi="宋体"/>
                <w:szCs w:val="21"/>
              </w:rPr>
            </w:pPr>
            <w:r>
              <w:rPr>
                <w:rFonts w:hint="eastAsia" w:ascii="宋体" w:hAnsi="宋体"/>
                <w:szCs w:val="21"/>
              </w:rPr>
              <w:t>见表</w:t>
            </w:r>
          </w:p>
        </w:tc>
        <w:tc>
          <w:tcPr>
            <w:tcW w:w="2194" w:type="dxa"/>
            <w:vAlign w:val="center"/>
          </w:tcPr>
          <w:p>
            <w:pPr>
              <w:spacing w:line="380" w:lineRule="exact"/>
              <w:jc w:val="center"/>
              <w:rPr>
                <w:rFonts w:ascii="宋体" w:hAnsi="宋体"/>
                <w:szCs w:val="21"/>
              </w:rPr>
            </w:pPr>
            <w:r>
              <w:rPr>
                <w:rFonts w:hint="eastAsia" w:ascii="宋体" w:hAnsi="宋体"/>
                <w:szCs w:val="21"/>
              </w:rPr>
              <w:t>完全响应</w:t>
            </w:r>
          </w:p>
        </w:tc>
        <w:tc>
          <w:tcPr>
            <w:tcW w:w="219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15"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2868" w:type="dxa"/>
            <w:vAlign w:val="center"/>
          </w:tcPr>
          <w:p>
            <w:pPr>
              <w:jc w:val="center"/>
              <w:rPr>
                <w:rFonts w:ascii="宋体" w:hAnsi="宋体"/>
                <w:sz w:val="24"/>
                <w:szCs w:val="24"/>
              </w:rPr>
            </w:pPr>
            <w:r>
              <w:rPr>
                <w:rFonts w:hint="eastAsia" w:ascii="宋体" w:hAnsi="宋体"/>
                <w:sz w:val="24"/>
                <w:szCs w:val="24"/>
              </w:rPr>
              <w:t>要求</w:t>
            </w:r>
          </w:p>
        </w:tc>
        <w:tc>
          <w:tcPr>
            <w:tcW w:w="2194" w:type="dxa"/>
            <w:vAlign w:val="center"/>
          </w:tcPr>
          <w:p>
            <w:pPr>
              <w:jc w:val="center"/>
              <w:rPr>
                <w:rFonts w:ascii="宋体" w:hAnsi="宋体"/>
                <w:sz w:val="24"/>
                <w:szCs w:val="24"/>
              </w:rPr>
            </w:pPr>
            <w:r>
              <w:rPr>
                <w:rFonts w:hint="eastAsia" w:ascii="宋体" w:hAnsi="宋体"/>
                <w:sz w:val="24"/>
                <w:szCs w:val="24"/>
              </w:rPr>
              <w:t>是否响应</w:t>
            </w:r>
          </w:p>
        </w:tc>
        <w:tc>
          <w:tcPr>
            <w:tcW w:w="2194"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15" w:type="dxa"/>
            <w:vAlign w:val="center"/>
          </w:tcPr>
          <w:p>
            <w:pPr>
              <w:widowControl/>
              <w:jc w:val="center"/>
              <w:rPr>
                <w:rFonts w:ascii="宋体" w:hAnsi="宋体"/>
                <w:szCs w:val="21"/>
              </w:rPr>
            </w:pPr>
            <w:r>
              <w:rPr>
                <w:rFonts w:hint="eastAsia" w:ascii="宋体" w:hAnsi="宋体"/>
                <w:szCs w:val="21"/>
              </w:rPr>
              <w:t>性能要求尺寸参数</w:t>
            </w:r>
          </w:p>
        </w:tc>
        <w:tc>
          <w:tcPr>
            <w:tcW w:w="2868" w:type="dxa"/>
            <w:vAlign w:val="center"/>
          </w:tcPr>
          <w:p>
            <w:pPr>
              <w:spacing w:line="380" w:lineRule="exact"/>
              <w:jc w:val="center"/>
              <w:rPr>
                <w:rFonts w:ascii="宋体" w:hAnsi="宋体"/>
                <w:szCs w:val="21"/>
              </w:rPr>
            </w:pPr>
            <w:r>
              <w:rPr>
                <w:rFonts w:hint="eastAsia" w:ascii="宋体" w:hAnsi="宋体"/>
                <w:szCs w:val="21"/>
              </w:rPr>
              <w:t>见表2 《性能要求尺寸参数》</w:t>
            </w:r>
          </w:p>
        </w:tc>
        <w:tc>
          <w:tcPr>
            <w:tcW w:w="2194" w:type="dxa"/>
          </w:tcPr>
          <w:p>
            <w:pPr>
              <w:spacing w:line="380" w:lineRule="exact"/>
              <w:jc w:val="center"/>
              <w:rPr>
                <w:rFonts w:ascii="宋体" w:hAnsi="宋体"/>
                <w:szCs w:val="21"/>
              </w:rPr>
            </w:pPr>
          </w:p>
        </w:tc>
        <w:tc>
          <w:tcPr>
            <w:tcW w:w="219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15" w:type="dxa"/>
            <w:vAlign w:val="center"/>
          </w:tcPr>
          <w:p>
            <w:pPr>
              <w:widowControl/>
              <w:jc w:val="center"/>
              <w:rPr>
                <w:rFonts w:ascii="宋体" w:hAnsi="宋体"/>
                <w:szCs w:val="21"/>
              </w:rPr>
            </w:pPr>
            <w:r>
              <w:rPr>
                <w:rFonts w:hint="eastAsia" w:ascii="宋体" w:hAnsi="宋体"/>
                <w:szCs w:val="21"/>
              </w:rPr>
              <w:t>电气控制系统</w:t>
            </w:r>
          </w:p>
        </w:tc>
        <w:tc>
          <w:tcPr>
            <w:tcW w:w="2868" w:type="dxa"/>
            <w:vAlign w:val="center"/>
          </w:tcPr>
          <w:p>
            <w:pPr>
              <w:spacing w:line="380" w:lineRule="exact"/>
              <w:jc w:val="center"/>
              <w:rPr>
                <w:rFonts w:ascii="宋体" w:hAnsi="宋体"/>
                <w:szCs w:val="21"/>
              </w:rPr>
            </w:pPr>
            <w:r>
              <w:rPr>
                <w:rFonts w:hint="eastAsia" w:ascii="宋体" w:hAnsi="宋体"/>
                <w:szCs w:val="21"/>
              </w:rPr>
              <w:t>见3.3 电气控制</w:t>
            </w:r>
          </w:p>
        </w:tc>
        <w:tc>
          <w:tcPr>
            <w:tcW w:w="2194" w:type="dxa"/>
          </w:tcPr>
          <w:p>
            <w:pPr>
              <w:spacing w:line="380" w:lineRule="exact"/>
              <w:jc w:val="center"/>
              <w:rPr>
                <w:rFonts w:ascii="宋体" w:hAnsi="宋体"/>
                <w:szCs w:val="21"/>
              </w:rPr>
            </w:pPr>
          </w:p>
        </w:tc>
        <w:tc>
          <w:tcPr>
            <w:tcW w:w="219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15" w:type="dxa"/>
            <w:vAlign w:val="center"/>
          </w:tcPr>
          <w:p>
            <w:pPr>
              <w:widowControl/>
              <w:jc w:val="center"/>
              <w:rPr>
                <w:rFonts w:ascii="宋体" w:hAnsi="宋体"/>
                <w:szCs w:val="21"/>
              </w:rPr>
            </w:pPr>
            <w:r>
              <w:rPr>
                <w:rFonts w:hint="eastAsia" w:ascii="宋体" w:hAnsi="宋体"/>
                <w:szCs w:val="21"/>
              </w:rPr>
              <w:t>清楚我司振动光饰机的使用环境</w:t>
            </w:r>
          </w:p>
        </w:tc>
        <w:tc>
          <w:tcPr>
            <w:tcW w:w="2868" w:type="dxa"/>
            <w:vAlign w:val="center"/>
          </w:tcPr>
          <w:p>
            <w:pPr>
              <w:spacing w:line="380" w:lineRule="exact"/>
              <w:jc w:val="center"/>
              <w:rPr>
                <w:rFonts w:ascii="宋体" w:hAnsi="宋体"/>
                <w:szCs w:val="21"/>
              </w:rPr>
            </w:pPr>
            <w:r>
              <w:rPr>
                <w:rFonts w:hint="eastAsia" w:ascii="宋体" w:hAnsi="宋体"/>
                <w:szCs w:val="21"/>
              </w:rPr>
              <w:t>潮湿，多水，连续使用</w:t>
            </w:r>
          </w:p>
        </w:tc>
        <w:tc>
          <w:tcPr>
            <w:tcW w:w="2194" w:type="dxa"/>
          </w:tcPr>
          <w:p>
            <w:pPr>
              <w:spacing w:line="380" w:lineRule="exact"/>
              <w:jc w:val="center"/>
              <w:rPr>
                <w:rFonts w:ascii="宋体" w:hAnsi="宋体"/>
                <w:szCs w:val="21"/>
              </w:rPr>
            </w:pPr>
          </w:p>
        </w:tc>
        <w:tc>
          <w:tcPr>
            <w:tcW w:w="219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15" w:type="dxa"/>
            <w:vAlign w:val="center"/>
          </w:tcPr>
          <w:p>
            <w:pPr>
              <w:widowControl/>
              <w:jc w:val="center"/>
              <w:rPr>
                <w:rFonts w:ascii="宋体" w:hAnsi="宋体"/>
                <w:szCs w:val="21"/>
              </w:rPr>
            </w:pPr>
            <w:r>
              <w:rPr>
                <w:rFonts w:hint="eastAsia" w:ascii="宋体" w:hAnsi="宋体"/>
                <w:szCs w:val="21"/>
              </w:rPr>
              <w:t>安全保护与措施</w:t>
            </w:r>
          </w:p>
        </w:tc>
        <w:tc>
          <w:tcPr>
            <w:tcW w:w="2868" w:type="dxa"/>
            <w:vAlign w:val="center"/>
          </w:tcPr>
          <w:p>
            <w:pPr>
              <w:widowControl/>
              <w:jc w:val="center"/>
              <w:rPr>
                <w:rFonts w:ascii="宋体" w:cs="宋体"/>
                <w:kern w:val="0"/>
                <w:sz w:val="24"/>
                <w:szCs w:val="24"/>
              </w:rPr>
            </w:pPr>
            <w:r>
              <w:rPr>
                <w:rFonts w:hint="eastAsia" w:ascii="宋体" w:hAnsi="宋体"/>
                <w:szCs w:val="21"/>
              </w:rPr>
              <w:t>见3.5安全保护与措施</w:t>
            </w:r>
          </w:p>
        </w:tc>
        <w:tc>
          <w:tcPr>
            <w:tcW w:w="2194" w:type="dxa"/>
          </w:tcPr>
          <w:p>
            <w:pPr>
              <w:spacing w:line="380" w:lineRule="exact"/>
              <w:jc w:val="center"/>
              <w:rPr>
                <w:rFonts w:ascii="宋体" w:hAnsi="宋体"/>
                <w:szCs w:val="21"/>
              </w:rPr>
            </w:pPr>
          </w:p>
        </w:tc>
        <w:tc>
          <w:tcPr>
            <w:tcW w:w="219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15" w:type="dxa"/>
            <w:vAlign w:val="center"/>
          </w:tcPr>
          <w:p>
            <w:pPr>
              <w:widowControl/>
              <w:jc w:val="center"/>
              <w:rPr>
                <w:rFonts w:ascii="宋体" w:hAnsi="宋体"/>
                <w:szCs w:val="21"/>
              </w:rPr>
            </w:pPr>
            <w:r>
              <w:rPr>
                <w:rFonts w:hint="eastAsia" w:ascii="宋体" w:hAnsi="宋体"/>
                <w:szCs w:val="21"/>
              </w:rPr>
              <w:t>振动电机质保（无人为损坏）</w:t>
            </w:r>
          </w:p>
        </w:tc>
        <w:tc>
          <w:tcPr>
            <w:tcW w:w="2868" w:type="dxa"/>
            <w:vAlign w:val="center"/>
          </w:tcPr>
          <w:p>
            <w:pPr>
              <w:spacing w:line="380" w:lineRule="exact"/>
              <w:jc w:val="center"/>
              <w:rPr>
                <w:rFonts w:ascii="宋体" w:hAnsi="宋体"/>
                <w:szCs w:val="21"/>
              </w:rPr>
            </w:pPr>
            <w:r>
              <w:rPr>
                <w:rFonts w:hint="eastAsia" w:ascii="宋体" w:hAnsi="宋体"/>
                <w:szCs w:val="21"/>
              </w:rPr>
              <w:t>两年内无条件更换</w:t>
            </w:r>
          </w:p>
        </w:tc>
        <w:tc>
          <w:tcPr>
            <w:tcW w:w="2194" w:type="dxa"/>
          </w:tcPr>
          <w:p>
            <w:pPr>
              <w:spacing w:line="380" w:lineRule="exact"/>
              <w:jc w:val="center"/>
              <w:rPr>
                <w:rFonts w:ascii="宋体" w:hAnsi="宋体"/>
                <w:szCs w:val="21"/>
              </w:rPr>
            </w:pPr>
          </w:p>
        </w:tc>
        <w:tc>
          <w:tcPr>
            <w:tcW w:w="219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15" w:type="dxa"/>
            <w:vAlign w:val="center"/>
          </w:tcPr>
          <w:p>
            <w:pPr>
              <w:widowControl/>
              <w:jc w:val="center"/>
              <w:rPr>
                <w:rFonts w:ascii="宋体" w:hAnsi="宋体"/>
                <w:szCs w:val="21"/>
              </w:rPr>
            </w:pPr>
            <w:r>
              <w:rPr>
                <w:rFonts w:hint="eastAsia" w:ascii="宋体" w:hAnsi="宋体"/>
                <w:szCs w:val="21"/>
              </w:rPr>
              <w:t>配套赠送备件</w:t>
            </w:r>
          </w:p>
        </w:tc>
        <w:tc>
          <w:tcPr>
            <w:tcW w:w="2868" w:type="dxa"/>
            <w:vAlign w:val="center"/>
          </w:tcPr>
          <w:p>
            <w:pPr>
              <w:autoSpaceDE w:val="0"/>
              <w:autoSpaceDN w:val="0"/>
              <w:adjustRightInd w:val="0"/>
              <w:spacing w:line="500" w:lineRule="exact"/>
              <w:ind w:firstLine="420" w:firstLineChars="200"/>
              <w:jc w:val="left"/>
              <w:rPr>
                <w:rFonts w:ascii="宋体" w:cs="宋体"/>
                <w:kern w:val="0"/>
                <w:sz w:val="24"/>
                <w:szCs w:val="24"/>
              </w:rPr>
            </w:pPr>
            <w:r>
              <w:rPr>
                <w:rFonts w:hint="eastAsia" w:ascii="宋体" w:hAnsi="宋体"/>
                <w:szCs w:val="21"/>
              </w:rPr>
              <w:t>见3.4</w:t>
            </w:r>
            <w:r>
              <w:rPr>
                <w:rFonts w:hint="eastAsia" w:ascii="宋体" w:cs="宋体"/>
                <w:kern w:val="0"/>
                <w:sz w:val="24"/>
                <w:szCs w:val="24"/>
              </w:rPr>
              <w:t>其它附件</w:t>
            </w:r>
          </w:p>
        </w:tc>
        <w:tc>
          <w:tcPr>
            <w:tcW w:w="2194" w:type="dxa"/>
          </w:tcPr>
          <w:p>
            <w:pPr>
              <w:spacing w:line="380" w:lineRule="exact"/>
              <w:jc w:val="center"/>
              <w:rPr>
                <w:rFonts w:ascii="宋体" w:hAnsi="宋体"/>
                <w:szCs w:val="21"/>
              </w:rPr>
            </w:pPr>
          </w:p>
        </w:tc>
        <w:tc>
          <w:tcPr>
            <w:tcW w:w="219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15"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2868" w:type="dxa"/>
            <w:vAlign w:val="center"/>
          </w:tcPr>
          <w:p>
            <w:pPr>
              <w:jc w:val="center"/>
              <w:rPr>
                <w:rFonts w:ascii="宋体" w:hAnsi="宋体"/>
                <w:sz w:val="24"/>
                <w:szCs w:val="24"/>
              </w:rPr>
            </w:pPr>
            <w:r>
              <w:rPr>
                <w:rFonts w:hint="eastAsia" w:ascii="宋体" w:hAnsi="宋体"/>
                <w:sz w:val="24"/>
                <w:szCs w:val="24"/>
              </w:rPr>
              <w:t>要求</w:t>
            </w:r>
          </w:p>
        </w:tc>
        <w:tc>
          <w:tcPr>
            <w:tcW w:w="2194" w:type="dxa"/>
            <w:vAlign w:val="center"/>
          </w:tcPr>
          <w:p>
            <w:pPr>
              <w:jc w:val="center"/>
              <w:rPr>
                <w:rFonts w:ascii="宋体" w:hAnsi="宋体"/>
                <w:sz w:val="24"/>
                <w:szCs w:val="24"/>
              </w:rPr>
            </w:pPr>
            <w:r>
              <w:rPr>
                <w:rFonts w:hint="eastAsia" w:ascii="宋体" w:hAnsi="宋体"/>
                <w:sz w:val="24"/>
                <w:szCs w:val="24"/>
              </w:rPr>
              <w:t>是否响应</w:t>
            </w:r>
          </w:p>
        </w:tc>
        <w:tc>
          <w:tcPr>
            <w:tcW w:w="2194"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15" w:type="dxa"/>
            <w:vAlign w:val="center"/>
          </w:tcPr>
          <w:p>
            <w:pPr>
              <w:spacing w:line="360" w:lineRule="exact"/>
              <w:jc w:val="center"/>
              <w:rPr>
                <w:rFonts w:ascii="宋体" w:hAnsi="宋体"/>
                <w:szCs w:val="21"/>
              </w:rPr>
            </w:pPr>
            <w:r>
              <w:rPr>
                <w:rFonts w:hint="eastAsia" w:ascii="宋体" w:hAnsi="宋体"/>
                <w:szCs w:val="21"/>
              </w:rPr>
              <w:t>付款方法和条件</w:t>
            </w:r>
          </w:p>
        </w:tc>
        <w:tc>
          <w:tcPr>
            <w:tcW w:w="2868" w:type="dxa"/>
            <w:vAlign w:val="center"/>
          </w:tcPr>
          <w:p>
            <w:pPr>
              <w:spacing w:line="360" w:lineRule="exact"/>
              <w:jc w:val="center"/>
              <w:rPr>
                <w:rFonts w:ascii="宋体" w:hAnsi="宋体"/>
                <w:szCs w:val="21"/>
              </w:rPr>
            </w:pPr>
            <w:r>
              <w:rPr>
                <w:rFonts w:hint="eastAsia" w:ascii="宋体" w:hAnsi="宋体"/>
                <w:color w:val="000000"/>
              </w:rPr>
              <w:t>签订合同后支付总价的30%作为项目预付款，验收合格后支付65%，另5%作为质保金</w:t>
            </w:r>
          </w:p>
        </w:tc>
        <w:tc>
          <w:tcPr>
            <w:tcW w:w="2194" w:type="dxa"/>
          </w:tcPr>
          <w:p>
            <w:pPr>
              <w:spacing w:line="360" w:lineRule="exact"/>
              <w:jc w:val="center"/>
              <w:rPr>
                <w:rFonts w:ascii="宋体" w:hAnsi="宋体"/>
                <w:szCs w:val="21"/>
              </w:rPr>
            </w:pPr>
          </w:p>
        </w:tc>
        <w:tc>
          <w:tcPr>
            <w:tcW w:w="219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15" w:type="dxa"/>
            <w:vAlign w:val="center"/>
          </w:tcPr>
          <w:p>
            <w:pPr>
              <w:spacing w:line="360" w:lineRule="exact"/>
              <w:jc w:val="center"/>
              <w:rPr>
                <w:rFonts w:ascii="宋体" w:hAnsi="宋体"/>
                <w:szCs w:val="21"/>
              </w:rPr>
            </w:pPr>
            <w:r>
              <w:rPr>
                <w:rFonts w:hint="eastAsia" w:ascii="宋体" w:hAnsi="宋体"/>
                <w:szCs w:val="21"/>
              </w:rPr>
              <w:t>评标方式</w:t>
            </w:r>
          </w:p>
        </w:tc>
        <w:tc>
          <w:tcPr>
            <w:tcW w:w="2868" w:type="dxa"/>
            <w:vAlign w:val="center"/>
          </w:tcPr>
          <w:p>
            <w:pPr>
              <w:spacing w:line="360" w:lineRule="exact"/>
              <w:jc w:val="center"/>
              <w:rPr>
                <w:rFonts w:ascii="宋体" w:hAnsi="宋体"/>
                <w:szCs w:val="21"/>
              </w:rPr>
            </w:pPr>
            <w:r>
              <w:rPr>
                <w:rFonts w:hint="eastAsia" w:hAnsi="宋体"/>
                <w:color w:val="000000"/>
                <w:szCs w:val="21"/>
              </w:rPr>
              <w:t>综合评分法，按得分高低进行排序，选择最高分厂家为此次采购的中标单位。</w:t>
            </w:r>
          </w:p>
        </w:tc>
        <w:tc>
          <w:tcPr>
            <w:tcW w:w="2194" w:type="dxa"/>
          </w:tcPr>
          <w:p>
            <w:pPr>
              <w:spacing w:line="360" w:lineRule="exact"/>
              <w:jc w:val="center"/>
              <w:rPr>
                <w:rFonts w:ascii="宋体" w:hAnsi="宋体"/>
                <w:szCs w:val="21"/>
              </w:rPr>
            </w:pPr>
          </w:p>
        </w:tc>
        <w:tc>
          <w:tcPr>
            <w:tcW w:w="219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15" w:type="dxa"/>
            <w:vAlign w:val="center"/>
          </w:tcPr>
          <w:p>
            <w:pPr>
              <w:spacing w:line="360" w:lineRule="exact"/>
              <w:jc w:val="center"/>
              <w:rPr>
                <w:rFonts w:ascii="宋体" w:hAnsi="宋体"/>
                <w:szCs w:val="21"/>
              </w:rPr>
            </w:pPr>
            <w:r>
              <w:rPr>
                <w:rFonts w:hint="eastAsia" w:ascii="宋体" w:hAnsi="宋体"/>
                <w:szCs w:val="21"/>
              </w:rPr>
              <w:t>评分标准</w:t>
            </w:r>
          </w:p>
        </w:tc>
        <w:tc>
          <w:tcPr>
            <w:tcW w:w="2868" w:type="dxa"/>
            <w:vAlign w:val="center"/>
          </w:tcPr>
          <w:p>
            <w:pPr>
              <w:spacing w:line="360" w:lineRule="exact"/>
              <w:jc w:val="center"/>
              <w:rPr>
                <w:rFonts w:ascii="宋体" w:hAnsi="宋体"/>
                <w:szCs w:val="21"/>
              </w:rPr>
            </w:pPr>
            <w:r>
              <w:rPr>
                <w:rFonts w:hint="eastAsia" w:ascii="宋体" w:hAnsi="宋体"/>
                <w:szCs w:val="21"/>
              </w:rPr>
              <w:t>综合评分表</w:t>
            </w:r>
          </w:p>
        </w:tc>
        <w:tc>
          <w:tcPr>
            <w:tcW w:w="2194" w:type="dxa"/>
          </w:tcPr>
          <w:p>
            <w:pPr>
              <w:spacing w:line="360" w:lineRule="exact"/>
              <w:jc w:val="center"/>
              <w:rPr>
                <w:rFonts w:ascii="宋体" w:hAnsi="宋体"/>
                <w:szCs w:val="21"/>
              </w:rPr>
            </w:pPr>
          </w:p>
        </w:tc>
        <w:tc>
          <w:tcPr>
            <w:tcW w:w="219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15" w:type="dxa"/>
            <w:vAlign w:val="center"/>
          </w:tcPr>
          <w:p>
            <w:pPr>
              <w:spacing w:line="360" w:lineRule="exact"/>
              <w:jc w:val="center"/>
              <w:rPr>
                <w:rFonts w:ascii="宋体" w:hAnsi="宋体"/>
                <w:szCs w:val="21"/>
              </w:rPr>
            </w:pPr>
            <w:r>
              <w:rPr>
                <w:rFonts w:hint="eastAsia" w:ascii="宋体" w:hAnsi="宋体"/>
                <w:szCs w:val="21"/>
              </w:rPr>
              <w:t>合同样式</w:t>
            </w:r>
          </w:p>
        </w:tc>
        <w:tc>
          <w:tcPr>
            <w:tcW w:w="2868" w:type="dxa"/>
            <w:vAlign w:val="center"/>
          </w:tcPr>
          <w:p>
            <w:pPr>
              <w:spacing w:line="360" w:lineRule="exact"/>
              <w:jc w:val="center"/>
              <w:rPr>
                <w:rFonts w:ascii="宋体" w:hAnsi="宋体"/>
                <w:szCs w:val="21"/>
              </w:rPr>
            </w:pPr>
            <w:r>
              <w:rPr>
                <w:rFonts w:hint="eastAsia" w:ascii="宋体" w:hAnsi="宋体"/>
                <w:szCs w:val="21"/>
              </w:rPr>
              <w:t>合同范本</w:t>
            </w:r>
          </w:p>
        </w:tc>
        <w:tc>
          <w:tcPr>
            <w:tcW w:w="2194" w:type="dxa"/>
          </w:tcPr>
          <w:p>
            <w:pPr>
              <w:spacing w:line="360" w:lineRule="exact"/>
              <w:jc w:val="center"/>
              <w:rPr>
                <w:rFonts w:ascii="宋体" w:hAnsi="宋体"/>
                <w:szCs w:val="21"/>
              </w:rPr>
            </w:pPr>
          </w:p>
        </w:tc>
        <w:tc>
          <w:tcPr>
            <w:tcW w:w="2194" w:type="dxa"/>
          </w:tcPr>
          <w:p>
            <w:pPr>
              <w:spacing w:line="360" w:lineRule="exact"/>
              <w:jc w:val="center"/>
              <w:rPr>
                <w:rFonts w:ascii="宋体" w:hAnsi="宋体"/>
                <w:szCs w:val="21"/>
              </w:rPr>
            </w:pPr>
          </w:p>
        </w:tc>
      </w:tr>
    </w:tbl>
    <w:p>
      <w:pPr>
        <w:rPr>
          <w:rFonts w:ascii="宋体" w:hAnsi="宋体" w:cs="宋体"/>
          <w:b/>
          <w:color w:val="000000"/>
          <w:kern w:val="0"/>
          <w:sz w:val="24"/>
        </w:rPr>
      </w:pPr>
    </w:p>
    <w:p>
      <w:pPr>
        <w:rPr>
          <w:color w:val="000000"/>
        </w:rPr>
      </w:pPr>
      <w:r>
        <w:rPr>
          <w:rFonts w:hint="eastAsia"/>
          <w:color w:val="000000"/>
        </w:rPr>
        <w:t>（针对恒达技术要求进行确认是否响应满足，如有不响应，请备注）</w:t>
      </w: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u w:val="single"/>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rPr>
          <w:rFonts w:ascii="黑体" w:hAnsi="宋体" w:eastAsia="黑体" w:cs="宋体"/>
          <w:color w:val="000000"/>
          <w:kern w:val="0"/>
          <w:sz w:val="24"/>
        </w:rPr>
      </w:pPr>
    </w:p>
    <w:p>
      <w:pPr>
        <w:spacing w:line="520" w:lineRule="exact"/>
      </w:pPr>
    </w:p>
    <w:p>
      <w:pPr>
        <w:spacing w:line="520" w:lineRule="exact"/>
      </w:pPr>
      <w:r>
        <w:rPr>
          <w:rFonts w:hint="eastAsia"/>
        </w:rPr>
        <w:t>附件五</w:t>
      </w: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 xml:space="preserve">配置明细表 </w:t>
      </w:r>
    </w:p>
    <w:p>
      <w:pPr>
        <w:widowControl/>
        <w:spacing w:line="420" w:lineRule="exact"/>
        <w:jc w:val="center"/>
        <w:rPr>
          <w:rFonts w:ascii="黑体" w:hAnsi="宋体" w:eastAsia="黑体" w:cs="宋体"/>
          <w:color w:val="000000"/>
          <w:kern w:val="0"/>
          <w:sz w:val="24"/>
        </w:rPr>
      </w:pPr>
    </w:p>
    <w:tbl>
      <w:tblPr>
        <w:tblStyle w:val="18"/>
        <w:tblW w:w="8804"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439"/>
        <w:gridCol w:w="2828"/>
        <w:gridCol w:w="2411"/>
        <w:gridCol w:w="212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设备厂家</w:t>
            </w:r>
          </w:p>
        </w:tc>
        <w:tc>
          <w:tcPr>
            <w:tcW w:w="2411"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品牌/型号/厂家</w:t>
            </w:r>
          </w:p>
        </w:tc>
        <w:tc>
          <w:tcPr>
            <w:tcW w:w="2126"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w:t>
            </w:r>
          </w:p>
        </w:tc>
        <w:tc>
          <w:tcPr>
            <w:tcW w:w="2828"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主要设备配件</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1.1.1</w:t>
            </w:r>
          </w:p>
        </w:tc>
        <w:tc>
          <w:tcPr>
            <w:tcW w:w="2828"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主要备件一：振动电机</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1.1.2</w:t>
            </w:r>
          </w:p>
        </w:tc>
        <w:tc>
          <w:tcPr>
            <w:tcW w:w="2828"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主要备件二: 振动弹簧</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1.1.3</w:t>
            </w:r>
          </w:p>
        </w:tc>
        <w:tc>
          <w:tcPr>
            <w:tcW w:w="2828"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主要备件三：变频器</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建议选用四方E550系列</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1.1.4</w:t>
            </w:r>
          </w:p>
        </w:tc>
        <w:tc>
          <w:tcPr>
            <w:tcW w:w="2828"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主要备件四: 交流接触器</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1.1.5</w:t>
            </w:r>
          </w:p>
        </w:tc>
        <w:tc>
          <w:tcPr>
            <w:tcW w:w="2828"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主要备件五：热继电器</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1.1.6</w:t>
            </w:r>
          </w:p>
        </w:tc>
        <w:tc>
          <w:tcPr>
            <w:tcW w:w="2828"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主要备件六：中间继电器</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1.1.7</w:t>
            </w:r>
          </w:p>
        </w:tc>
        <w:tc>
          <w:tcPr>
            <w:tcW w:w="2828"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主要备件七：断路器</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1.1.8</w:t>
            </w:r>
          </w:p>
        </w:tc>
        <w:tc>
          <w:tcPr>
            <w:tcW w:w="2828"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主要备件八：时间继电器</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widowControl/>
        <w:spacing w:line="420" w:lineRule="exact"/>
        <w:jc w:val="left"/>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附件六</w:t>
      </w:r>
    </w:p>
    <w:p>
      <w:pPr>
        <w:spacing w:line="520" w:lineRule="exact"/>
      </w:pP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tbl>
      <w:tblPr>
        <w:tblStyle w:val="18"/>
        <w:tblW w:w="9283" w:type="dxa"/>
        <w:jc w:val="center"/>
        <w:tblLayout w:type="autofit"/>
        <w:tblCellMar>
          <w:top w:w="0" w:type="dxa"/>
          <w:left w:w="108" w:type="dxa"/>
          <w:bottom w:w="0" w:type="dxa"/>
          <w:right w:w="108" w:type="dxa"/>
        </w:tblCellMar>
      </w:tblPr>
      <w:tblGrid>
        <w:gridCol w:w="1541"/>
        <w:gridCol w:w="1080"/>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5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振动光饰机</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30L</w:t>
            </w: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振动光饰机</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50L</w:t>
            </w: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51"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总价：</w:t>
            </w:r>
          </w:p>
        </w:tc>
      </w:tr>
    </w:tbl>
    <w:p>
      <w:pPr>
        <w:rPr>
          <w:color w:val="000000"/>
        </w:rPr>
      </w:pPr>
    </w:p>
    <w:p>
      <w:pPr>
        <w:rPr>
          <w:rFonts w:ascii="宋体" w:hAnsi="宋体" w:cs="宋体"/>
          <w:color w:val="000000"/>
          <w:kern w:val="0"/>
          <w:sz w:val="22"/>
          <w:szCs w:val="22"/>
        </w:rPr>
      </w:pPr>
      <w:r>
        <w:rPr>
          <w:rFonts w:hint="eastAsia" w:ascii="宋体" w:hAnsi="宋体" w:cs="宋体"/>
          <w:color w:val="000000"/>
          <w:kern w:val="0"/>
          <w:sz w:val="22"/>
          <w:szCs w:val="22"/>
        </w:rPr>
        <w:t>单位：元币种：人民币</w:t>
      </w:r>
    </w:p>
    <w:p>
      <w:pPr>
        <w:widowControl/>
        <w:spacing w:line="420" w:lineRule="exact"/>
        <w:jc w:val="left"/>
        <w:rPr>
          <w:rFonts w:ascii="宋体" w:hAnsi="宋体" w:cs="宋体"/>
          <w:color w:val="000000"/>
          <w:kern w:val="0"/>
          <w:sz w:val="22"/>
          <w:szCs w:val="22"/>
        </w:rPr>
      </w:pPr>
    </w:p>
    <w:p>
      <w:pPr>
        <w:widowControl/>
        <w:spacing w:line="420" w:lineRule="exact"/>
        <w:jc w:val="left"/>
        <w:rPr>
          <w:rFonts w:ascii="宋体" w:hAnsi="宋体" w:cs="宋体"/>
          <w:color w:val="000000"/>
          <w:kern w:val="0"/>
          <w:sz w:val="22"/>
          <w:szCs w:val="22"/>
        </w:rPr>
      </w:pPr>
    </w:p>
    <w:p>
      <w:pPr>
        <w:widowControl/>
        <w:spacing w:line="420" w:lineRule="exact"/>
        <w:jc w:val="left"/>
        <w:rPr>
          <w:rFonts w:ascii="宋体" w:hAnsi="宋体" w:cs="宋体"/>
          <w:color w:val="000000"/>
          <w:kern w:val="0"/>
          <w:sz w:val="22"/>
          <w:szCs w:val="22"/>
        </w:rPr>
      </w:pPr>
    </w:p>
    <w:p>
      <w:pPr>
        <w:widowControl/>
        <w:spacing w:line="420" w:lineRule="exact"/>
        <w:jc w:val="left"/>
        <w:rPr>
          <w:rFonts w:ascii="宋体" w:hAnsi="宋体" w:cs="宋体"/>
          <w:color w:val="000000"/>
          <w:kern w:val="0"/>
          <w:sz w:val="22"/>
          <w:szCs w:val="22"/>
        </w:rPr>
      </w:pPr>
    </w:p>
    <w:p>
      <w:pPr>
        <w:widowControl/>
        <w:spacing w:line="420" w:lineRule="exact"/>
        <w:jc w:val="left"/>
        <w:rPr>
          <w:rFonts w:ascii="宋体" w:hAnsi="宋体" w:cs="宋体"/>
          <w:color w:val="000000"/>
          <w:kern w:val="0"/>
          <w:sz w:val="22"/>
          <w:szCs w:val="22"/>
        </w:rPr>
      </w:pP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spacing w:line="520" w:lineRule="exact"/>
      </w:pPr>
      <w:r>
        <w:rPr>
          <w:rFonts w:hint="eastAsia"/>
        </w:rPr>
        <w:t>附件七</w:t>
      </w:r>
    </w:p>
    <w:p>
      <w:pPr>
        <w:spacing w:line="520" w:lineRule="exact"/>
      </w:pP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设备外形尺寸表</w:t>
      </w:r>
    </w:p>
    <w:tbl>
      <w:tblPr>
        <w:tblStyle w:val="18"/>
        <w:tblW w:w="8565" w:type="dxa"/>
        <w:tblInd w:w="0" w:type="dxa"/>
        <w:tblLayout w:type="autofit"/>
        <w:tblCellMar>
          <w:top w:w="0" w:type="dxa"/>
          <w:left w:w="108" w:type="dxa"/>
          <w:bottom w:w="0" w:type="dxa"/>
          <w:right w:w="108" w:type="dxa"/>
        </w:tblCellMar>
      </w:tblPr>
      <w:tblGrid>
        <w:gridCol w:w="1477"/>
        <w:gridCol w:w="1560"/>
        <w:gridCol w:w="1417"/>
        <w:gridCol w:w="1276"/>
        <w:gridCol w:w="1276"/>
        <w:gridCol w:w="1559"/>
      </w:tblGrid>
      <w:tr>
        <w:tblPrEx>
          <w:tblCellMar>
            <w:top w:w="0" w:type="dxa"/>
            <w:left w:w="108" w:type="dxa"/>
            <w:bottom w:w="0" w:type="dxa"/>
            <w:right w:w="108" w:type="dxa"/>
          </w:tblCellMar>
        </w:tblPrEx>
        <w:trPr>
          <w:trHeight w:val="270" w:hRule="atLeast"/>
        </w:trPr>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机型</w:t>
            </w:r>
          </w:p>
        </w:tc>
        <w:tc>
          <w:tcPr>
            <w:tcW w:w="15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ΦA(mm)</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ΦB(mm)</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ΦC(mm)</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H1(mm)</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H2(mm)</w:t>
            </w:r>
          </w:p>
        </w:tc>
      </w:tr>
      <w:tr>
        <w:tblPrEx>
          <w:tblCellMar>
            <w:top w:w="0" w:type="dxa"/>
            <w:left w:w="108" w:type="dxa"/>
            <w:bottom w:w="0" w:type="dxa"/>
            <w:right w:w="108" w:type="dxa"/>
          </w:tblCellMar>
        </w:tblPrEx>
        <w:trPr>
          <w:trHeight w:val="270" w:hRule="atLeast"/>
        </w:trPr>
        <w:tc>
          <w:tcPr>
            <w:tcW w:w="147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30L</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p>
        </w:tc>
      </w:tr>
      <w:tr>
        <w:tblPrEx>
          <w:tblCellMar>
            <w:top w:w="0" w:type="dxa"/>
            <w:left w:w="108" w:type="dxa"/>
            <w:bottom w:w="0" w:type="dxa"/>
            <w:right w:w="108" w:type="dxa"/>
          </w:tblCellMar>
        </w:tblPrEx>
        <w:trPr>
          <w:trHeight w:val="270" w:hRule="atLeast"/>
        </w:trPr>
        <w:tc>
          <w:tcPr>
            <w:tcW w:w="147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50L</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p>
        </w:tc>
      </w:tr>
    </w:tbl>
    <w:p>
      <w:pPr>
        <w:rPr>
          <w:color w:val="000000"/>
        </w:rPr>
      </w:pPr>
    </w:p>
    <w:p>
      <w:pPr>
        <w:rPr>
          <w:color w:val="000000"/>
        </w:rPr>
      </w:pPr>
    </w:p>
    <w:p>
      <w:pPr>
        <w:rPr>
          <w:color w:val="000000"/>
        </w:rPr>
      </w:pPr>
    </w:p>
    <w:p>
      <w:pPr>
        <w:rPr>
          <w:color w:val="000000"/>
        </w:rPr>
      </w:pPr>
    </w:p>
    <w:p>
      <w:pPr>
        <w:jc w:val="center"/>
        <w:rPr>
          <w:rFonts w:ascii="黑体" w:hAnsi="宋体" w:eastAsia="黑体" w:cs="宋体"/>
          <w:color w:val="000000"/>
          <w:kern w:val="0"/>
          <w:sz w:val="24"/>
        </w:rPr>
      </w:pPr>
      <w:r>
        <w:rPr>
          <w:rFonts w:hint="eastAsia" w:ascii="黑体" w:hAnsi="宋体" w:eastAsia="黑体" w:cs="宋体"/>
          <w:color w:val="000000"/>
          <w:kern w:val="0"/>
          <w:sz w:val="24"/>
        </w:rPr>
        <w:t>性能要求尺寸参数表</w:t>
      </w:r>
    </w:p>
    <w:tbl>
      <w:tblPr>
        <w:tblStyle w:val="18"/>
        <w:tblW w:w="8804" w:type="dxa"/>
        <w:tblInd w:w="93" w:type="dxa"/>
        <w:tblLayout w:type="autofit"/>
        <w:tblCellMar>
          <w:top w:w="0" w:type="dxa"/>
          <w:left w:w="108" w:type="dxa"/>
          <w:bottom w:w="0" w:type="dxa"/>
          <w:right w:w="108" w:type="dxa"/>
        </w:tblCellMar>
      </w:tblPr>
      <w:tblGrid>
        <w:gridCol w:w="3120"/>
        <w:gridCol w:w="1573"/>
        <w:gridCol w:w="1559"/>
        <w:gridCol w:w="2552"/>
      </w:tblGrid>
      <w:tr>
        <w:tblPrEx>
          <w:tblCellMar>
            <w:top w:w="0" w:type="dxa"/>
            <w:left w:w="108" w:type="dxa"/>
            <w:bottom w:w="0" w:type="dxa"/>
            <w:right w:w="108" w:type="dxa"/>
          </w:tblCellMar>
        </w:tblPrEx>
        <w:trPr>
          <w:trHeight w:val="540" w:hRule="atLeast"/>
        </w:trPr>
        <w:tc>
          <w:tcPr>
            <w:tcW w:w="3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尺寸名称</w:t>
            </w:r>
          </w:p>
        </w:tc>
        <w:tc>
          <w:tcPr>
            <w:tcW w:w="157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对应字母代码及尺寸要求参考值（mm）</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对应字母代码及尺寸要求实际设计值（mm）</w:t>
            </w:r>
          </w:p>
        </w:tc>
        <w:tc>
          <w:tcPr>
            <w:tcW w:w="255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差异说明</w:t>
            </w:r>
          </w:p>
        </w:tc>
      </w:tr>
      <w:tr>
        <w:tblPrEx>
          <w:tblCellMar>
            <w:top w:w="0" w:type="dxa"/>
            <w:left w:w="108" w:type="dxa"/>
            <w:bottom w:w="0" w:type="dxa"/>
            <w:right w:w="108" w:type="dxa"/>
          </w:tblCellMar>
        </w:tblPrEx>
        <w:trPr>
          <w:trHeight w:val="54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护罩与固定座间距</w:t>
            </w:r>
          </w:p>
        </w:tc>
        <w:tc>
          <w:tcPr>
            <w:tcW w:w="157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15≤a≤30</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52"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4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护罩盖过固定座的间距</w:t>
            </w:r>
          </w:p>
        </w:tc>
        <w:tc>
          <w:tcPr>
            <w:tcW w:w="157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50≤b≤100</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52"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电机固定板厚度</w:t>
            </w:r>
          </w:p>
        </w:tc>
        <w:tc>
          <w:tcPr>
            <w:tcW w:w="157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15≤c≤25</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52"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弹簧固定板厚度</w:t>
            </w:r>
          </w:p>
        </w:tc>
        <w:tc>
          <w:tcPr>
            <w:tcW w:w="157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15≤d≤25</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52"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电机固定座与摆锤的间距</w:t>
            </w:r>
          </w:p>
        </w:tc>
        <w:tc>
          <w:tcPr>
            <w:tcW w:w="157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15≤e≤50</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52"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弹簧固定板与摆锤的间距</w:t>
            </w:r>
          </w:p>
        </w:tc>
        <w:tc>
          <w:tcPr>
            <w:tcW w:w="157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15≤f≤50</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52"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4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弹簧固定套内圆形钢台的高度</w:t>
            </w:r>
          </w:p>
        </w:tc>
        <w:tc>
          <w:tcPr>
            <w:tcW w:w="157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25≤g≤35</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52"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电机固定螺孔</w:t>
            </w:r>
          </w:p>
        </w:tc>
        <w:tc>
          <w:tcPr>
            <w:tcW w:w="157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≥M12</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52"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bl>
    <w:p>
      <w:pPr>
        <w:rPr>
          <w:color w:val="000000"/>
        </w:rPr>
      </w:pPr>
    </w:p>
    <w:p>
      <w:pPr>
        <w:rPr>
          <w:color w:val="000000"/>
        </w:rPr>
      </w:pPr>
    </w:p>
    <w:p>
      <w:pPr>
        <w:rPr>
          <w:color w:val="000000"/>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spacing w:line="520" w:lineRule="exact"/>
      </w:pPr>
    </w:p>
    <w:p>
      <w:pPr>
        <w:spacing w:line="520" w:lineRule="exact"/>
      </w:pPr>
    </w:p>
    <w:p>
      <w:pPr>
        <w:spacing w:line="520" w:lineRule="exact"/>
      </w:pPr>
    </w:p>
    <w:p>
      <w:pPr>
        <w:spacing w:line="520" w:lineRule="exact"/>
      </w:pPr>
    </w:p>
    <w:p>
      <w:pPr>
        <w:spacing w:line="520" w:lineRule="exact"/>
      </w:pPr>
      <w:r>
        <w:rPr>
          <w:rFonts w:hint="eastAsia"/>
        </w:rPr>
        <w:t>附件八</w:t>
      </w:r>
    </w:p>
    <w:p>
      <w:pPr>
        <w:ind w:right="480"/>
        <w:jc w:val="center"/>
        <w:rPr>
          <w:color w:val="000000"/>
          <w:sz w:val="28"/>
          <w:szCs w:val="28"/>
        </w:rPr>
      </w:pPr>
      <w:r>
        <w:rPr>
          <w:rFonts w:hint="eastAsia"/>
          <w:color w:val="000000"/>
          <w:sz w:val="28"/>
          <w:szCs w:val="28"/>
        </w:rPr>
        <w:t>综合评分表</w:t>
      </w:r>
    </w:p>
    <w:p>
      <w:pPr>
        <w:ind w:right="480"/>
        <w:jc w:val="left"/>
        <w:rPr>
          <w:color w:val="000000"/>
          <w:sz w:val="24"/>
          <w:szCs w:val="28"/>
        </w:rPr>
      </w:pPr>
      <w:r>
        <w:rPr>
          <w:rFonts w:hint="eastAsia"/>
          <w:color w:val="000000"/>
          <w:sz w:val="24"/>
          <w:szCs w:val="28"/>
        </w:rPr>
        <w:t>供应商：</w:t>
      </w:r>
    </w:p>
    <w:tbl>
      <w:tblPr>
        <w:tblStyle w:val="18"/>
        <w:tblpPr w:leftFromText="180" w:rightFromText="180" w:vertAnchor="page" w:horzAnchor="margin" w:tblpY="3346"/>
        <w:tblW w:w="10456" w:type="dxa"/>
        <w:tblInd w:w="0" w:type="dxa"/>
        <w:tblLayout w:type="autofit"/>
        <w:tblCellMar>
          <w:top w:w="0" w:type="dxa"/>
          <w:left w:w="108" w:type="dxa"/>
          <w:bottom w:w="0" w:type="dxa"/>
          <w:right w:w="108" w:type="dxa"/>
        </w:tblCellMar>
      </w:tblPr>
      <w:tblGrid>
        <w:gridCol w:w="620"/>
        <w:gridCol w:w="1805"/>
        <w:gridCol w:w="851"/>
        <w:gridCol w:w="4629"/>
        <w:gridCol w:w="992"/>
        <w:gridCol w:w="1559"/>
      </w:tblGrid>
      <w:tr>
        <w:tblPrEx>
          <w:tblCellMar>
            <w:top w:w="0" w:type="dxa"/>
            <w:left w:w="108" w:type="dxa"/>
            <w:bottom w:w="0" w:type="dxa"/>
            <w:right w:w="108" w:type="dxa"/>
          </w:tblCellMar>
        </w:tblPrEx>
        <w:trPr>
          <w:trHeight w:val="312" w:hRule="atLeast"/>
        </w:trPr>
        <w:tc>
          <w:tcPr>
            <w:tcW w:w="6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80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85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462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992"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55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80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462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992"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55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25</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满分25分，得分=满分值（25）*最低报价/报价</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0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性能要求尺寸参数</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16</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满分16分，每偏离1项扣1分，未提供偏离理由加扣1分。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数据列入合同附件</w:t>
            </w:r>
          </w:p>
        </w:tc>
      </w:tr>
      <w:tr>
        <w:tblPrEx>
          <w:tblCellMar>
            <w:top w:w="0" w:type="dxa"/>
            <w:left w:w="108" w:type="dxa"/>
            <w:bottom w:w="0" w:type="dxa"/>
            <w:right w:w="108" w:type="dxa"/>
          </w:tblCellMar>
        </w:tblPrEx>
        <w:trPr>
          <w:trHeight w:val="70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电气控制系统</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满分10分，选用品牌变频器：5分；其它对应第二部分第3点，每满足一项得1分。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知名品牌/优选品牌</w:t>
            </w:r>
          </w:p>
        </w:tc>
      </w:tr>
      <w:tr>
        <w:tblPrEx>
          <w:tblCellMar>
            <w:top w:w="0" w:type="dxa"/>
            <w:left w:w="108" w:type="dxa"/>
            <w:bottom w:w="0" w:type="dxa"/>
            <w:right w:w="108" w:type="dxa"/>
          </w:tblCellMar>
        </w:tblPrEx>
        <w:trPr>
          <w:trHeight w:val="114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振动频率及动力选择</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14</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满分14分，满载正常工作频率：30HZ及以下得4分，30-40HZ得8分，40HZ及以上得4分。选用知名防水振动电机得6分，选用普通防水电机得3分，选用普通振动电机不得分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提供样机或已供厂家测试效果和电机厂家信息</w:t>
            </w:r>
          </w:p>
        </w:tc>
      </w:tr>
      <w:tr>
        <w:tblPrEx>
          <w:tblCellMar>
            <w:top w:w="0" w:type="dxa"/>
            <w:left w:w="108" w:type="dxa"/>
            <w:bottom w:w="0" w:type="dxa"/>
            <w:right w:w="108" w:type="dxa"/>
          </w:tblCellMar>
        </w:tblPrEx>
        <w:trPr>
          <w:trHeight w:val="70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安全保护与措施</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满分5分，参照第三部分第三条第三点，每缺失一项扣2分。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58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振动电机质保：2年以下0分，2年到3年得4分，3年及以上得6分；配套赠送配件每项加1分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2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满分10分，所必须附件每缺失一份扣2分。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w:t>
            </w:r>
          </w:p>
        </w:tc>
      </w:tr>
      <w:tr>
        <w:tblPrEx>
          <w:tblCellMar>
            <w:top w:w="0" w:type="dxa"/>
            <w:left w:w="108" w:type="dxa"/>
            <w:bottom w:w="0" w:type="dxa"/>
            <w:right w:w="108" w:type="dxa"/>
          </w:tblCellMar>
        </w:tblPrEx>
        <w:trPr>
          <w:trHeight w:val="69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文件资料完整性</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满分5分，所需文件每缺失1份扣1分。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4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商务要求响应完整性</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满分5分，未响应1项扣除1分，未提供不响应的理由加扣2分。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0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462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ind w:right="480"/>
        <w:jc w:val="left"/>
        <w:rPr>
          <w:color w:val="000000"/>
          <w:sz w:val="24"/>
          <w:szCs w:val="28"/>
        </w:rPr>
      </w:pPr>
    </w:p>
    <w:p>
      <w:pPr>
        <w:ind w:right="480"/>
        <w:rPr>
          <w:color w:val="000000"/>
        </w:rPr>
      </w:pPr>
      <w:r>
        <w:rPr>
          <w:rFonts w:hint="eastAsia"/>
          <w:color w:val="000000"/>
        </w:rPr>
        <w:t>评分人：日期</w:t>
      </w:r>
    </w:p>
    <w:p>
      <w:pPr>
        <w:ind w:right="480"/>
        <w:rPr>
          <w:color w:val="000000"/>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r>
        <w:rPr>
          <w:rFonts w:hint="eastAsia"/>
          <w:sz w:val="32"/>
        </w:rPr>
        <w:t>第四部分商务部分（合同条款）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Lines="50" w:afterLines="50" w:line="520" w:lineRule="exact"/>
        <w:jc w:val="center"/>
        <w:rPr>
          <w:rFonts w:eastAsia="仿宋_GB2312"/>
          <w:b/>
          <w:bCs/>
          <w:sz w:val="28"/>
        </w:rPr>
      </w:pPr>
      <w:r>
        <w:rPr>
          <w:rFonts w:hint="eastAsia" w:eastAsia="仿宋_GB2312"/>
          <w:b/>
          <w:bCs/>
          <w:sz w:val="28"/>
        </w:rPr>
        <w:t>第一章合同标的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振动光饰机</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30L</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0" w:type="dxa"/>
            <w:vAlign w:val="center"/>
          </w:tcPr>
          <w:p>
            <w:pPr>
              <w:spacing w:line="520" w:lineRule="exact"/>
              <w:jc w:val="center"/>
              <w:rPr>
                <w:rFonts w:ascii="仿宋_GB2312" w:eastAsia="仿宋_GB2312"/>
                <w:sz w:val="24"/>
              </w:rPr>
            </w:pPr>
            <w:r>
              <w:rPr>
                <w:rFonts w:ascii="仿宋_GB2312" w:eastAsia="仿宋_GB2312"/>
                <w:sz w:val="24"/>
              </w:rPr>
              <w:t>2</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Merge w:val="restart"/>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振动光饰机</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50L</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2</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Merge w:val="continue"/>
            <w:vAlign w:val="center"/>
          </w:tcPr>
          <w:p>
            <w:pPr>
              <w:spacing w:line="52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Lines="50" w:afterLines="50" w:line="520" w:lineRule="exact"/>
        <w:jc w:val="center"/>
        <w:rPr>
          <w:rFonts w:eastAsia="仿宋_GB2312"/>
          <w:b/>
          <w:bCs/>
          <w:sz w:val="28"/>
        </w:rPr>
      </w:pPr>
      <w:r>
        <w:rPr>
          <w:rFonts w:hint="eastAsia" w:eastAsia="仿宋_GB2312"/>
          <w:b/>
          <w:bCs/>
          <w:sz w:val="28"/>
        </w:rPr>
        <w:t>第二章合同价款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left="558" w:leftChars="266"/>
        <w:jc w:val="left"/>
        <w:rPr>
          <w:rFonts w:ascii="仿宋_GB2312" w:eastAsia="仿宋_GB2312"/>
          <w:kern w:val="0"/>
          <w:sz w:val="28"/>
          <w:szCs w:val="18"/>
        </w:rPr>
      </w:pPr>
      <w:r>
        <w:rPr>
          <w:rFonts w:ascii="仿宋_GB2312" w:eastAsia="仿宋_GB2312"/>
          <w:sz w:val="28"/>
        </w:rPr>
        <w:t>1</w:t>
      </w:r>
      <w:r>
        <w:rPr>
          <w:rFonts w:hint="eastAsia" w:ascii="仿宋_GB2312" w:eastAsia="仿宋_GB2312"/>
          <w:sz w:val="28"/>
        </w:rPr>
        <w:t>、</w:t>
      </w:r>
      <w:r>
        <w:rPr>
          <w:rFonts w:ascii="仿宋_GB2312" w:eastAsia="仿宋_GB2312"/>
          <w:kern w:val="0"/>
          <w:sz w:val="28"/>
          <w:szCs w:val="18"/>
        </w:rPr>
        <w:t>第一期付款：合同签订后</w:t>
      </w:r>
      <w:r>
        <w:rPr>
          <w:rFonts w:hint="eastAsia" w:ascii="仿宋_GB2312" w:eastAsia="仿宋_GB2312"/>
          <w:kern w:val="0"/>
          <w:sz w:val="28"/>
          <w:szCs w:val="18"/>
          <w:u w:val="single"/>
        </w:rPr>
        <w:t>7</w:t>
      </w:r>
      <w:r>
        <w:rPr>
          <w:rFonts w:ascii="仿宋_GB2312" w:eastAsia="仿宋_GB2312"/>
          <w:kern w:val="0"/>
          <w:sz w:val="28"/>
          <w:szCs w:val="18"/>
        </w:rPr>
        <w:t xml:space="preserve">个工作日内支付合同总价款的 </w:t>
      </w:r>
      <w:r>
        <w:rPr>
          <w:rFonts w:hint="eastAsia" w:ascii="仿宋_GB2312" w:eastAsia="仿宋_GB2312"/>
          <w:kern w:val="0"/>
          <w:sz w:val="28"/>
          <w:szCs w:val="18"/>
          <w:u w:val="single"/>
        </w:rPr>
        <w:t>30</w:t>
      </w:r>
      <w:r>
        <w:rPr>
          <w:rFonts w:ascii="仿宋_GB2312" w:eastAsia="仿宋_GB2312"/>
          <w:kern w:val="0"/>
          <w:sz w:val="28"/>
          <w:szCs w:val="18"/>
        </w:rPr>
        <w:t>%</w:t>
      </w:r>
      <w:r>
        <w:rPr>
          <w:rFonts w:hint="eastAsia" w:ascii="仿宋_GB2312" w:eastAsia="仿宋_GB2312"/>
          <w:kern w:val="0"/>
          <w:sz w:val="28"/>
          <w:szCs w:val="18"/>
        </w:rPr>
        <w:t>，</w:t>
      </w:r>
    </w:p>
    <w:p>
      <w:pPr>
        <w:pStyle w:val="41"/>
        <w:rPr>
          <w:rFonts w:ascii="仿宋_GB2312" w:eastAsia="仿宋_GB2312" w:cs="Times New Roman"/>
          <w:color w:val="auto"/>
          <w:kern w:val="2"/>
          <w:sz w:val="28"/>
        </w:rPr>
      </w:pPr>
      <w:r>
        <w:rPr>
          <w:rFonts w:hint="eastAsia" w:ascii="仿宋_GB2312" w:eastAsia="仿宋_GB2312"/>
          <w:sz w:val="28"/>
          <w:szCs w:val="18"/>
        </w:rPr>
        <w:t>即人民币</w:t>
      </w:r>
      <w:r>
        <w:rPr>
          <w:rFonts w:hint="eastAsia" w:ascii="仿宋_GB2312" w:eastAsia="仿宋_GB2312"/>
          <w:sz w:val="28"/>
          <w:szCs w:val="18"/>
          <w:u w:val="single"/>
          <w:lang w:val="en-US" w:eastAsia="zh-CN"/>
        </w:rPr>
        <w:t xml:space="preserve">    </w:t>
      </w:r>
      <w:r>
        <w:rPr>
          <w:rFonts w:hint="eastAsia" w:ascii="仿宋_GB2312" w:eastAsia="仿宋_GB2312"/>
          <w:sz w:val="28"/>
          <w:szCs w:val="18"/>
        </w:rPr>
        <w:t>元；</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、货到终验收合格后，乙方开具全额增值税发票后</w:t>
      </w:r>
      <w:r>
        <w:rPr>
          <w:rFonts w:ascii="仿宋_GB2312" w:eastAsia="仿宋_GB2312"/>
          <w:sz w:val="28"/>
          <w:u w:val="single"/>
        </w:rPr>
        <w:t>30</w:t>
      </w:r>
      <w:r>
        <w:rPr>
          <w:rFonts w:hint="eastAsia" w:ascii="仿宋_GB2312" w:eastAsia="仿宋_GB2312"/>
          <w:sz w:val="28"/>
        </w:rPr>
        <w:t>个工作日内支付合同总价款的</w:t>
      </w:r>
      <w:r>
        <w:rPr>
          <w:rFonts w:hint="eastAsia" w:ascii="仿宋_GB2312" w:eastAsia="仿宋_GB2312"/>
          <w:sz w:val="28"/>
          <w:u w:val="single"/>
          <w:lang w:val="en-US" w:eastAsia="zh-CN"/>
        </w:rPr>
        <w:t>65</w:t>
      </w:r>
      <w:r>
        <w:rPr>
          <w:rFonts w:ascii="仿宋_GB2312" w:eastAsia="仿宋_GB2312"/>
          <w:sz w:val="28"/>
          <w:u w:val="single"/>
        </w:rPr>
        <w:t xml:space="preserve"> </w:t>
      </w:r>
      <w:r>
        <w:rPr>
          <w:rFonts w:ascii="仿宋_GB2312" w:eastAsia="仿宋_GB2312"/>
          <w:sz w:val="28"/>
        </w:rPr>
        <w:t>%</w:t>
      </w:r>
      <w:r>
        <w:rPr>
          <w:rFonts w:hint="eastAsia" w:ascii="仿宋_GB2312" w:eastAsia="仿宋_GB2312"/>
          <w:sz w:val="28"/>
        </w:rPr>
        <w:t>，即人民币</w:t>
      </w:r>
      <w:r>
        <w:rPr>
          <w:rFonts w:hint="eastAsia" w:ascii="仿宋_GB2312" w:eastAsia="仿宋_GB2312"/>
          <w:sz w:val="28"/>
          <w:u w:val="single"/>
          <w:lang w:val="en-US" w:eastAsia="zh-CN"/>
        </w:rPr>
        <w:t xml:space="preserve">    </w:t>
      </w:r>
      <w:r>
        <w:rPr>
          <w:rFonts w:hint="eastAsia" w:ascii="仿宋_GB2312" w:eastAsia="仿宋_GB2312"/>
          <w:sz w:val="28"/>
          <w:lang w:val="en-US" w:eastAsia="zh-CN"/>
        </w:rPr>
        <w:t xml:space="preserve"> </w:t>
      </w:r>
      <w:r>
        <w:rPr>
          <w:rFonts w:hint="eastAsia" w:ascii="仿宋_GB2312" w:eastAsia="仿宋_GB2312"/>
          <w:sz w:val="28"/>
        </w:rPr>
        <w:t>元。</w:t>
      </w:r>
    </w:p>
    <w:p>
      <w:pPr>
        <w:spacing w:line="520" w:lineRule="exact"/>
        <w:ind w:firstLine="560" w:firstLineChars="200"/>
        <w:jc w:val="left"/>
        <w:rPr>
          <w:rFonts w:ascii="仿宋_GB2312" w:eastAsia="仿宋_GB2312"/>
          <w:sz w:val="28"/>
        </w:rPr>
      </w:pPr>
      <w:r>
        <w:rPr>
          <w:rFonts w:ascii="仿宋_GB2312" w:eastAsia="仿宋_GB2312"/>
          <w:sz w:val="28"/>
        </w:rPr>
        <w:t>3</w:t>
      </w:r>
      <w:r>
        <w:rPr>
          <w:rFonts w:hint="eastAsia" w:ascii="仿宋_GB2312" w:eastAsia="仿宋_GB2312"/>
          <w:sz w:val="28"/>
        </w:rPr>
        <w:t>、质量保证金为总价款的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，即人民币元，在设备终验收合格满</w:t>
      </w:r>
      <w:r>
        <w:rPr>
          <w:rFonts w:hint="eastAsia" w:ascii="仿宋_GB2312" w:eastAsia="仿宋_GB2312"/>
          <w:sz w:val="28"/>
          <w:u w:val="single"/>
        </w:rPr>
        <w:t>1</w:t>
      </w:r>
      <w:r>
        <w:rPr>
          <w:rFonts w:hint="eastAsia" w:ascii="仿宋_GB2312" w:eastAsia="仿宋_GB2312"/>
          <w:sz w:val="28"/>
        </w:rPr>
        <w:t>年后支付。</w:t>
      </w:r>
    </w:p>
    <w:p>
      <w:pPr>
        <w:spacing w:line="520" w:lineRule="exact"/>
        <w:ind w:firstLine="560" w:firstLineChars="200"/>
        <w:jc w:val="left"/>
        <w:rPr>
          <w:rFonts w:ascii="仿宋_GB2312" w:eastAsia="仿宋_GB2312"/>
          <w:sz w:val="28"/>
        </w:rPr>
      </w:pPr>
      <w:r>
        <w:rPr>
          <w:rFonts w:hint="eastAsia" w:ascii="仿宋_GB2312" w:eastAsia="仿宋_GB2312"/>
          <w:sz w:val="28"/>
        </w:rPr>
        <w:t>4、乙方须开具符合相关法规的税率为</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Lines="50" w:afterLines="50" w:line="520" w:lineRule="exact"/>
        <w:jc w:val="center"/>
        <w:rPr>
          <w:rFonts w:eastAsia="仿宋_GB2312"/>
          <w:b/>
          <w:bCs/>
          <w:sz w:val="28"/>
        </w:rPr>
      </w:pPr>
      <w:r>
        <w:rPr>
          <w:rFonts w:hint="eastAsia" w:eastAsia="仿宋_GB2312"/>
          <w:b/>
          <w:bCs/>
          <w:sz w:val="28"/>
        </w:rPr>
        <w:t>第三章设备验收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p>
    <w:p>
      <w:pPr>
        <w:spacing w:line="520" w:lineRule="exact"/>
        <w:ind w:firstLine="560" w:firstLineChars="200"/>
        <w:rPr>
          <w:rFonts w:ascii="仿宋_GB2312" w:eastAsia="仿宋_GB2312"/>
          <w:sz w:val="28"/>
        </w:rPr>
      </w:pPr>
      <w:r>
        <w:rPr>
          <w:rFonts w:hint="eastAsia" w:ascii="仿宋_GB2312" w:eastAsia="仿宋_GB2312"/>
          <w:sz w:val="28"/>
        </w:rPr>
        <w:t>1、设备预验收在乙方进行，按合同约定或乙方合格证、说明书标定的技术参数，进行静态精度指标、动态精度指标、功能、负荷试验等检测验定，形成书面记录。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机床定位精度在预验收时进行，终验收不再进行），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Lines="50" w:afterLines="50" w:line="520" w:lineRule="exact"/>
        <w:jc w:val="center"/>
        <w:rPr>
          <w:rFonts w:eastAsia="仿宋_GB2312"/>
          <w:b/>
          <w:bCs/>
          <w:sz w:val="28"/>
        </w:rPr>
      </w:pPr>
      <w:r>
        <w:rPr>
          <w:rFonts w:hint="eastAsia" w:eastAsia="仿宋_GB2312"/>
          <w:b/>
          <w:bCs/>
          <w:sz w:val="28"/>
        </w:rPr>
        <w:t>第四章交货时间、地点、方式及包装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hint="eastAsia" w:ascii="仿宋_GB2312" w:eastAsia="仿宋_GB2312"/>
          <w:i/>
          <w:iCs/>
          <w:kern w:val="0"/>
          <w:sz w:val="28"/>
          <w:szCs w:val="18"/>
          <w:u w:val="single"/>
          <w:lang w:val="en-US" w:eastAsia="zh-CN"/>
        </w:rPr>
        <w:t xml:space="preserve">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w:t>
      </w:r>
      <w:r>
        <w:rPr>
          <w:rFonts w:hint="eastAsia" w:ascii="仿宋_GB2312" w:eastAsia="仿宋_GB2312"/>
          <w:kern w:val="0"/>
          <w:sz w:val="28"/>
          <w:szCs w:val="18"/>
          <w:u w:val="single"/>
          <w:lang w:val="en-US" w:eastAsia="zh-CN"/>
        </w:rPr>
        <w:t xml:space="preserve">   </w:t>
      </w:r>
      <w:r>
        <w:rPr>
          <w:rFonts w:ascii="仿宋_GB2312" w:eastAsia="仿宋_GB2312"/>
          <w:kern w:val="0"/>
          <w:sz w:val="28"/>
          <w:szCs w:val="18"/>
        </w:rPr>
        <w:t>年</w:t>
      </w:r>
      <w:r>
        <w:rPr>
          <w:rFonts w:hint="eastAsia" w:ascii="仿宋_GB2312" w:eastAsia="仿宋_GB2312"/>
          <w:kern w:val="0"/>
          <w:sz w:val="28"/>
          <w:szCs w:val="18"/>
          <w:u w:val="single"/>
          <w:lang w:val="en-US" w:eastAsia="zh-CN"/>
        </w:rPr>
        <w:t xml:space="preserve">   </w:t>
      </w:r>
      <w:r>
        <w:rPr>
          <w:rFonts w:ascii="仿宋_GB2312" w:eastAsia="仿宋_GB2312"/>
          <w:kern w:val="0"/>
          <w:sz w:val="28"/>
          <w:szCs w:val="18"/>
        </w:rPr>
        <w:t>月</w:t>
      </w:r>
      <w:bookmarkStart w:id="0" w:name="_GoBack"/>
      <w:r>
        <w:rPr>
          <w:rFonts w:hint="eastAsia" w:ascii="仿宋_GB2312" w:eastAsia="仿宋_GB2312"/>
          <w:kern w:val="0"/>
          <w:sz w:val="28"/>
          <w:szCs w:val="18"/>
          <w:u w:val="single"/>
          <w:lang w:val="en-US" w:eastAsia="zh-CN"/>
        </w:rPr>
        <w:t xml:space="preserve">   </w:t>
      </w:r>
      <w:bookmarkEnd w:id="0"/>
      <w:r>
        <w:rPr>
          <w:rFonts w:ascii="仿宋_GB2312" w:eastAsia="仿宋_GB2312"/>
          <w:kern w:val="0"/>
          <w:sz w:val="28"/>
          <w:szCs w:val="18"/>
        </w:rPr>
        <w:t>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，甲方负责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br w:type="textWrapping"/>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ascii="仿宋_GB2312" w:eastAsia="仿宋_GB2312"/>
          <w:kern w:val="0"/>
          <w:sz w:val="28"/>
          <w:szCs w:val="18"/>
        </w:rPr>
        <w:t>接货人：</w:t>
      </w:r>
      <w:r>
        <w:rPr>
          <w:rFonts w:hint="eastAsia" w:ascii="仿宋_GB2312" w:eastAsia="仿宋_GB2312"/>
          <w:kern w:val="0"/>
          <w:sz w:val="28"/>
          <w:szCs w:val="18"/>
          <w:u w:val="single"/>
        </w:rPr>
        <w:t xml:space="preserve">彭科文  </w:t>
      </w:r>
      <w:r>
        <w:rPr>
          <w:rFonts w:hint="eastAsia" w:ascii="仿宋_GB2312" w:eastAsia="仿宋_GB2312"/>
          <w:kern w:val="0"/>
          <w:sz w:val="28"/>
          <w:szCs w:val="18"/>
        </w:rPr>
        <w:t xml:space="preserve">    联系</w:t>
      </w:r>
      <w:r>
        <w:rPr>
          <w:rFonts w:ascii="仿宋_GB2312" w:eastAsia="仿宋_GB2312"/>
          <w:kern w:val="0"/>
          <w:sz w:val="28"/>
          <w:szCs w:val="18"/>
        </w:rPr>
        <w:t xml:space="preserve">电话 </w:t>
      </w:r>
      <w:r>
        <w:rPr>
          <w:rFonts w:hint="eastAsia" w:ascii="仿宋_GB2312" w:eastAsia="仿宋_GB2312"/>
          <w:kern w:val="0"/>
          <w:sz w:val="28"/>
          <w:szCs w:val="18"/>
        </w:rPr>
        <w:t>：</w:t>
      </w:r>
      <w:r>
        <w:rPr>
          <w:rFonts w:hint="eastAsia" w:ascii="仿宋_GB2312" w:eastAsia="仿宋_GB2312"/>
          <w:kern w:val="0"/>
          <w:sz w:val="28"/>
          <w:szCs w:val="18"/>
          <w:u w:val="single"/>
        </w:rPr>
        <w:t>15828380743</w:t>
      </w:r>
      <w:r>
        <w:rPr>
          <w:rFonts w:hint="eastAsia" w:ascii="仿宋_GB2312" w:eastAsia="仿宋_GB2312"/>
          <w:kern w:val="0"/>
          <w:sz w:val="28"/>
          <w:szCs w:val="18"/>
        </w:rPr>
        <w:t xml:space="preserve">。 </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Lines="50" w:afterLines="50" w:line="520" w:lineRule="exact"/>
        <w:jc w:val="center"/>
        <w:rPr>
          <w:rFonts w:eastAsia="仿宋_GB2312"/>
          <w:b/>
          <w:bCs/>
          <w:sz w:val="28"/>
        </w:rPr>
      </w:pPr>
      <w:r>
        <w:rPr>
          <w:rFonts w:hint="eastAsia" w:eastAsia="仿宋_GB2312"/>
          <w:b/>
          <w:bCs/>
          <w:sz w:val="28"/>
        </w:rPr>
        <w:t>第五章技术服务、操作维修培训及质量保证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24小时 </w:t>
      </w:r>
      <w:r>
        <w:rPr>
          <w:rFonts w:hint="eastAsia" w:ascii="仿宋_GB2312" w:eastAsia="仿宋_GB2312"/>
          <w:sz w:val="28"/>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章知识产权条款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八章</w:t>
      </w:r>
      <w:r>
        <w:rPr>
          <w:rFonts w:eastAsia="仿宋_GB2312"/>
          <w:b/>
          <w:bCs/>
          <w:kern w:val="2"/>
          <w:sz w:val="28"/>
          <w:lang w:eastAsia="zh-CN"/>
        </w:rPr>
        <w:t>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争议的解决</w:t>
      </w:r>
    </w:p>
    <w:p>
      <w:pPr>
        <w:pStyle w:val="8"/>
        <w:spacing w:beforeLines="50" w:afterLines="50" w:line="520" w:lineRule="exact"/>
        <w:jc w:val="center"/>
        <w:rPr>
          <w:rFonts w:ascii="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十章</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ind w:right="480"/>
        <w:jc w:val="center"/>
        <w:rPr>
          <w:color w:val="000000"/>
        </w:rPr>
      </w:pPr>
    </w:p>
    <w:p>
      <w:pPr>
        <w:pStyle w:val="8"/>
        <w:spacing w:line="500" w:lineRule="exact"/>
        <w:ind w:firstLine="560" w:firstLineChars="200"/>
        <w:rPr>
          <w:rFonts w:ascii="仿宋_GB2312" w:eastAsia="仿宋_GB2312"/>
          <w:sz w:val="28"/>
          <w:szCs w:val="18"/>
          <w:lang w:eastAsia="zh-CN"/>
        </w:rPr>
      </w:pPr>
      <w:r>
        <w:rPr>
          <w:rFonts w:hint="eastAsia" w:ascii="仿宋_GB2312" w:eastAsia="仿宋_GB2312"/>
          <w:sz w:val="28"/>
          <w:szCs w:val="18"/>
          <w:lang w:eastAsia="zh-CN"/>
        </w:rPr>
        <w:t>甲</w:t>
      </w:r>
      <w:r>
        <w:rPr>
          <w:rFonts w:ascii="仿宋_GB2312" w:eastAsia="仿宋_GB2312"/>
          <w:sz w:val="28"/>
          <w:szCs w:val="18"/>
          <w:lang w:eastAsia="zh-CN"/>
        </w:rPr>
        <w:t>方(盖章)</w:t>
      </w:r>
      <w:r>
        <w:rPr>
          <w:rFonts w:hint="eastAsia" w:ascii="仿宋_GB2312" w:eastAsia="仿宋_GB2312"/>
          <w:sz w:val="28"/>
          <w:szCs w:val="18"/>
          <w:lang w:eastAsia="zh-CN"/>
        </w:rPr>
        <w:t>：                   乙</w:t>
      </w:r>
      <w:r>
        <w:rPr>
          <w:rFonts w:ascii="仿宋_GB2312" w:eastAsia="仿宋_GB2312"/>
          <w:sz w:val="28"/>
          <w:szCs w:val="18"/>
          <w:lang w:eastAsia="zh-CN"/>
        </w:rPr>
        <w:t>方(盖章)</w:t>
      </w:r>
      <w:r>
        <w:rPr>
          <w:rFonts w:hint="eastAsia" w:ascii="仿宋_GB2312" w:eastAsia="仿宋_GB2312"/>
          <w:sz w:val="28"/>
          <w:szCs w:val="18"/>
          <w:lang w:eastAsia="zh-CN"/>
        </w:rPr>
        <w:t>：</w:t>
      </w:r>
    </w:p>
    <w:p>
      <w:pPr>
        <w:pStyle w:val="8"/>
        <w:spacing w:line="500" w:lineRule="exact"/>
        <w:ind w:firstLine="560" w:firstLineChars="200"/>
        <w:rPr>
          <w:rFonts w:ascii="仿宋_GB2312" w:eastAsia="仿宋_GB2312"/>
          <w:sz w:val="28"/>
          <w:szCs w:val="18"/>
          <w:lang w:eastAsia="zh-CN"/>
        </w:rPr>
      </w:pPr>
    </w:p>
    <w:p>
      <w:pPr>
        <w:pStyle w:val="8"/>
        <w:spacing w:line="500" w:lineRule="exact"/>
        <w:ind w:firstLine="560" w:firstLineChars="200"/>
        <w:rPr>
          <w:rFonts w:ascii="仿宋_GB2312" w:eastAsia="仿宋_GB2312"/>
          <w:sz w:val="28"/>
          <w:szCs w:val="18"/>
          <w:lang w:eastAsia="zh-CN"/>
        </w:rPr>
      </w:pPr>
      <w:r>
        <w:rPr>
          <w:rFonts w:hint="eastAsia" w:ascii="仿宋_GB2312" w:eastAsia="仿宋_GB2312"/>
          <w:sz w:val="28"/>
          <w:szCs w:val="18"/>
          <w:lang w:eastAsia="zh-CN"/>
        </w:rPr>
        <w:t>委托代理人：　                 委托代理人</w:t>
      </w:r>
      <w:r>
        <w:rPr>
          <w:rFonts w:ascii="仿宋_GB2312" w:eastAsia="仿宋_GB2312"/>
          <w:sz w:val="28"/>
          <w:szCs w:val="18"/>
          <w:lang w:eastAsia="zh-CN"/>
        </w:rPr>
        <w:t xml:space="preserve">： </w:t>
      </w:r>
    </w:p>
    <w:p>
      <w:pPr>
        <w:pStyle w:val="8"/>
        <w:spacing w:line="500" w:lineRule="exact"/>
        <w:ind w:firstLine="560" w:firstLineChars="200"/>
        <w:rPr>
          <w:rFonts w:ascii="仿宋_GB2312" w:eastAsia="仿宋_GB2312"/>
          <w:sz w:val="28"/>
          <w:szCs w:val="18"/>
          <w:lang w:eastAsia="zh-CN"/>
        </w:rPr>
      </w:pPr>
    </w:p>
    <w:p>
      <w:pPr>
        <w:pStyle w:val="8"/>
        <w:spacing w:line="500" w:lineRule="exact"/>
        <w:ind w:firstLine="560" w:firstLineChars="200"/>
        <w:rPr>
          <w:rFonts w:ascii="仿宋_GB2312" w:eastAsia="仿宋_GB2312"/>
          <w:sz w:val="28"/>
          <w:szCs w:val="18"/>
          <w:lang w:eastAsia="zh-CN"/>
        </w:rPr>
      </w:pPr>
      <w:r>
        <w:rPr>
          <w:rFonts w:hint="eastAsia" w:ascii="仿宋_GB2312" w:eastAsia="仿宋_GB2312"/>
          <w:sz w:val="28"/>
          <w:szCs w:val="18"/>
          <w:lang w:eastAsia="zh-CN"/>
        </w:rPr>
        <w:t>签订时间：                     签订时间：</w:t>
      </w:r>
    </w:p>
    <w:p>
      <w:pPr>
        <w:ind w:right="480"/>
        <w:jc w:val="center"/>
        <w:rPr>
          <w:color w:val="000000"/>
        </w:rPr>
      </w:pPr>
    </w:p>
    <w:p>
      <w:pPr>
        <w:spacing w:line="520" w:lineRule="exact"/>
        <w:ind w:firstLine="560" w:firstLineChars="200"/>
        <w:rPr>
          <w:rFonts w:ascii="仿宋_GB2312" w:eastAsia="仿宋_GB2312"/>
          <w:sz w:val="28"/>
          <w:szCs w:val="18"/>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PMingLiU">
    <w:altName w:val="PMingLiU-ExtB"/>
    <w:panose1 w:val="02020500000000000000"/>
    <w:charset w:val="88"/>
    <w:family w:val="roman"/>
    <w:pitch w:val="default"/>
    <w:sig w:usb0="00000000" w:usb1="00000000" w:usb2="00000016" w:usb3="00000000" w:csb0="00100001" w:csb1="00000000"/>
  </w:font>
  <w:font w:name="Helv">
    <w:altName w:val="Segoe Print"/>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宋体,Bold">
    <w:altName w:val="黑体"/>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47BD"/>
    <w:rsid w:val="00006568"/>
    <w:rsid w:val="00013FE1"/>
    <w:rsid w:val="00022290"/>
    <w:rsid w:val="00027DBD"/>
    <w:rsid w:val="000327FA"/>
    <w:rsid w:val="000355FF"/>
    <w:rsid w:val="0004434D"/>
    <w:rsid w:val="00050A61"/>
    <w:rsid w:val="000545D1"/>
    <w:rsid w:val="00055833"/>
    <w:rsid w:val="00064E93"/>
    <w:rsid w:val="000667B0"/>
    <w:rsid w:val="00066C8A"/>
    <w:rsid w:val="00072F77"/>
    <w:rsid w:val="00073AD0"/>
    <w:rsid w:val="00074431"/>
    <w:rsid w:val="0008036E"/>
    <w:rsid w:val="00084168"/>
    <w:rsid w:val="00091F43"/>
    <w:rsid w:val="00093E2F"/>
    <w:rsid w:val="00093F05"/>
    <w:rsid w:val="00094CEC"/>
    <w:rsid w:val="000A30F5"/>
    <w:rsid w:val="000A3B4C"/>
    <w:rsid w:val="000A4FCD"/>
    <w:rsid w:val="000A5DEC"/>
    <w:rsid w:val="000A6B9F"/>
    <w:rsid w:val="000B2EA6"/>
    <w:rsid w:val="000C0139"/>
    <w:rsid w:val="000C10A1"/>
    <w:rsid w:val="000C2E5E"/>
    <w:rsid w:val="000C4720"/>
    <w:rsid w:val="000C477D"/>
    <w:rsid w:val="000C6C40"/>
    <w:rsid w:val="000C7B3F"/>
    <w:rsid w:val="000D02B0"/>
    <w:rsid w:val="000D0E5C"/>
    <w:rsid w:val="000E2B30"/>
    <w:rsid w:val="000E6266"/>
    <w:rsid w:val="000F20C1"/>
    <w:rsid w:val="000F69A0"/>
    <w:rsid w:val="0010309E"/>
    <w:rsid w:val="0010474A"/>
    <w:rsid w:val="0010787E"/>
    <w:rsid w:val="00112084"/>
    <w:rsid w:val="00114942"/>
    <w:rsid w:val="00121B10"/>
    <w:rsid w:val="00136018"/>
    <w:rsid w:val="001409CB"/>
    <w:rsid w:val="0014142C"/>
    <w:rsid w:val="00141BEA"/>
    <w:rsid w:val="00144134"/>
    <w:rsid w:val="00146D71"/>
    <w:rsid w:val="0016239D"/>
    <w:rsid w:val="00167DF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42F1"/>
    <w:rsid w:val="001F2335"/>
    <w:rsid w:val="001F35D2"/>
    <w:rsid w:val="001F406E"/>
    <w:rsid w:val="001F5ECE"/>
    <w:rsid w:val="00201849"/>
    <w:rsid w:val="00204579"/>
    <w:rsid w:val="00204E2A"/>
    <w:rsid w:val="0021473C"/>
    <w:rsid w:val="00221484"/>
    <w:rsid w:val="00223359"/>
    <w:rsid w:val="002309EF"/>
    <w:rsid w:val="00242A6C"/>
    <w:rsid w:val="00246671"/>
    <w:rsid w:val="00252EE7"/>
    <w:rsid w:val="002556C0"/>
    <w:rsid w:val="00255C86"/>
    <w:rsid w:val="0025764D"/>
    <w:rsid w:val="00260D16"/>
    <w:rsid w:val="00266CB3"/>
    <w:rsid w:val="00275907"/>
    <w:rsid w:val="00284352"/>
    <w:rsid w:val="00286E2B"/>
    <w:rsid w:val="00290FD7"/>
    <w:rsid w:val="00291957"/>
    <w:rsid w:val="00293B59"/>
    <w:rsid w:val="00297E2B"/>
    <w:rsid w:val="002A1B51"/>
    <w:rsid w:val="002A5A8B"/>
    <w:rsid w:val="002A6DF9"/>
    <w:rsid w:val="002A7716"/>
    <w:rsid w:val="002C2E19"/>
    <w:rsid w:val="002D39EA"/>
    <w:rsid w:val="002D3F54"/>
    <w:rsid w:val="002E2932"/>
    <w:rsid w:val="002E3281"/>
    <w:rsid w:val="002E4738"/>
    <w:rsid w:val="002F177D"/>
    <w:rsid w:val="002F647E"/>
    <w:rsid w:val="00300BA2"/>
    <w:rsid w:val="003015CB"/>
    <w:rsid w:val="00310016"/>
    <w:rsid w:val="00310585"/>
    <w:rsid w:val="00312A38"/>
    <w:rsid w:val="0031449C"/>
    <w:rsid w:val="003340B1"/>
    <w:rsid w:val="003373A3"/>
    <w:rsid w:val="003419E0"/>
    <w:rsid w:val="00347F94"/>
    <w:rsid w:val="0035143A"/>
    <w:rsid w:val="00351F4D"/>
    <w:rsid w:val="003526D6"/>
    <w:rsid w:val="00361399"/>
    <w:rsid w:val="00364B68"/>
    <w:rsid w:val="0036626F"/>
    <w:rsid w:val="00367321"/>
    <w:rsid w:val="00382569"/>
    <w:rsid w:val="00382C02"/>
    <w:rsid w:val="00383668"/>
    <w:rsid w:val="00383A96"/>
    <w:rsid w:val="003851A2"/>
    <w:rsid w:val="003866B8"/>
    <w:rsid w:val="003914A7"/>
    <w:rsid w:val="003949AE"/>
    <w:rsid w:val="003A10DA"/>
    <w:rsid w:val="003A1582"/>
    <w:rsid w:val="003A197D"/>
    <w:rsid w:val="003B0D18"/>
    <w:rsid w:val="003B23B7"/>
    <w:rsid w:val="003B2690"/>
    <w:rsid w:val="003B33D1"/>
    <w:rsid w:val="003B47C3"/>
    <w:rsid w:val="003B486E"/>
    <w:rsid w:val="003B71BD"/>
    <w:rsid w:val="003C5F89"/>
    <w:rsid w:val="003D3A7F"/>
    <w:rsid w:val="003D574C"/>
    <w:rsid w:val="003D74F8"/>
    <w:rsid w:val="003E498A"/>
    <w:rsid w:val="003E6C96"/>
    <w:rsid w:val="003F568F"/>
    <w:rsid w:val="00400F04"/>
    <w:rsid w:val="004038E5"/>
    <w:rsid w:val="00405E49"/>
    <w:rsid w:val="00406865"/>
    <w:rsid w:val="0041085E"/>
    <w:rsid w:val="00415CB6"/>
    <w:rsid w:val="004166A7"/>
    <w:rsid w:val="00420557"/>
    <w:rsid w:val="00422537"/>
    <w:rsid w:val="00430ED1"/>
    <w:rsid w:val="004349F9"/>
    <w:rsid w:val="004360BB"/>
    <w:rsid w:val="00442DC0"/>
    <w:rsid w:val="0045520E"/>
    <w:rsid w:val="004555D9"/>
    <w:rsid w:val="0046127C"/>
    <w:rsid w:val="00467BCE"/>
    <w:rsid w:val="00482695"/>
    <w:rsid w:val="00483A0C"/>
    <w:rsid w:val="004842AA"/>
    <w:rsid w:val="00484344"/>
    <w:rsid w:val="0049002A"/>
    <w:rsid w:val="0049713B"/>
    <w:rsid w:val="004A14E0"/>
    <w:rsid w:val="004A353F"/>
    <w:rsid w:val="004B793D"/>
    <w:rsid w:val="004C4F12"/>
    <w:rsid w:val="004D1000"/>
    <w:rsid w:val="004D3C17"/>
    <w:rsid w:val="004D63C2"/>
    <w:rsid w:val="004D68BB"/>
    <w:rsid w:val="004D73A3"/>
    <w:rsid w:val="004E013F"/>
    <w:rsid w:val="004E1AF7"/>
    <w:rsid w:val="004E3ACA"/>
    <w:rsid w:val="004E3C66"/>
    <w:rsid w:val="004F1D65"/>
    <w:rsid w:val="004F4D3B"/>
    <w:rsid w:val="005122E6"/>
    <w:rsid w:val="00513B5B"/>
    <w:rsid w:val="00517E94"/>
    <w:rsid w:val="005206C0"/>
    <w:rsid w:val="00521939"/>
    <w:rsid w:val="00521B26"/>
    <w:rsid w:val="00527580"/>
    <w:rsid w:val="00531897"/>
    <w:rsid w:val="00531F9E"/>
    <w:rsid w:val="005376FA"/>
    <w:rsid w:val="0054063F"/>
    <w:rsid w:val="0054291D"/>
    <w:rsid w:val="00545987"/>
    <w:rsid w:val="00547258"/>
    <w:rsid w:val="00547FDD"/>
    <w:rsid w:val="005509A3"/>
    <w:rsid w:val="00552B23"/>
    <w:rsid w:val="00554653"/>
    <w:rsid w:val="00555DFA"/>
    <w:rsid w:val="0056310A"/>
    <w:rsid w:val="00564A2D"/>
    <w:rsid w:val="00565579"/>
    <w:rsid w:val="005658C8"/>
    <w:rsid w:val="005675F2"/>
    <w:rsid w:val="00572789"/>
    <w:rsid w:val="005850D8"/>
    <w:rsid w:val="00594113"/>
    <w:rsid w:val="005A1FCE"/>
    <w:rsid w:val="005B3313"/>
    <w:rsid w:val="005C0D0D"/>
    <w:rsid w:val="005C315B"/>
    <w:rsid w:val="005C5B8E"/>
    <w:rsid w:val="005C7C17"/>
    <w:rsid w:val="005D4292"/>
    <w:rsid w:val="005D7FAD"/>
    <w:rsid w:val="005E1390"/>
    <w:rsid w:val="005E33D5"/>
    <w:rsid w:val="005E3A98"/>
    <w:rsid w:val="005E49B0"/>
    <w:rsid w:val="005E5CDE"/>
    <w:rsid w:val="005F0959"/>
    <w:rsid w:val="005F228E"/>
    <w:rsid w:val="005F2B97"/>
    <w:rsid w:val="005F2DB2"/>
    <w:rsid w:val="005F469C"/>
    <w:rsid w:val="005F4D57"/>
    <w:rsid w:val="006014CA"/>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7D9F"/>
    <w:rsid w:val="00670373"/>
    <w:rsid w:val="00671E17"/>
    <w:rsid w:val="006877C7"/>
    <w:rsid w:val="00695560"/>
    <w:rsid w:val="00696CD7"/>
    <w:rsid w:val="006B3997"/>
    <w:rsid w:val="006D007D"/>
    <w:rsid w:val="006D133F"/>
    <w:rsid w:val="006D39B6"/>
    <w:rsid w:val="006E00AF"/>
    <w:rsid w:val="006E1B30"/>
    <w:rsid w:val="006F0376"/>
    <w:rsid w:val="006F1A4C"/>
    <w:rsid w:val="006F6107"/>
    <w:rsid w:val="006F6DFA"/>
    <w:rsid w:val="00701221"/>
    <w:rsid w:val="00705C74"/>
    <w:rsid w:val="007070EE"/>
    <w:rsid w:val="007134BB"/>
    <w:rsid w:val="00715622"/>
    <w:rsid w:val="007263EB"/>
    <w:rsid w:val="00730538"/>
    <w:rsid w:val="00731A57"/>
    <w:rsid w:val="0073214C"/>
    <w:rsid w:val="007332F2"/>
    <w:rsid w:val="007337B0"/>
    <w:rsid w:val="00733A70"/>
    <w:rsid w:val="0073728C"/>
    <w:rsid w:val="00741B9B"/>
    <w:rsid w:val="00746204"/>
    <w:rsid w:val="00746EE4"/>
    <w:rsid w:val="00747A4F"/>
    <w:rsid w:val="00751394"/>
    <w:rsid w:val="00756C43"/>
    <w:rsid w:val="0076420A"/>
    <w:rsid w:val="0076429D"/>
    <w:rsid w:val="0076496F"/>
    <w:rsid w:val="0076566F"/>
    <w:rsid w:val="0076661B"/>
    <w:rsid w:val="007706D6"/>
    <w:rsid w:val="00773448"/>
    <w:rsid w:val="00777DA4"/>
    <w:rsid w:val="00780643"/>
    <w:rsid w:val="0078440D"/>
    <w:rsid w:val="00784540"/>
    <w:rsid w:val="00784DB1"/>
    <w:rsid w:val="00785B33"/>
    <w:rsid w:val="00790A40"/>
    <w:rsid w:val="0079128D"/>
    <w:rsid w:val="00792A7E"/>
    <w:rsid w:val="007B5DD2"/>
    <w:rsid w:val="007C091A"/>
    <w:rsid w:val="007C2827"/>
    <w:rsid w:val="007C4227"/>
    <w:rsid w:val="007C48E0"/>
    <w:rsid w:val="007C5635"/>
    <w:rsid w:val="007D7CCD"/>
    <w:rsid w:val="007D7EAE"/>
    <w:rsid w:val="007E4EBA"/>
    <w:rsid w:val="007E7DB8"/>
    <w:rsid w:val="007F0B42"/>
    <w:rsid w:val="00801B63"/>
    <w:rsid w:val="00805534"/>
    <w:rsid w:val="00810BC7"/>
    <w:rsid w:val="00810BCA"/>
    <w:rsid w:val="00815245"/>
    <w:rsid w:val="00835FA7"/>
    <w:rsid w:val="008366DA"/>
    <w:rsid w:val="00836D98"/>
    <w:rsid w:val="00836F24"/>
    <w:rsid w:val="00837005"/>
    <w:rsid w:val="008416CA"/>
    <w:rsid w:val="008442F7"/>
    <w:rsid w:val="0084477E"/>
    <w:rsid w:val="00852422"/>
    <w:rsid w:val="008545D5"/>
    <w:rsid w:val="008551B1"/>
    <w:rsid w:val="00865367"/>
    <w:rsid w:val="008658E5"/>
    <w:rsid w:val="00870005"/>
    <w:rsid w:val="00871EA4"/>
    <w:rsid w:val="0087430E"/>
    <w:rsid w:val="00875FC3"/>
    <w:rsid w:val="00880D56"/>
    <w:rsid w:val="00883363"/>
    <w:rsid w:val="00883ED6"/>
    <w:rsid w:val="00885D64"/>
    <w:rsid w:val="00895212"/>
    <w:rsid w:val="008B16DD"/>
    <w:rsid w:val="008C06E5"/>
    <w:rsid w:val="008C382A"/>
    <w:rsid w:val="008C7C6E"/>
    <w:rsid w:val="008D263D"/>
    <w:rsid w:val="008D3CAB"/>
    <w:rsid w:val="008D5C53"/>
    <w:rsid w:val="008D7144"/>
    <w:rsid w:val="008E35C7"/>
    <w:rsid w:val="008E5858"/>
    <w:rsid w:val="008E6946"/>
    <w:rsid w:val="008F2C14"/>
    <w:rsid w:val="008F7CD0"/>
    <w:rsid w:val="00904226"/>
    <w:rsid w:val="00911583"/>
    <w:rsid w:val="009168C7"/>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18E6"/>
    <w:rsid w:val="00965C4A"/>
    <w:rsid w:val="00970787"/>
    <w:rsid w:val="00970D9D"/>
    <w:rsid w:val="0097376F"/>
    <w:rsid w:val="00974214"/>
    <w:rsid w:val="009868F2"/>
    <w:rsid w:val="00990668"/>
    <w:rsid w:val="00997AEF"/>
    <w:rsid w:val="009A2F5E"/>
    <w:rsid w:val="009B32F1"/>
    <w:rsid w:val="009B359A"/>
    <w:rsid w:val="009B7E21"/>
    <w:rsid w:val="009C20A7"/>
    <w:rsid w:val="009C338C"/>
    <w:rsid w:val="009D3C37"/>
    <w:rsid w:val="009D3C6E"/>
    <w:rsid w:val="009D5B38"/>
    <w:rsid w:val="009E0465"/>
    <w:rsid w:val="009F21E8"/>
    <w:rsid w:val="00A0230B"/>
    <w:rsid w:val="00A05386"/>
    <w:rsid w:val="00A15726"/>
    <w:rsid w:val="00A16833"/>
    <w:rsid w:val="00A17631"/>
    <w:rsid w:val="00A26ED2"/>
    <w:rsid w:val="00A31438"/>
    <w:rsid w:val="00A31447"/>
    <w:rsid w:val="00A36017"/>
    <w:rsid w:val="00A366A7"/>
    <w:rsid w:val="00A369F2"/>
    <w:rsid w:val="00A45654"/>
    <w:rsid w:val="00A45E4F"/>
    <w:rsid w:val="00A666D1"/>
    <w:rsid w:val="00A6688A"/>
    <w:rsid w:val="00A66ADE"/>
    <w:rsid w:val="00A66B95"/>
    <w:rsid w:val="00A712A2"/>
    <w:rsid w:val="00A76352"/>
    <w:rsid w:val="00A774B5"/>
    <w:rsid w:val="00A839B9"/>
    <w:rsid w:val="00A85809"/>
    <w:rsid w:val="00A90C55"/>
    <w:rsid w:val="00A93A3E"/>
    <w:rsid w:val="00A95674"/>
    <w:rsid w:val="00A96D64"/>
    <w:rsid w:val="00AA0CF5"/>
    <w:rsid w:val="00AA13B0"/>
    <w:rsid w:val="00AA2112"/>
    <w:rsid w:val="00AA2778"/>
    <w:rsid w:val="00AB3CEB"/>
    <w:rsid w:val="00AB4022"/>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52C1"/>
    <w:rsid w:val="00B2572C"/>
    <w:rsid w:val="00B25F2E"/>
    <w:rsid w:val="00B26820"/>
    <w:rsid w:val="00B33637"/>
    <w:rsid w:val="00B348BE"/>
    <w:rsid w:val="00B413CD"/>
    <w:rsid w:val="00B552A9"/>
    <w:rsid w:val="00B55A7C"/>
    <w:rsid w:val="00B62781"/>
    <w:rsid w:val="00B6790B"/>
    <w:rsid w:val="00B70C47"/>
    <w:rsid w:val="00B7494D"/>
    <w:rsid w:val="00B75C0C"/>
    <w:rsid w:val="00B76592"/>
    <w:rsid w:val="00B80330"/>
    <w:rsid w:val="00B823D2"/>
    <w:rsid w:val="00B86CA3"/>
    <w:rsid w:val="00B875D6"/>
    <w:rsid w:val="00B90599"/>
    <w:rsid w:val="00B933CD"/>
    <w:rsid w:val="00B93922"/>
    <w:rsid w:val="00BA385E"/>
    <w:rsid w:val="00BA57D9"/>
    <w:rsid w:val="00BA7F48"/>
    <w:rsid w:val="00BB3DCF"/>
    <w:rsid w:val="00BB3FEC"/>
    <w:rsid w:val="00BC5082"/>
    <w:rsid w:val="00BD2B0A"/>
    <w:rsid w:val="00BD2D9C"/>
    <w:rsid w:val="00BD3B0E"/>
    <w:rsid w:val="00BD7F9C"/>
    <w:rsid w:val="00BE58C2"/>
    <w:rsid w:val="00BE6470"/>
    <w:rsid w:val="00BF0E07"/>
    <w:rsid w:val="00C0059F"/>
    <w:rsid w:val="00C034F4"/>
    <w:rsid w:val="00C07AE2"/>
    <w:rsid w:val="00C109B8"/>
    <w:rsid w:val="00C10B60"/>
    <w:rsid w:val="00C167C8"/>
    <w:rsid w:val="00C21AFC"/>
    <w:rsid w:val="00C412A5"/>
    <w:rsid w:val="00C45ECD"/>
    <w:rsid w:val="00C50919"/>
    <w:rsid w:val="00C57736"/>
    <w:rsid w:val="00C6166C"/>
    <w:rsid w:val="00C646C3"/>
    <w:rsid w:val="00C67DB5"/>
    <w:rsid w:val="00C70C47"/>
    <w:rsid w:val="00C74E22"/>
    <w:rsid w:val="00C832F6"/>
    <w:rsid w:val="00C83DF3"/>
    <w:rsid w:val="00C85ACF"/>
    <w:rsid w:val="00C87019"/>
    <w:rsid w:val="00C907A4"/>
    <w:rsid w:val="00C95BD3"/>
    <w:rsid w:val="00CA00D5"/>
    <w:rsid w:val="00CA289C"/>
    <w:rsid w:val="00CA2C20"/>
    <w:rsid w:val="00CA353D"/>
    <w:rsid w:val="00CA4C88"/>
    <w:rsid w:val="00CA7C0E"/>
    <w:rsid w:val="00CB3871"/>
    <w:rsid w:val="00CC0A9E"/>
    <w:rsid w:val="00CC218B"/>
    <w:rsid w:val="00CC38FE"/>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18E"/>
    <w:rsid w:val="00D47EE9"/>
    <w:rsid w:val="00D53281"/>
    <w:rsid w:val="00D54E6E"/>
    <w:rsid w:val="00D60185"/>
    <w:rsid w:val="00D60367"/>
    <w:rsid w:val="00D60CD2"/>
    <w:rsid w:val="00D60F4B"/>
    <w:rsid w:val="00D661B6"/>
    <w:rsid w:val="00D67E6B"/>
    <w:rsid w:val="00D823B6"/>
    <w:rsid w:val="00D82FCF"/>
    <w:rsid w:val="00DA1090"/>
    <w:rsid w:val="00DA5B2F"/>
    <w:rsid w:val="00DC200D"/>
    <w:rsid w:val="00DC7652"/>
    <w:rsid w:val="00DD0FFE"/>
    <w:rsid w:val="00DD2750"/>
    <w:rsid w:val="00DD34AD"/>
    <w:rsid w:val="00DD3CCD"/>
    <w:rsid w:val="00DD64AE"/>
    <w:rsid w:val="00DE3CE8"/>
    <w:rsid w:val="00DF2A41"/>
    <w:rsid w:val="00DF668F"/>
    <w:rsid w:val="00DF706D"/>
    <w:rsid w:val="00DF7D50"/>
    <w:rsid w:val="00E104FC"/>
    <w:rsid w:val="00E156E4"/>
    <w:rsid w:val="00E175C3"/>
    <w:rsid w:val="00E2199F"/>
    <w:rsid w:val="00E2333F"/>
    <w:rsid w:val="00E25816"/>
    <w:rsid w:val="00E27208"/>
    <w:rsid w:val="00E27694"/>
    <w:rsid w:val="00E30B1C"/>
    <w:rsid w:val="00E36BC4"/>
    <w:rsid w:val="00E402EC"/>
    <w:rsid w:val="00E42C36"/>
    <w:rsid w:val="00E45A19"/>
    <w:rsid w:val="00E468DF"/>
    <w:rsid w:val="00E47D20"/>
    <w:rsid w:val="00E50AF9"/>
    <w:rsid w:val="00E50E84"/>
    <w:rsid w:val="00E53C1B"/>
    <w:rsid w:val="00E5697A"/>
    <w:rsid w:val="00E66C9D"/>
    <w:rsid w:val="00E7544D"/>
    <w:rsid w:val="00E83F00"/>
    <w:rsid w:val="00E85BF1"/>
    <w:rsid w:val="00E85DBD"/>
    <w:rsid w:val="00E926C6"/>
    <w:rsid w:val="00E9347F"/>
    <w:rsid w:val="00E95E20"/>
    <w:rsid w:val="00E97B15"/>
    <w:rsid w:val="00EA1034"/>
    <w:rsid w:val="00EB19E2"/>
    <w:rsid w:val="00EB3699"/>
    <w:rsid w:val="00EB628B"/>
    <w:rsid w:val="00EB71AC"/>
    <w:rsid w:val="00EC12EF"/>
    <w:rsid w:val="00EC7264"/>
    <w:rsid w:val="00EF0B5C"/>
    <w:rsid w:val="00EF25C8"/>
    <w:rsid w:val="00EF4244"/>
    <w:rsid w:val="00EF7DE6"/>
    <w:rsid w:val="00F01E56"/>
    <w:rsid w:val="00F0358E"/>
    <w:rsid w:val="00F07AC7"/>
    <w:rsid w:val="00F126E9"/>
    <w:rsid w:val="00F14D2E"/>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4270"/>
    <w:rsid w:val="00F9699D"/>
    <w:rsid w:val="00F96A79"/>
    <w:rsid w:val="00FA0394"/>
    <w:rsid w:val="00FA322E"/>
    <w:rsid w:val="00FB208D"/>
    <w:rsid w:val="00FB77AB"/>
    <w:rsid w:val="00FC147A"/>
    <w:rsid w:val="00FC35CF"/>
    <w:rsid w:val="00FD15E8"/>
    <w:rsid w:val="00FD4CE4"/>
    <w:rsid w:val="00FD4E3C"/>
    <w:rsid w:val="00FE3B53"/>
    <w:rsid w:val="00FE7D64"/>
    <w:rsid w:val="00FF0BB2"/>
    <w:rsid w:val="00FF2BD6"/>
    <w:rsid w:val="00FF6CB6"/>
    <w:rsid w:val="1CBD2F1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nhideWhenUsed="0" w:uiPriority="0" w:semiHidden="0" w:name="Normal Indent"/>
    <w:lsdException w:uiPriority="0" w:name="footnote text"/>
    <w:lsdException w:unhideWhenUsed="0" w:uiPriority="0" w:semiHidden="0" w:name="annotation text"/>
    <w:lsdException w:qFormat="1"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nhideWhenUsed="0"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nhideWhenUsed="0" w:uiPriority="0" w:semiHidden="0" w:name="Body Text Indent 3"/>
    <w:lsdException w:uiPriority="0" w:name="Block Text"/>
    <w:lsdException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uiPriority w:val="0"/>
    <w:pPr>
      <w:widowControl/>
      <w:ind w:firstLine="420"/>
      <w:jc w:val="left"/>
    </w:pPr>
    <w:rPr>
      <w:kern w:val="0"/>
      <w:sz w:val="20"/>
    </w:rPr>
  </w:style>
  <w:style w:type="paragraph" w:styleId="7">
    <w:name w:val="annotation text"/>
    <w:basedOn w:val="1"/>
    <w:link w:val="38"/>
    <w:uiPriority w:val="0"/>
    <w:rPr>
      <w:sz w:val="20"/>
    </w:rPr>
  </w:style>
  <w:style w:type="paragraph" w:styleId="8">
    <w:name w:val="Body Text"/>
    <w:basedOn w:val="1"/>
    <w:semiHidden/>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uiPriority w:val="0"/>
    <w:rPr>
      <w:rFonts w:ascii="宋体"/>
      <w:sz w:val="18"/>
      <w:szCs w:val="18"/>
    </w:rPr>
  </w:style>
  <w:style w:type="paragraph" w:styleId="13">
    <w:name w:val="footer"/>
    <w:basedOn w:val="1"/>
    <w:link w:val="37"/>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uiPriority w:val="0"/>
    <w:pPr>
      <w:spacing w:after="120"/>
      <w:ind w:left="420" w:leftChars="200"/>
    </w:pPr>
    <w:rPr>
      <w:sz w:val="16"/>
      <w:szCs w:val="16"/>
    </w:rPr>
  </w:style>
  <w:style w:type="paragraph" w:styleId="17">
    <w:name w:val="annotation subject"/>
    <w:basedOn w:val="7"/>
    <w:next w:val="7"/>
    <w:link w:val="39"/>
    <w:uiPriority w:val="0"/>
    <w:rPr>
      <w:b/>
      <w:bCs/>
    </w:rPr>
  </w:style>
  <w:style w:type="table" w:styleId="19">
    <w:name w:val="Table Grid"/>
    <w:basedOn w:val="18"/>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unhideWhenUsed/>
    <w:uiPriority w:val="99"/>
    <w:rPr>
      <w:color w:val="0000FF"/>
      <w:u w:val="single"/>
    </w:rPr>
  </w:style>
  <w:style w:type="character" w:styleId="22">
    <w:name w:val="annotation reference"/>
    <w:basedOn w:val="20"/>
    <w:uiPriority w:val="0"/>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Char"/>
    <w:basedOn w:val="20"/>
    <w:link w:val="15"/>
    <w:qFormat/>
    <w:locked/>
    <w:uiPriority w:val="0"/>
    <w:rPr>
      <w:rFonts w:eastAsia="宋体"/>
      <w:kern w:val="2"/>
      <w:sz w:val="28"/>
      <w:lang w:val="en-US" w:eastAsia="zh-CN" w:bidi="ar-SA"/>
    </w:rPr>
  </w:style>
  <w:style w:type="character" w:customStyle="1" w:styleId="26">
    <w:name w:val="正文文本缩进 Char"/>
    <w:basedOn w:val="20"/>
    <w:link w:val="9"/>
    <w:semiHidden/>
    <w:locked/>
    <w:uiPriority w:val="0"/>
    <w:rPr>
      <w:rFonts w:eastAsia="宋体"/>
      <w:kern w:val="2"/>
      <w:sz w:val="24"/>
      <w:lang w:val="en-US" w:eastAsia="zh-CN" w:bidi="ar-SA"/>
    </w:rPr>
  </w:style>
  <w:style w:type="character" w:customStyle="1" w:styleId="27">
    <w:name w:val="纯文本 Char"/>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Char"/>
    <w:basedOn w:val="20"/>
    <w:link w:val="6"/>
    <w:semiHidden/>
    <w:qFormat/>
    <w:uiPriority w:val="0"/>
    <w:rPr>
      <w:rFonts w:ascii="Cambria" w:hAnsi="Cambria" w:eastAsia="宋体"/>
      <w:b/>
      <w:bCs/>
      <w:sz w:val="28"/>
      <w:szCs w:val="28"/>
      <w:lang w:val="en-US" w:eastAsia="zh-CN" w:bidi="ar-SA"/>
    </w:rPr>
  </w:style>
  <w:style w:type="character" w:customStyle="1" w:styleId="36">
    <w:name w:val="页眉 Char"/>
    <w:basedOn w:val="20"/>
    <w:link w:val="14"/>
    <w:uiPriority w:val="0"/>
    <w:rPr>
      <w:kern w:val="2"/>
      <w:sz w:val="21"/>
    </w:rPr>
  </w:style>
  <w:style w:type="character" w:customStyle="1" w:styleId="37">
    <w:name w:val="页脚 Char"/>
    <w:basedOn w:val="20"/>
    <w:link w:val="13"/>
    <w:uiPriority w:val="0"/>
    <w:rPr>
      <w:kern w:val="2"/>
      <w:sz w:val="21"/>
    </w:rPr>
  </w:style>
  <w:style w:type="character" w:customStyle="1" w:styleId="38">
    <w:name w:val="批注文字 Char"/>
    <w:basedOn w:val="20"/>
    <w:link w:val="7"/>
    <w:uiPriority w:val="0"/>
    <w:rPr>
      <w:kern w:val="2"/>
    </w:rPr>
  </w:style>
  <w:style w:type="character" w:customStyle="1" w:styleId="39">
    <w:name w:val="批注主题 Char"/>
    <w:basedOn w:val="38"/>
    <w:link w:val="17"/>
    <w:uiPriority w:val="0"/>
    <w:rPr>
      <w:b/>
      <w:bCs/>
      <w:kern w:val="2"/>
    </w:rPr>
  </w:style>
  <w:style w:type="character" w:customStyle="1" w:styleId="40">
    <w:name w:val="批注框文本 Char"/>
    <w:basedOn w:val="20"/>
    <w:link w:val="12"/>
    <w:uiPriority w:val="0"/>
    <w:rPr>
      <w:rFonts w:ascii="宋体"/>
      <w:kern w:val="2"/>
      <w:sz w:val="18"/>
      <w:szCs w:val="18"/>
    </w:rPr>
  </w:style>
  <w:style w:type="paragraph" w:customStyle="1" w:styleId="41">
    <w:name w:val="Defaul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AC1D455-A87F-4BF0-83E7-E8EBA8A33033}">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25</Pages>
  <Words>1597</Words>
  <Characters>9109</Characters>
  <Lines>75</Lines>
  <Paragraphs>21</Paragraphs>
  <TotalTime>795</TotalTime>
  <ScaleCrop>false</ScaleCrop>
  <LinksUpToDate>false</LinksUpToDate>
  <CharactersWithSpaces>10685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dell</cp:lastModifiedBy>
  <cp:lastPrinted>2020-01-15T03:35:00Z</cp:lastPrinted>
  <dcterms:modified xsi:type="dcterms:W3CDTF">2021-03-26T07:38:07Z</dcterms:modified>
  <dc:title>投标邀请</dc:title>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