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项目名称：滚料车间调整改造项目</w:t>
      </w:r>
    </w:p>
    <w:p>
      <w:pPr>
        <w:autoSpaceDE w:val="0"/>
        <w:autoSpaceDN w:val="0"/>
        <w:adjustRightInd w:val="0"/>
        <w:ind w:left="199" w:leftChars="95" w:firstLine="1620" w:firstLineChars="450"/>
        <w:jc w:val="left"/>
        <w:rPr>
          <w:rFonts w:hint="default" w:ascii="宋体" w:hAnsi="宋体" w:eastAsia="宋体"/>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lang w:val="en-US" w:eastAsia="zh-CN"/>
        </w:rPr>
        <w:t>1-001</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w:t>
      </w:r>
      <w:r>
        <w:rPr>
          <w:rFonts w:hint="eastAsia" w:ascii="楷体_GB2312" w:hAnsi="华文楷体" w:eastAsia="楷体_GB2312"/>
          <w:sz w:val="44"/>
          <w:szCs w:val="44"/>
          <w:lang w:val="en-US" w:eastAsia="zh-CN"/>
        </w:rPr>
        <w:t>一</w:t>
      </w:r>
      <w:r>
        <w:rPr>
          <w:rFonts w:hint="eastAsia" w:ascii="楷体_GB2312" w:hAnsi="华文楷体" w:eastAsia="楷体_GB2312"/>
          <w:sz w:val="44"/>
          <w:szCs w:val="44"/>
        </w:rPr>
        <w:t>年</w:t>
      </w:r>
      <w:r>
        <w:rPr>
          <w:rFonts w:hint="eastAsia" w:ascii="楷体_GB2312" w:hAnsi="华文楷体" w:eastAsia="楷体_GB2312"/>
          <w:sz w:val="44"/>
          <w:szCs w:val="44"/>
          <w:lang w:val="en-US" w:eastAsia="zh-CN"/>
        </w:rPr>
        <w:t>一</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成都恒达光学有限公司滚料车间调整改造项目组织询价，欢迎合格供应商报价。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项目名称：滚料车间调整改造项目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w:t>
      </w:r>
      <w:r>
        <w:rPr>
          <w:rFonts w:hint="eastAsia" w:ascii="仿宋_GB2312" w:eastAsia="仿宋_GB2312"/>
          <w:lang w:val="en-US" w:eastAsia="zh-CN"/>
        </w:rPr>
        <w:t>1-001</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改造滚料车间地面及调整机电设备，主要内容：滚料车间：地面改造；排水槽改建；机电设备重新定位安装、综合布线；高位水箱安装；终检车间：综合布线。费用主要包括人工费，材料费，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lang w:val="en-US" w:eastAsia="zh-CN"/>
        </w:rPr>
        <w:t>1</w:t>
      </w:r>
      <w:r>
        <w:rPr>
          <w:rFonts w:ascii="仿宋_GB2312" w:eastAsia="仿宋_GB2312"/>
          <w:b/>
          <w:sz w:val="24"/>
        </w:rPr>
        <w:t>年</w:t>
      </w:r>
      <w:r>
        <w:rPr>
          <w:rFonts w:hint="eastAsia" w:ascii="仿宋_GB2312" w:eastAsia="仿宋_GB2312"/>
          <w:b/>
          <w:sz w:val="24"/>
        </w:rPr>
        <w:t xml:space="preserve"> </w:t>
      </w:r>
      <w:r>
        <w:rPr>
          <w:rFonts w:hint="eastAsia" w:ascii="仿宋_GB2312" w:eastAsia="仿宋_GB2312"/>
          <w:b/>
          <w:sz w:val="24"/>
          <w:lang w:val="en-US" w:eastAsia="zh-CN"/>
        </w:rPr>
        <w:t>01</w:t>
      </w:r>
      <w:r>
        <w:rPr>
          <w:rFonts w:ascii="仿宋_GB2312" w:eastAsia="仿宋_GB2312"/>
          <w:b/>
          <w:sz w:val="24"/>
        </w:rPr>
        <w:t xml:space="preserve"> 月</w:t>
      </w:r>
      <w:r>
        <w:rPr>
          <w:rFonts w:hint="eastAsia" w:ascii="仿宋_GB2312" w:eastAsia="仿宋_GB2312"/>
          <w:b/>
          <w:sz w:val="24"/>
          <w:lang w:val="en-US" w:eastAsia="zh-CN"/>
        </w:rPr>
        <w:t>19</w:t>
      </w:r>
      <w:r>
        <w:rPr>
          <w:rFonts w:ascii="仿宋_GB2312" w:eastAsia="仿宋_GB2312"/>
          <w:b/>
          <w:sz w:val="24"/>
        </w:rPr>
        <w:t xml:space="preserve"> 日—202</w:t>
      </w:r>
      <w:r>
        <w:rPr>
          <w:rFonts w:hint="eastAsia" w:ascii="仿宋_GB2312" w:eastAsia="仿宋_GB2312"/>
          <w:b/>
          <w:sz w:val="24"/>
          <w:lang w:val="en-US" w:eastAsia="zh-CN"/>
        </w:rPr>
        <w:t>1</w:t>
      </w:r>
      <w:r>
        <w:rPr>
          <w:rFonts w:ascii="仿宋_GB2312" w:eastAsia="仿宋_GB2312"/>
          <w:b/>
          <w:sz w:val="24"/>
        </w:rPr>
        <w:t>年</w:t>
      </w:r>
      <w:r>
        <w:rPr>
          <w:rFonts w:hint="eastAsia" w:ascii="仿宋_GB2312" w:eastAsia="仿宋_GB2312"/>
          <w:b/>
          <w:sz w:val="24"/>
        </w:rPr>
        <w:t xml:space="preserve"> </w:t>
      </w:r>
      <w:r>
        <w:rPr>
          <w:rFonts w:hint="eastAsia" w:ascii="仿宋_GB2312" w:eastAsia="仿宋_GB2312"/>
          <w:b/>
          <w:sz w:val="24"/>
          <w:lang w:val="en-US" w:eastAsia="zh-CN"/>
        </w:rPr>
        <w:t>01</w:t>
      </w:r>
      <w:r>
        <w:rPr>
          <w:rFonts w:ascii="仿宋_GB2312" w:eastAsia="仿宋_GB2312"/>
          <w:b/>
          <w:sz w:val="24"/>
        </w:rPr>
        <w:t xml:space="preserve"> 月</w:t>
      </w:r>
      <w:r>
        <w:rPr>
          <w:rFonts w:hint="eastAsia" w:ascii="仿宋_GB2312" w:eastAsia="仿宋_GB2312"/>
          <w:b/>
          <w:sz w:val="24"/>
        </w:rPr>
        <w:t xml:space="preserve"> </w:t>
      </w:r>
      <w:r>
        <w:rPr>
          <w:rFonts w:hint="eastAsia" w:ascii="仿宋_GB2312" w:eastAsia="仿宋_GB2312"/>
          <w:b/>
          <w:sz w:val="24"/>
          <w:lang w:val="en-US" w:eastAsia="zh-CN"/>
        </w:rPr>
        <w:t>28</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lang w:val="en-US" w:eastAsia="zh-CN"/>
        </w:rPr>
        <w:t>1</w:t>
      </w:r>
      <w:r>
        <w:rPr>
          <w:rFonts w:ascii="仿宋_GB2312" w:eastAsia="仿宋_GB2312"/>
          <w:sz w:val="24"/>
        </w:rPr>
        <w:t>年</w:t>
      </w:r>
      <w:r>
        <w:rPr>
          <w:rFonts w:hint="eastAsia" w:ascii="仿宋_GB2312" w:eastAsia="仿宋_GB2312"/>
          <w:sz w:val="24"/>
          <w:lang w:val="en-US" w:eastAsia="zh-CN"/>
        </w:rPr>
        <w:t>01</w:t>
      </w:r>
      <w:r>
        <w:rPr>
          <w:rFonts w:ascii="仿宋_GB2312" w:eastAsia="仿宋_GB2312"/>
          <w:sz w:val="24"/>
        </w:rPr>
        <w:t>月</w:t>
      </w:r>
      <w:r>
        <w:rPr>
          <w:rFonts w:hint="eastAsia" w:ascii="仿宋_GB2312" w:eastAsia="仿宋_GB2312"/>
          <w:sz w:val="24"/>
          <w:lang w:val="en-US" w:eastAsia="zh-CN"/>
        </w:rPr>
        <w:t>28</w:t>
      </w:r>
      <w:r>
        <w:rPr>
          <w:rFonts w:ascii="仿宋_GB2312" w:eastAsia="仿宋_GB2312"/>
          <w:sz w:val="24"/>
        </w:rPr>
        <w:t>日</w:t>
      </w:r>
      <w:r>
        <w:rPr>
          <w:rFonts w:hint="eastAsia" w:ascii="仿宋_GB2312" w:eastAsia="仿宋_GB2312"/>
          <w:sz w:val="24"/>
        </w:rPr>
        <w:t>17:00</w:t>
      </w:r>
    </w:p>
    <w:p>
      <w:pPr>
        <w:spacing w:line="540" w:lineRule="exact"/>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w:t>
      </w:r>
      <w:r>
        <w:rPr>
          <w:rFonts w:ascii="仿宋_GB2312" w:eastAsia="仿宋_GB2312"/>
          <w:sz w:val="24"/>
        </w:rPr>
        <w:t>202</w:t>
      </w:r>
      <w:r>
        <w:rPr>
          <w:rFonts w:hint="eastAsia" w:ascii="仿宋_GB2312" w:eastAsia="仿宋_GB2312"/>
          <w:sz w:val="24"/>
          <w:lang w:val="en-US" w:eastAsia="zh-CN"/>
        </w:rPr>
        <w:t>1</w:t>
      </w:r>
      <w:r>
        <w:rPr>
          <w:rFonts w:ascii="仿宋_GB2312" w:eastAsia="仿宋_GB2312"/>
          <w:sz w:val="24"/>
        </w:rPr>
        <w:t>年</w:t>
      </w:r>
      <w:r>
        <w:rPr>
          <w:rFonts w:hint="eastAsia" w:ascii="仿宋_GB2312" w:eastAsia="仿宋_GB2312"/>
          <w:sz w:val="24"/>
          <w:lang w:val="en-US" w:eastAsia="zh-CN"/>
        </w:rPr>
        <w:t>01</w:t>
      </w:r>
      <w:r>
        <w:rPr>
          <w:rFonts w:ascii="仿宋_GB2312" w:eastAsia="仿宋_GB2312"/>
          <w:sz w:val="24"/>
        </w:rPr>
        <w:t>月</w:t>
      </w:r>
      <w:r>
        <w:rPr>
          <w:rFonts w:hint="eastAsia" w:ascii="仿宋_GB2312" w:eastAsia="仿宋_GB2312"/>
          <w:sz w:val="24"/>
          <w:lang w:val="en-US" w:eastAsia="zh-CN"/>
        </w:rPr>
        <w:t>28</w:t>
      </w:r>
      <w:r>
        <w:rPr>
          <w:rFonts w:ascii="仿宋_GB2312" w:eastAsia="仿宋_GB2312"/>
          <w:sz w:val="24"/>
        </w:rPr>
        <w:t>日</w:t>
      </w:r>
      <w:r>
        <w:rPr>
          <w:rFonts w:hint="eastAsia" w:ascii="仿宋_GB2312" w:eastAsia="仿宋_GB2312"/>
          <w:sz w:val="24"/>
        </w:rPr>
        <w:t>17:00分前不得启封”的字样。</w:t>
      </w:r>
    </w:p>
    <w:p>
      <w:pPr>
        <w:spacing w:line="460" w:lineRule="exact"/>
        <w:ind w:left="92" w:leftChars="44"/>
        <w:rPr>
          <w:rFonts w:ascii="仿宋_GB2312" w:eastAsia="仿宋_GB2312"/>
          <w:sz w:val="24"/>
        </w:rPr>
      </w:pPr>
      <w:r>
        <w:rPr>
          <w:rFonts w:hint="eastAsia" w:ascii="仿宋_GB2312" w:eastAsia="仿宋_GB2312"/>
          <w:sz w:val="24"/>
        </w:rPr>
        <w:t>（三）报价文件接收地点：都江堰市蒲阳经济开发区光泰路12号成都恒达光学有限公司财务部。</w:t>
      </w:r>
    </w:p>
    <w:p>
      <w:pPr>
        <w:spacing w:line="460" w:lineRule="exact"/>
        <w:ind w:firstLine="240" w:firstLineChars="100"/>
        <w:rPr>
          <w:rFonts w:ascii="仿宋_GB2312" w:eastAsia="仿宋_GB2312"/>
          <w:sz w:val="24"/>
        </w:rPr>
      </w:pPr>
      <w:r>
        <w:rPr>
          <w:rFonts w:hint="eastAsia" w:ascii="仿宋_GB2312" w:eastAsia="仿宋_GB2312"/>
          <w:sz w:val="24"/>
        </w:rPr>
        <w:t>（四）报价文件接收人：赵 姿 然</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rPr>
        <w:t xml:space="preserve"> </w:t>
      </w:r>
      <w:r>
        <w:rPr>
          <w:rFonts w:hint="eastAsia" w:ascii="宋体" w:hAnsi="宋体" w:cs="宋体"/>
          <w:color w:val="333333"/>
          <w:kern w:val="0"/>
          <w:sz w:val="22"/>
          <w:szCs w:val="21"/>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rPr>
          <w:rFonts w:ascii="仿宋_GB2312" w:eastAsia="仿宋_GB2312"/>
          <w:bCs/>
          <w:iCs/>
          <w:sz w:val="24"/>
        </w:rPr>
      </w:pPr>
      <w:r>
        <w:rPr>
          <w:rFonts w:hint="eastAsia" w:ascii="仿宋_GB2312" w:eastAsia="仿宋_GB2312"/>
          <w:bCs/>
          <w:iCs/>
          <w:sz w:val="24"/>
        </w:rPr>
        <w:t>联系人：彭科文</w:t>
      </w:r>
      <w:r>
        <w:rPr>
          <w:rFonts w:ascii="仿宋_GB2312" w:eastAsia="仿宋_GB2312"/>
          <w:bCs/>
          <w:iCs/>
          <w:sz w:val="24"/>
        </w:rPr>
        <w:t xml:space="preserve"> </w:t>
      </w:r>
      <w:r>
        <w:rPr>
          <w:rFonts w:hint="eastAsia" w:ascii="仿宋_GB2312" w:eastAsia="仿宋_GB2312"/>
          <w:bCs/>
          <w:iCs/>
          <w:sz w:val="24"/>
        </w:rPr>
        <w:t xml:space="preserve">                   </w:t>
      </w:r>
      <w:r>
        <w:rPr>
          <w:rFonts w:ascii="仿宋_GB2312" w:eastAsia="仿宋_GB2312"/>
          <w:bCs/>
          <w:iCs/>
          <w:sz w:val="24"/>
        </w:rPr>
        <w:t xml:space="preserve"> </w:t>
      </w:r>
      <w:r>
        <w:rPr>
          <w:rFonts w:hint="eastAsia" w:ascii="仿宋_GB2312" w:eastAsia="仿宋_GB2312"/>
          <w:bCs/>
          <w:iCs/>
          <w:sz w:val="24"/>
        </w:rPr>
        <w:t xml:space="preserve">   联系电话：</w:t>
      </w:r>
      <w:r>
        <w:rPr>
          <w:rFonts w:ascii="仿宋_GB2312" w:eastAsia="仿宋_GB2312"/>
          <w:bCs/>
          <w:iCs/>
          <w:sz w:val="24"/>
        </w:rPr>
        <w:t xml:space="preserve"> </w:t>
      </w:r>
      <w:r>
        <w:rPr>
          <w:rFonts w:hint="eastAsia" w:ascii="仿宋_GB2312" w:eastAsia="仿宋_GB2312"/>
          <w:bCs/>
          <w:iCs/>
          <w:sz w:val="24"/>
        </w:rPr>
        <w:t>15828380743</w:t>
      </w:r>
      <w:r>
        <w:rPr>
          <w:rFonts w:ascii="仿宋_GB2312" w:eastAsia="仿宋_GB2312"/>
          <w:bCs/>
          <w:iCs/>
          <w:sz w:val="24"/>
        </w:rPr>
        <w:t xml:space="preserve"> </w:t>
      </w:r>
      <w:r>
        <w:rPr>
          <w:rFonts w:hint="eastAsia" w:ascii="仿宋_GB2312" w:eastAsia="仿宋_GB2312"/>
          <w:bCs/>
          <w:iCs/>
          <w:sz w:val="24"/>
        </w:rPr>
        <w:t xml:space="preserve">     </w:t>
      </w:r>
    </w:p>
    <w:p>
      <w:pPr>
        <w:spacing w:line="460" w:lineRule="exact"/>
        <w:rPr>
          <w:rFonts w:ascii="仿宋_GB2312" w:hAnsi="宋体" w:eastAsia="仿宋_GB2312"/>
          <w:bCs/>
          <w:iCs/>
          <w:sz w:val="24"/>
        </w:rPr>
      </w:pPr>
      <w:r>
        <w:rPr>
          <w:rFonts w:hint="eastAsia" w:ascii="仿宋_GB2312" w:eastAsia="仿宋_GB2312"/>
          <w:bCs/>
          <w:iCs/>
          <w:sz w:val="24"/>
        </w:rPr>
        <w:t>联系地址：</w:t>
      </w:r>
      <w:r>
        <w:rPr>
          <w:rFonts w:hint="eastAsia" w:ascii="仿宋_GB2312" w:eastAsia="仿宋_GB2312"/>
          <w:sz w:val="24"/>
        </w:rPr>
        <w:t xml:space="preserve">四川省都江堰市经济开发区光泰路12号成都恒达光学有限公司。 </w:t>
      </w:r>
      <w:r>
        <w:rPr>
          <w:rFonts w:hint="eastAsia" w:ascii="仿宋_GB2312" w:hAnsi="宋体" w:eastAsia="仿宋_GB2312"/>
          <w:bCs/>
          <w:iCs/>
          <w:sz w:val="24"/>
        </w:rPr>
        <w:t xml:space="preserve">                </w:t>
      </w:r>
    </w:p>
    <w:p>
      <w:pPr>
        <w:pStyle w:val="10"/>
        <w:spacing w:line="400" w:lineRule="exact"/>
        <w:ind w:right="420"/>
        <w:jc w:val="center"/>
        <w:rPr>
          <w:rFonts w:hint="default" w:ascii="仿宋_GB2312" w:eastAsia="仿宋_GB2312"/>
          <w:sz w:val="24"/>
          <w:lang w:val="en-US" w:eastAsia="zh-CN"/>
        </w:rPr>
      </w:pPr>
      <w:r>
        <w:rPr>
          <w:rFonts w:hint="eastAsia" w:ascii="仿宋_GB2312" w:eastAsia="仿宋_GB2312"/>
          <w:sz w:val="24"/>
        </w:rPr>
        <w:t>询价采购监督</w:t>
      </w:r>
      <w:r>
        <w:rPr>
          <w:rFonts w:hint="eastAsia" w:ascii="仿宋_GB2312" w:eastAsia="仿宋_GB2312"/>
          <w:iCs/>
          <w:sz w:val="24"/>
        </w:rPr>
        <w:t>人：</w:t>
      </w:r>
      <w:r>
        <w:rPr>
          <w:rFonts w:hint="eastAsia" w:ascii="仿宋_GB2312" w:eastAsia="仿宋_GB2312"/>
          <w:iCs/>
          <w:sz w:val="24"/>
          <w:lang w:val="en-US" w:eastAsia="zh-CN"/>
        </w:rPr>
        <w:t>赵</w:t>
      </w:r>
      <w:r>
        <w:rPr>
          <w:rFonts w:hint="eastAsia" w:ascii="仿宋_GB2312" w:eastAsia="仿宋_GB2312"/>
          <w:iCs/>
          <w:sz w:val="24"/>
        </w:rPr>
        <w:t>小姐</w:t>
      </w:r>
      <w:r>
        <w:rPr>
          <w:rFonts w:ascii="仿宋_GB2312" w:eastAsia="仿宋_GB2312"/>
          <w:iCs/>
          <w:sz w:val="24"/>
        </w:rPr>
        <w:t xml:space="preserve">            </w:t>
      </w:r>
      <w:r>
        <w:rPr>
          <w:rFonts w:hint="eastAsia" w:ascii="仿宋_GB2312" w:eastAsia="仿宋_GB2312"/>
          <w:iCs/>
          <w:sz w:val="24"/>
        </w:rPr>
        <w:t xml:space="preserve">    联系电话：</w:t>
      </w:r>
      <w:r>
        <w:rPr>
          <w:rFonts w:hint="eastAsia" w:ascii="仿宋_GB2312" w:eastAsia="仿宋_GB2312"/>
          <w:iCs/>
          <w:sz w:val="24"/>
          <w:lang w:val="en-US" w:eastAsia="zh-CN"/>
        </w:rPr>
        <w:t>028-87235208</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hint="eastAsia"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Theme="majorEastAsia" w:hAnsiTheme="majorEastAsia" w:eastAsiaTheme="majorEastAsia"/>
              </w:rPr>
              <w:t>滚料车间调整改造项目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color w:val="000000"/>
                <w:kern w:val="0"/>
                <w:szCs w:val="21"/>
              </w:rPr>
            </w:pPr>
            <w:r>
              <w:rPr>
                <w:rFonts w:hAnsi="宋体"/>
                <w:color w:val="000000"/>
                <w:kern w:val="0"/>
                <w:szCs w:val="21"/>
              </w:rPr>
              <w:t>踏勘现场</w:t>
            </w:r>
          </w:p>
        </w:tc>
        <w:tc>
          <w:tcPr>
            <w:tcW w:w="6480" w:type="dxa"/>
            <w:vAlign w:val="center"/>
          </w:tcPr>
          <w:p>
            <w:pPr>
              <w:widowControl/>
              <w:spacing w:line="360" w:lineRule="exact"/>
              <w:jc w:val="left"/>
              <w:rPr>
                <w:rFonts w:hAnsi="宋体"/>
                <w:color w:val="000000"/>
                <w:szCs w:val="21"/>
              </w:rPr>
            </w:pPr>
            <w:r>
              <w:rPr>
                <w:rFonts w:hAnsi="宋体"/>
                <w:color w:val="000000"/>
                <w:szCs w:val="21"/>
              </w:rPr>
              <w:t>不组织，</w:t>
            </w:r>
            <w:r>
              <w:rPr>
                <w:rFonts w:hint="eastAsia" w:hAnsi="宋体"/>
                <w:color w:val="000000"/>
                <w:szCs w:val="21"/>
              </w:rPr>
              <w:t>可与我司设备管理员</w:t>
            </w:r>
            <w:r>
              <w:rPr>
                <w:rFonts w:hAnsi="宋体"/>
                <w:color w:val="000000"/>
                <w:szCs w:val="21"/>
              </w:rPr>
              <w:t>联系</w:t>
            </w:r>
            <w:r>
              <w:rPr>
                <w:rFonts w:hint="eastAsia" w:hAnsi="宋体"/>
                <w:color w:val="000000"/>
                <w:szCs w:val="21"/>
              </w:rPr>
              <w:t>答疑。</w:t>
            </w:r>
          </w:p>
          <w:p>
            <w:pPr>
              <w:widowControl/>
              <w:spacing w:line="360" w:lineRule="exact"/>
              <w:jc w:val="left"/>
              <w:rPr>
                <w:rFonts w:hAnsi="宋体"/>
                <w:color w:val="000000"/>
                <w:szCs w:val="21"/>
              </w:rPr>
            </w:pPr>
            <w:r>
              <w:rPr>
                <w:rFonts w:hint="eastAsia" w:hAnsi="宋体"/>
                <w:color w:val="000000"/>
                <w:szCs w:val="21"/>
              </w:rPr>
              <w:t xml:space="preserve">联系人：彭科文 </w:t>
            </w:r>
          </w:p>
          <w:p>
            <w:pPr>
              <w:widowControl/>
              <w:spacing w:line="360" w:lineRule="exact"/>
              <w:jc w:val="left"/>
              <w:rPr>
                <w:color w:val="000000"/>
                <w:kern w:val="0"/>
                <w:szCs w:val="21"/>
              </w:rPr>
            </w:pPr>
            <w:r>
              <w:rPr>
                <w:rFonts w:hint="eastAsia" w:hAnsi="宋体"/>
                <w:color w:val="000000"/>
                <w:szCs w:val="21"/>
              </w:rPr>
              <w:t>联系电话：</w:t>
            </w:r>
            <w:r>
              <w:rPr>
                <w:rFonts w:hAnsi="宋体"/>
                <w:color w:val="000000"/>
                <w:szCs w:val="21"/>
              </w:rPr>
              <w:t>028-87235208</w:t>
            </w:r>
            <w:r>
              <w:rPr>
                <w:rFonts w:hint="eastAsia" w:hAnsi="宋体"/>
                <w:color w:val="000000"/>
                <w:szCs w:val="21"/>
              </w:rPr>
              <w:t xml:space="preserve">  15828380743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交货期：出合同后15个日历日内交货。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施工安全管理</w:t>
            </w:r>
          </w:p>
        </w:tc>
        <w:tc>
          <w:tcPr>
            <w:tcW w:w="6480"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报价函（见附件三）；要求确认响应表（见附件四）；设备配置明细表（见附件五）；报价一览表（见附件六）；项目改造方案书；</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w:t>
            </w:r>
            <w:r>
              <w:rPr>
                <w:rFonts w:hint="eastAsia" w:hAnsi="宋体"/>
                <w:color w:val="000000"/>
                <w:spacing w:val="-8"/>
                <w:kern w:val="0"/>
                <w:szCs w:val="21"/>
                <w:lang w:val="en-US" w:eastAsia="zh-CN"/>
              </w:rPr>
              <w:t>21</w:t>
            </w:r>
            <w:r>
              <w:rPr>
                <w:rFonts w:hint="eastAsia" w:hAnsi="宋体"/>
                <w:color w:val="000000"/>
                <w:spacing w:val="-8"/>
                <w:kern w:val="0"/>
                <w:szCs w:val="21"/>
              </w:rPr>
              <w:t>年0</w:t>
            </w:r>
            <w:r>
              <w:rPr>
                <w:rFonts w:hint="eastAsia" w:hAnsi="宋体"/>
                <w:color w:val="000000"/>
                <w:spacing w:val="-8"/>
                <w:kern w:val="0"/>
                <w:szCs w:val="21"/>
                <w:lang w:val="en-US" w:eastAsia="zh-CN"/>
              </w:rPr>
              <w:t>1</w:t>
            </w:r>
            <w:r>
              <w:rPr>
                <w:rFonts w:hint="eastAsia" w:hAnsi="宋体"/>
                <w:color w:val="000000"/>
                <w:spacing w:val="-8"/>
                <w:kern w:val="0"/>
                <w:szCs w:val="21"/>
              </w:rPr>
              <w:t>月</w:t>
            </w:r>
            <w:r>
              <w:rPr>
                <w:rFonts w:hint="eastAsia" w:hAnsi="宋体"/>
                <w:color w:val="000000"/>
                <w:spacing w:val="-8"/>
                <w:kern w:val="0"/>
                <w:szCs w:val="21"/>
                <w:lang w:val="en-US" w:eastAsia="zh-CN"/>
              </w:rPr>
              <w:t>19</w:t>
            </w:r>
            <w:r>
              <w:rPr>
                <w:rFonts w:hint="eastAsia" w:hAnsi="宋体"/>
                <w:color w:val="000000"/>
                <w:spacing w:val="-8"/>
                <w:kern w:val="0"/>
                <w:szCs w:val="21"/>
              </w:rPr>
              <w:t>日</w:t>
            </w:r>
            <w:r>
              <w:rPr>
                <w:rFonts w:hint="eastAsia" w:hAnsi="宋体"/>
                <w:color w:val="000000"/>
                <w:spacing w:val="-8"/>
                <w:kern w:val="0"/>
                <w:szCs w:val="21"/>
                <w:lang w:val="en-US" w:eastAsia="zh-CN"/>
              </w:rPr>
              <w:t>8</w:t>
            </w:r>
            <w:r>
              <w:rPr>
                <w:rFonts w:hint="eastAsia" w:hAnsi="宋体"/>
                <w:color w:val="000000"/>
                <w:spacing w:val="-8"/>
                <w:kern w:val="0"/>
                <w:szCs w:val="21"/>
              </w:rPr>
              <w:t>:</w:t>
            </w:r>
            <w:r>
              <w:rPr>
                <w:rFonts w:hint="eastAsia" w:hAnsi="宋体"/>
                <w:color w:val="000000"/>
                <w:spacing w:val="-8"/>
                <w:kern w:val="0"/>
                <w:szCs w:val="21"/>
                <w:lang w:val="en-US" w:eastAsia="zh-CN"/>
              </w:rPr>
              <w:t>3</w:t>
            </w:r>
            <w:r>
              <w:rPr>
                <w:rFonts w:hint="eastAsia" w:hAnsi="宋体"/>
                <w:color w:val="000000"/>
                <w:spacing w:val="-8"/>
                <w:kern w:val="0"/>
                <w:szCs w:val="21"/>
              </w:rPr>
              <w:t>0时—202</w:t>
            </w:r>
            <w:r>
              <w:rPr>
                <w:rFonts w:hint="eastAsia" w:hAnsi="宋体"/>
                <w:color w:val="000000"/>
                <w:spacing w:val="-8"/>
                <w:kern w:val="0"/>
                <w:szCs w:val="21"/>
                <w:lang w:val="en-US" w:eastAsia="zh-CN"/>
              </w:rPr>
              <w:t>1</w:t>
            </w:r>
            <w:r>
              <w:rPr>
                <w:rFonts w:hint="eastAsia" w:hAnsi="宋体"/>
                <w:color w:val="000000"/>
                <w:spacing w:val="-8"/>
                <w:kern w:val="0"/>
                <w:szCs w:val="21"/>
              </w:rPr>
              <w:t>年0</w:t>
            </w:r>
            <w:r>
              <w:rPr>
                <w:rFonts w:hint="eastAsia" w:hAnsi="宋体"/>
                <w:color w:val="000000"/>
                <w:spacing w:val="-8"/>
                <w:kern w:val="0"/>
                <w:szCs w:val="21"/>
                <w:lang w:val="en-US" w:eastAsia="zh-CN"/>
              </w:rPr>
              <w:t>1</w:t>
            </w:r>
            <w:r>
              <w:rPr>
                <w:rFonts w:hint="eastAsia" w:hAnsi="宋体"/>
                <w:color w:val="000000"/>
                <w:spacing w:val="-8"/>
                <w:kern w:val="0"/>
                <w:szCs w:val="21"/>
              </w:rPr>
              <w:t>月</w:t>
            </w:r>
            <w:r>
              <w:rPr>
                <w:rFonts w:hint="eastAsia" w:hAnsi="宋体"/>
                <w:color w:val="000000"/>
                <w:spacing w:val="-8"/>
                <w:kern w:val="0"/>
                <w:szCs w:val="21"/>
                <w:lang w:val="en-US" w:eastAsia="zh-CN"/>
              </w:rPr>
              <w:t>28</w:t>
            </w:r>
            <w:bookmarkStart w:id="0" w:name="_GoBack"/>
            <w:bookmarkEnd w:id="0"/>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签订合同后支付总价的30%作为项目预付款，验收合格后支付65%，另5%作为质保金，整机质保期原则上不低于1年(振动电机质保期不低于2年)。</w:t>
            </w:r>
            <w:r>
              <w:rPr>
                <w:rFonts w:hint="eastAsia"/>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2.5</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业绩资料</w:t>
            </w:r>
          </w:p>
        </w:tc>
        <w:tc>
          <w:tcPr>
            <w:tcW w:w="6480" w:type="dxa"/>
            <w:vAlign w:val="center"/>
          </w:tcPr>
          <w:p>
            <w:pPr>
              <w:spacing w:line="360" w:lineRule="exact"/>
              <w:jc w:val="left"/>
              <w:rPr>
                <w:rFonts w:hAnsi="宋体"/>
                <w:color w:val="000000"/>
                <w:szCs w:val="21"/>
              </w:rPr>
            </w:pPr>
            <w:r>
              <w:rPr>
                <w:rFonts w:hint="eastAsia" w:hAnsi="宋体"/>
                <w:color w:val="000000"/>
                <w:szCs w:val="21"/>
              </w:rPr>
              <w:t>1.提供近3年内已验收的类似项目业绩总额明细。</w:t>
            </w:r>
          </w:p>
          <w:p>
            <w:pPr>
              <w:spacing w:line="360" w:lineRule="exact"/>
              <w:jc w:val="left"/>
              <w:rPr>
                <w:rFonts w:hAnsi="宋体"/>
                <w:color w:val="000000"/>
                <w:szCs w:val="21"/>
              </w:rPr>
            </w:pPr>
            <w:r>
              <w:rPr>
                <w:rFonts w:hint="eastAsia" w:hAnsi="宋体"/>
                <w:color w:val="000000"/>
                <w:szCs w:val="21"/>
              </w:rPr>
              <w:t>2.提供近3年内类似项目业绩的验收资料。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2.6</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000000"/>
                <w:szCs w:val="21"/>
              </w:rPr>
              <w:t>请按综合评分表上的序号放置所供资料（可做成单独附件进行装订）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spacing w:line="480" w:lineRule="exact"/>
        <w:rPr>
          <w:rFonts w:ascii="宋体" w:hAnsi="宋体"/>
          <w:b/>
          <w:sz w:val="24"/>
          <w:szCs w:val="24"/>
        </w:rPr>
      </w:pPr>
      <w:r>
        <w:rPr>
          <w:rFonts w:hint="eastAsia" w:ascii="宋体" w:hAnsi="宋体"/>
          <w:b/>
          <w:sz w:val="24"/>
          <w:szCs w:val="24"/>
        </w:rPr>
        <w:t>一.目的：</w:t>
      </w:r>
    </w:p>
    <w:p>
      <w:pPr>
        <w:tabs>
          <w:tab w:val="left" w:pos="1800"/>
          <w:tab w:val="left" w:pos="1980"/>
          <w:tab w:val="left" w:pos="7920"/>
        </w:tabs>
        <w:adjustRightInd w:val="0"/>
        <w:snapToGrid w:val="0"/>
        <w:spacing w:line="480" w:lineRule="exact"/>
        <w:ind w:firstLine="315" w:firstLineChars="150"/>
        <w:rPr>
          <w:rFonts w:ascii="宋体" w:hAnsi="宋体"/>
          <w:szCs w:val="21"/>
        </w:rPr>
      </w:pPr>
      <w:r>
        <w:rPr>
          <w:rFonts w:hint="eastAsia" w:ascii="宋体" w:hAnsi="宋体"/>
          <w:szCs w:val="21"/>
        </w:rPr>
        <w:t>优化生产环境，建立无水车间，合理布局车间设备，落实8</w:t>
      </w:r>
      <w:r>
        <w:rPr>
          <w:rFonts w:ascii="宋体" w:hAnsi="宋体"/>
          <w:szCs w:val="21"/>
        </w:rPr>
        <w:t>S</w:t>
      </w:r>
      <w:r>
        <w:rPr>
          <w:rFonts w:hint="eastAsia" w:ascii="宋体" w:hAnsi="宋体"/>
          <w:szCs w:val="21"/>
        </w:rPr>
        <w:t>中的整理、整顿、清扫、清洁、素养、安全、节约，进而提升工作效率。</w:t>
      </w:r>
    </w:p>
    <w:p>
      <w:pPr>
        <w:spacing w:line="480" w:lineRule="exact"/>
        <w:rPr>
          <w:rFonts w:ascii="宋体" w:hAnsi="宋体"/>
          <w:b/>
          <w:sz w:val="24"/>
          <w:szCs w:val="24"/>
        </w:rPr>
      </w:pPr>
      <w:r>
        <w:rPr>
          <w:rFonts w:hint="eastAsia" w:ascii="宋体" w:hAnsi="宋体"/>
          <w:b/>
          <w:sz w:val="24"/>
          <w:szCs w:val="24"/>
        </w:rPr>
        <w:t>二.范围：</w:t>
      </w:r>
    </w:p>
    <w:p>
      <w:pPr>
        <w:spacing w:line="480" w:lineRule="exact"/>
        <w:rPr>
          <w:rFonts w:ascii="宋体" w:hAnsi="宋体"/>
          <w:szCs w:val="21"/>
        </w:rPr>
      </w:pPr>
      <w:r>
        <w:rPr>
          <w:rFonts w:hint="eastAsia" w:ascii="宋体" w:hAnsi="宋体"/>
          <w:sz w:val="24"/>
          <w:szCs w:val="24"/>
        </w:rPr>
        <w:t xml:space="preserve">   </w:t>
      </w:r>
      <w:r>
        <w:rPr>
          <w:rFonts w:hint="eastAsia" w:ascii="宋体" w:hAnsi="宋体"/>
          <w:szCs w:val="21"/>
        </w:rPr>
        <w:t>成都恒达光学滚料车间、终检车间。</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三.调整改造要求</w:t>
      </w:r>
    </w:p>
    <w:p>
      <w:pPr>
        <w:widowControl/>
        <w:spacing w:line="480" w:lineRule="exact"/>
        <w:jc w:val="left"/>
        <w:rPr>
          <w:rFonts w:ascii="宋体" w:hAnsi="宋体"/>
          <w:szCs w:val="21"/>
        </w:rPr>
      </w:pPr>
      <w:r>
        <w:rPr>
          <w:rFonts w:hint="eastAsia" w:ascii="宋体" w:hAnsi="宋体"/>
          <w:sz w:val="24"/>
          <w:szCs w:val="24"/>
        </w:rPr>
        <w:t xml:space="preserve">   </w:t>
      </w:r>
      <w:r>
        <w:rPr>
          <w:rFonts w:hint="eastAsia" w:ascii="宋体" w:hAnsi="宋体"/>
          <w:szCs w:val="21"/>
        </w:rPr>
        <w:t>1.现车间状况</w:t>
      </w:r>
    </w:p>
    <w:p>
      <w:pPr>
        <w:widowControl/>
        <w:spacing w:line="480" w:lineRule="exact"/>
        <w:ind w:firstLine="420" w:firstLineChars="200"/>
        <w:jc w:val="left"/>
        <w:rPr>
          <w:rFonts w:ascii="宋体" w:hAnsi="宋体"/>
          <w:szCs w:val="21"/>
        </w:rPr>
      </w:pPr>
      <w:r>
        <w:rPr>
          <w:rFonts w:hint="eastAsia" w:ascii="宋体" w:hAnsi="宋体"/>
          <w:szCs w:val="21"/>
        </w:rPr>
        <w:t>滚料车间目前在位设备4</w:t>
      </w:r>
      <w:r>
        <w:rPr>
          <w:rFonts w:ascii="宋体" w:hAnsi="宋体"/>
          <w:szCs w:val="21"/>
        </w:rPr>
        <w:t>2</w:t>
      </w:r>
      <w:r>
        <w:rPr>
          <w:rFonts w:hint="eastAsia" w:ascii="宋体" w:hAnsi="宋体"/>
          <w:szCs w:val="21"/>
        </w:rPr>
        <w:t>台，二级配电柜1个，三级配电柜4</w:t>
      </w:r>
      <w:r>
        <w:rPr>
          <w:rFonts w:ascii="宋体" w:hAnsi="宋体"/>
          <w:szCs w:val="21"/>
        </w:rPr>
        <w:t>2</w:t>
      </w:r>
      <w:r>
        <w:rPr>
          <w:rFonts w:hint="eastAsia" w:ascii="宋体" w:hAnsi="宋体"/>
          <w:szCs w:val="21"/>
        </w:rPr>
        <w:t>个，架空安装电缆桥架3条，自来水水管1</w:t>
      </w:r>
      <w:r>
        <w:rPr>
          <w:rFonts w:ascii="宋体" w:hAnsi="宋体"/>
          <w:szCs w:val="21"/>
        </w:rPr>
        <w:t>00</w:t>
      </w:r>
      <w:r>
        <w:rPr>
          <w:rFonts w:hint="eastAsia" w:ascii="宋体" w:hAnsi="宋体"/>
          <w:szCs w:val="21"/>
        </w:rPr>
        <w:t>米，水槽4条；终检车间贴地安装电缆桥架1条。</w:t>
      </w:r>
    </w:p>
    <w:p>
      <w:pPr>
        <w:widowControl/>
        <w:spacing w:line="480" w:lineRule="exact"/>
        <w:ind w:firstLine="420" w:firstLineChars="200"/>
        <w:jc w:val="left"/>
        <w:rPr>
          <w:rFonts w:ascii="宋体" w:hAnsi="宋体"/>
          <w:szCs w:val="21"/>
        </w:rPr>
      </w:pPr>
      <w:r>
        <w:rPr>
          <w:rFonts w:hint="eastAsia" w:ascii="宋体" w:hAnsi="宋体"/>
          <w:szCs w:val="21"/>
        </w:rPr>
        <w:t>2.调整改造内容</w:t>
      </w:r>
    </w:p>
    <w:p>
      <w:pPr>
        <w:pStyle w:val="42"/>
        <w:widowControl/>
        <w:numPr>
          <w:ilvl w:val="1"/>
          <w:numId w:val="1"/>
        </w:numPr>
        <w:spacing w:line="480" w:lineRule="exact"/>
        <w:ind w:firstLineChars="0"/>
        <w:jc w:val="left"/>
        <w:rPr>
          <w:rFonts w:ascii="宋体" w:hAnsi="宋体"/>
          <w:szCs w:val="21"/>
        </w:rPr>
      </w:pPr>
      <w:r>
        <w:rPr>
          <w:rFonts w:hint="eastAsia" w:ascii="宋体" w:hAnsi="宋体"/>
          <w:szCs w:val="21"/>
        </w:rPr>
        <w:t>滚料车间：地面进行坡度改造；排水水槽改造；设备安装位置调整；设备原有连接桥架、线缆拆除；设备桥架安装、线缆敷设、进水管道安装；高位水箱安装；</w:t>
      </w:r>
    </w:p>
    <w:p>
      <w:pPr>
        <w:pStyle w:val="42"/>
        <w:widowControl/>
        <w:numPr>
          <w:ilvl w:val="1"/>
          <w:numId w:val="1"/>
        </w:numPr>
        <w:spacing w:line="480" w:lineRule="exact"/>
        <w:ind w:firstLineChars="0"/>
        <w:jc w:val="left"/>
        <w:rPr>
          <w:rFonts w:ascii="宋体" w:hAnsi="宋体"/>
          <w:szCs w:val="21"/>
        </w:rPr>
      </w:pPr>
      <w:r>
        <w:rPr>
          <w:rFonts w:hint="eastAsia" w:ascii="宋体" w:hAnsi="宋体"/>
          <w:szCs w:val="21"/>
        </w:rPr>
        <w:t>终检车间：设备原有线缆、桥架拆除；桥架及支架安装；线缆敷设</w:t>
      </w:r>
    </w:p>
    <w:p>
      <w:pPr>
        <w:widowControl/>
        <w:spacing w:line="480" w:lineRule="exact"/>
        <w:ind w:firstLine="420" w:firstLineChars="200"/>
        <w:jc w:val="left"/>
        <w:rPr>
          <w:rFonts w:ascii="宋体" w:hAnsi="宋体"/>
          <w:szCs w:val="21"/>
        </w:rPr>
      </w:pPr>
      <w:r>
        <w:rPr>
          <w:rFonts w:hint="eastAsia" w:ascii="宋体" w:hAnsi="宋体"/>
          <w:szCs w:val="21"/>
        </w:rPr>
        <w:t>3.调整改造技术要求</w:t>
      </w:r>
    </w:p>
    <w:p>
      <w:pPr>
        <w:pStyle w:val="42"/>
        <w:numPr>
          <w:ilvl w:val="0"/>
          <w:numId w:val="2"/>
        </w:numPr>
        <w:spacing w:line="360" w:lineRule="auto"/>
        <w:ind w:firstLineChars="0"/>
      </w:pPr>
      <w:r>
        <w:rPr>
          <w:rFonts w:hint="eastAsia"/>
        </w:rPr>
        <w:t>排水支槽5％的坡度排向排水干槽，排水干槽2％的坡度排向集水坑；</w:t>
      </w:r>
    </w:p>
    <w:p>
      <w:pPr>
        <w:pStyle w:val="42"/>
        <w:numPr>
          <w:ilvl w:val="0"/>
          <w:numId w:val="2"/>
        </w:numPr>
        <w:spacing w:line="360" w:lineRule="auto"/>
        <w:ind w:firstLineChars="0"/>
      </w:pPr>
      <w:r>
        <w:rPr>
          <w:rFonts w:hint="eastAsia"/>
        </w:rPr>
        <w:t>滚料车间车间地坪排水</w:t>
      </w:r>
      <w:r>
        <w:t>2</w:t>
      </w:r>
      <w:r>
        <w:rPr>
          <w:rFonts w:hint="eastAsia"/>
        </w:rPr>
        <w:t>％的坡度排向排水干槽；</w:t>
      </w:r>
    </w:p>
    <w:p>
      <w:pPr>
        <w:pStyle w:val="42"/>
        <w:numPr>
          <w:ilvl w:val="0"/>
          <w:numId w:val="2"/>
        </w:numPr>
        <w:spacing w:line="360" w:lineRule="auto"/>
        <w:ind w:firstLineChars="0"/>
      </w:pPr>
      <w:r>
        <w:rPr>
          <w:rFonts w:hint="eastAsia"/>
        </w:rPr>
        <w:t>设备安装接地面地坪必须保证水平；</w:t>
      </w:r>
    </w:p>
    <w:p>
      <w:pPr>
        <w:pStyle w:val="42"/>
        <w:numPr>
          <w:ilvl w:val="0"/>
          <w:numId w:val="2"/>
        </w:numPr>
        <w:spacing w:line="360" w:lineRule="auto"/>
        <w:ind w:firstLineChars="0"/>
      </w:pPr>
      <w:r>
        <w:rPr>
          <w:rFonts w:hint="eastAsia"/>
        </w:rPr>
        <w:t>排水槽顺直，宽窄一致，坡向正确，沟内抹面光滑，盖板铺设顺直，平整，安装牢固，无破损；</w:t>
      </w:r>
    </w:p>
    <w:p>
      <w:pPr>
        <w:pStyle w:val="42"/>
        <w:numPr>
          <w:ilvl w:val="0"/>
          <w:numId w:val="3"/>
        </w:numPr>
        <w:spacing w:line="360" w:lineRule="auto"/>
        <w:ind w:left="357" w:hanging="357" w:firstLineChars="0"/>
      </w:pPr>
      <w:r>
        <w:rPr>
          <w:rFonts w:hint="eastAsia"/>
        </w:rPr>
        <w:t>地面需做防滑地坪漆；</w:t>
      </w:r>
    </w:p>
    <w:p>
      <w:pPr>
        <w:pStyle w:val="42"/>
        <w:numPr>
          <w:ilvl w:val="0"/>
          <w:numId w:val="3"/>
        </w:numPr>
        <w:spacing w:line="360" w:lineRule="auto"/>
        <w:ind w:left="357" w:hanging="357" w:firstLineChars="0"/>
      </w:pPr>
      <w:r>
        <w:rPr>
          <w:rFonts w:hint="eastAsia"/>
        </w:rPr>
        <w:t>桥架安装应符合规范要求，固定牢固，立柱支架与地面应焊接底盘打膨胀螺栓连接，立柱支架安装距离≤3米；</w:t>
      </w:r>
    </w:p>
    <w:p>
      <w:pPr>
        <w:pStyle w:val="42"/>
        <w:numPr>
          <w:ilvl w:val="0"/>
          <w:numId w:val="3"/>
        </w:numPr>
        <w:spacing w:line="360" w:lineRule="auto"/>
        <w:ind w:left="357" w:hanging="357" w:firstLineChars="0"/>
      </w:pPr>
      <w:r>
        <w:rPr>
          <w:rFonts w:hint="eastAsia"/>
        </w:rPr>
        <w:t>安装滚料机械设备均采用膨胀螺栓固定至地面；</w:t>
      </w:r>
    </w:p>
    <w:p>
      <w:pPr>
        <w:pStyle w:val="42"/>
        <w:numPr>
          <w:ilvl w:val="0"/>
          <w:numId w:val="3"/>
        </w:numPr>
        <w:spacing w:line="360" w:lineRule="auto"/>
        <w:ind w:left="357" w:hanging="357" w:firstLineChars="0"/>
      </w:pPr>
      <w:r>
        <w:rPr>
          <w:rFonts w:hint="eastAsia"/>
        </w:rPr>
        <w:t>桥架、线缆、水泥、钢材、水箱等主要材料须提供检验报告、合格证；</w:t>
      </w:r>
    </w:p>
    <w:p>
      <w:pPr>
        <w:pStyle w:val="42"/>
        <w:numPr>
          <w:ilvl w:val="0"/>
          <w:numId w:val="3"/>
        </w:numPr>
        <w:spacing w:line="360" w:lineRule="auto"/>
        <w:ind w:left="357" w:hanging="357" w:firstLineChars="0"/>
      </w:pPr>
      <w:r>
        <w:rPr>
          <w:rFonts w:hint="eastAsia"/>
        </w:rPr>
        <w:t>高位水箱设置浮球阀，自动注停水，进水管水箱进口处设置阀门，排水管设置阀门手动开关进行冲洗；</w:t>
      </w:r>
    </w:p>
    <w:p>
      <w:pPr>
        <w:pStyle w:val="42"/>
        <w:numPr>
          <w:ilvl w:val="0"/>
          <w:numId w:val="3"/>
        </w:numPr>
        <w:spacing w:line="360" w:lineRule="auto"/>
        <w:ind w:left="357" w:hanging="357" w:firstLineChars="0"/>
      </w:pPr>
      <w:r>
        <w:rPr>
          <w:rFonts w:hint="eastAsia"/>
        </w:rPr>
        <w:t>所有采用主材、辅材均要求防腐、防锈，切割、焊接连接处做防腐、防锈处理；</w:t>
      </w:r>
    </w:p>
    <w:p>
      <w:pPr>
        <w:pStyle w:val="42"/>
        <w:numPr>
          <w:ilvl w:val="0"/>
          <w:numId w:val="3"/>
        </w:numPr>
        <w:spacing w:line="360" w:lineRule="auto"/>
        <w:ind w:left="357" w:hanging="357" w:firstLineChars="0"/>
      </w:pPr>
      <w:r>
        <w:rPr>
          <w:rFonts w:hint="eastAsia"/>
        </w:rPr>
        <w:t>所有布管、布线、设备安装，做到横平竖直（除图纸内要求外），合理布局，达到美观实用的效果；</w:t>
      </w:r>
    </w:p>
    <w:p>
      <w:pPr>
        <w:widowControl/>
        <w:spacing w:line="480" w:lineRule="exact"/>
        <w:ind w:firstLine="480" w:firstLineChars="200"/>
        <w:jc w:val="left"/>
        <w:rPr>
          <w:rFonts w:ascii="宋体" w:hAnsi="宋体"/>
          <w:sz w:val="24"/>
          <w:szCs w:val="24"/>
        </w:rPr>
      </w:pPr>
      <w:r>
        <w:rPr>
          <w:rFonts w:hint="eastAsia" w:ascii="宋体" w:hAnsi="宋体"/>
          <w:sz w:val="24"/>
          <w:szCs w:val="24"/>
        </w:rPr>
        <w:t>4.施工要求</w:t>
      </w:r>
    </w:p>
    <w:p>
      <w:pPr>
        <w:widowControl/>
        <w:spacing w:line="480" w:lineRule="exact"/>
        <w:ind w:firstLine="420" w:firstLineChars="200"/>
        <w:jc w:val="left"/>
        <w:rPr>
          <w:rFonts w:ascii="宋体" w:hAnsi="宋体"/>
          <w:szCs w:val="21"/>
        </w:rPr>
      </w:pPr>
      <w:r>
        <w:rPr>
          <w:rFonts w:hint="eastAsia" w:ascii="宋体" w:hAnsi="宋体"/>
          <w:szCs w:val="21"/>
        </w:rPr>
        <w:t>项目施工区域限于滚料、终检车间及车间外围，施工时间为每天8:00—17:30。如需延长施工时间，须由投标方项目负责人当日提出纸质申请，由招标方生产部及综合部部长联合签字批准方能生效，每日延长施工时间不得超过2小时，申请仅为当日有效，严禁夜间作业。</w:t>
      </w:r>
    </w:p>
    <w:p>
      <w:pPr>
        <w:widowControl/>
        <w:spacing w:line="480" w:lineRule="exact"/>
        <w:ind w:firstLine="420" w:firstLineChars="200"/>
        <w:jc w:val="left"/>
        <w:rPr>
          <w:rFonts w:ascii="宋体" w:hAnsi="宋体"/>
          <w:szCs w:val="21"/>
        </w:rPr>
      </w:pPr>
      <w:r>
        <w:rPr>
          <w:rFonts w:hint="eastAsia" w:ascii="宋体" w:hAnsi="宋体"/>
          <w:szCs w:val="21"/>
        </w:rPr>
        <w:t>施工所需用电由招标方提供，供电线缆匹配至施工区域10米内。招标方人员配合施工人员对所需水电供给的管理，必要时招标方有权切断水电的供给。</w:t>
      </w:r>
    </w:p>
    <w:p>
      <w:pPr>
        <w:widowControl/>
        <w:spacing w:line="480" w:lineRule="exact"/>
        <w:ind w:firstLine="420" w:firstLineChars="200"/>
        <w:jc w:val="left"/>
        <w:rPr>
          <w:rFonts w:ascii="宋体" w:hAnsi="宋体"/>
          <w:szCs w:val="21"/>
        </w:rPr>
      </w:pPr>
      <w:r>
        <w:rPr>
          <w:rFonts w:hint="eastAsia" w:ascii="宋体" w:hAnsi="宋体"/>
          <w:szCs w:val="21"/>
        </w:rPr>
        <w:t>施工前，施工方需对施工期间造成的环境污染（如噪音、光辐射、水污染等）做出评估并制定相关的处理措施报招标方审核。</w:t>
      </w:r>
    </w:p>
    <w:p>
      <w:pPr>
        <w:widowControl/>
        <w:spacing w:line="480" w:lineRule="exact"/>
        <w:ind w:firstLine="420" w:firstLineChars="200"/>
        <w:jc w:val="left"/>
        <w:rPr>
          <w:rFonts w:ascii="宋体" w:hAnsi="宋体"/>
          <w:szCs w:val="21"/>
        </w:rPr>
      </w:pPr>
      <w:r>
        <w:rPr>
          <w:rFonts w:hint="eastAsia" w:ascii="宋体" w:hAnsi="宋体"/>
          <w:szCs w:val="21"/>
        </w:rPr>
        <w:t>施工期间的施工区域卫生由施工人员负责，实行下班清扫整理，每日两次，期间因施工产生的垃圾由施工单位负责处理。</w:t>
      </w:r>
    </w:p>
    <w:p>
      <w:pPr>
        <w:widowControl/>
        <w:spacing w:line="480" w:lineRule="exact"/>
        <w:ind w:firstLine="420" w:firstLineChars="200"/>
        <w:jc w:val="left"/>
        <w:rPr>
          <w:rFonts w:ascii="宋体" w:hAnsi="宋体"/>
          <w:szCs w:val="21"/>
        </w:rPr>
      </w:pPr>
      <w:r>
        <w:rPr>
          <w:rFonts w:hint="eastAsia" w:ascii="宋体" w:hAnsi="宋体"/>
          <w:szCs w:val="21"/>
        </w:rPr>
        <w:t>施工期间，施工人员应遵守恒达光学厂区的相关规定。</w:t>
      </w:r>
    </w:p>
    <w:p>
      <w:pPr>
        <w:widowControl/>
        <w:spacing w:line="480" w:lineRule="exact"/>
        <w:ind w:firstLine="420" w:firstLineChars="200"/>
        <w:jc w:val="left"/>
        <w:rPr>
          <w:rFonts w:ascii="宋体" w:hAnsi="宋体"/>
          <w:szCs w:val="21"/>
        </w:rPr>
      </w:pPr>
      <w:r>
        <w:rPr>
          <w:rFonts w:hint="eastAsia" w:ascii="宋体" w:hAnsi="宋体"/>
          <w:szCs w:val="21"/>
        </w:rPr>
        <w:t>5.技术文件</w:t>
      </w:r>
    </w:p>
    <w:p>
      <w:pPr>
        <w:spacing w:line="480" w:lineRule="exact"/>
        <w:ind w:firstLine="420" w:firstLineChars="200"/>
        <w:rPr>
          <w:rFonts w:ascii="宋体" w:hAnsi="宋体" w:cs="宋体"/>
          <w:kern w:val="0"/>
          <w:szCs w:val="21"/>
        </w:rPr>
      </w:pPr>
      <w:r>
        <w:rPr>
          <w:rFonts w:hint="eastAsia" w:ascii="宋体" w:hAnsi="宋体" w:cs="宋体"/>
          <w:kern w:val="0"/>
          <w:szCs w:val="21"/>
        </w:rPr>
        <w:t>供方应提供的技术文件内容，投标时应提供基建材料的生产许可证、合格证及主要技术参数或相关文件资料。</w:t>
      </w:r>
    </w:p>
    <w:p>
      <w:pPr>
        <w:spacing w:line="480" w:lineRule="exact"/>
        <w:ind w:firstLine="420" w:firstLineChars="200"/>
        <w:rPr>
          <w:rFonts w:ascii="宋体" w:hAnsi="宋体" w:cs="宋体"/>
          <w:kern w:val="0"/>
          <w:szCs w:val="21"/>
        </w:rPr>
      </w:pPr>
      <w:r>
        <w:rPr>
          <w:rFonts w:hint="eastAsia" w:ascii="宋体" w:hAnsi="宋体" w:cs="宋体"/>
          <w:kern w:val="0"/>
          <w:szCs w:val="21"/>
        </w:rPr>
        <w:t>投标时应提供调整改造实施的具体方案或相关资料，包含但不限于编制依据、工程概况、施工准备、施工安排、施工方法、质量要求、后期处理等。</w:t>
      </w:r>
    </w:p>
    <w:p>
      <w:pPr>
        <w:spacing w:line="480" w:lineRule="exact"/>
        <w:ind w:firstLine="420" w:firstLineChars="200"/>
        <w:rPr>
          <w:rFonts w:ascii="宋体" w:hAnsi="宋体"/>
          <w:szCs w:val="21"/>
        </w:rPr>
      </w:pPr>
      <w:r>
        <w:rPr>
          <w:rFonts w:hint="eastAsia" w:ascii="宋体" w:hAnsi="宋体" w:cs="宋体"/>
          <w:kern w:val="0"/>
          <w:szCs w:val="21"/>
        </w:rPr>
        <w:t>6.</w:t>
      </w:r>
      <w:r>
        <w:rPr>
          <w:rFonts w:hint="eastAsia" w:ascii="宋体" w:hAnsi="宋体"/>
          <w:szCs w:val="21"/>
        </w:rPr>
        <w:t xml:space="preserve"> 技术服务</w:t>
      </w:r>
    </w:p>
    <w:p>
      <w:pPr>
        <w:pStyle w:val="42"/>
        <w:numPr>
          <w:ilvl w:val="1"/>
          <w:numId w:val="4"/>
        </w:numPr>
        <w:spacing w:line="480" w:lineRule="exact"/>
        <w:ind w:firstLineChars="0"/>
        <w:rPr>
          <w:rFonts w:ascii="宋体" w:hAnsi="宋体" w:cs="宋体"/>
          <w:kern w:val="0"/>
          <w:szCs w:val="21"/>
        </w:rPr>
      </w:pPr>
      <w:r>
        <w:rPr>
          <w:rFonts w:hint="eastAsia" w:ascii="宋体" w:hAnsi="宋体" w:cs="宋体"/>
          <w:kern w:val="0"/>
          <w:szCs w:val="21"/>
        </w:rPr>
        <w:t>供方应做好售前服务工作，推荐的施工方案及材料选择，应满足节能环保、操作方便、效率高、维护工作量少、防腐防锈等特点。</w:t>
      </w:r>
    </w:p>
    <w:p>
      <w:pPr>
        <w:pStyle w:val="42"/>
        <w:numPr>
          <w:ilvl w:val="1"/>
          <w:numId w:val="4"/>
        </w:numPr>
        <w:spacing w:line="480" w:lineRule="exact"/>
        <w:ind w:firstLineChars="0"/>
        <w:rPr>
          <w:rFonts w:ascii="宋体" w:hAnsi="宋体" w:cs="宋体"/>
          <w:kern w:val="0"/>
          <w:szCs w:val="21"/>
        </w:rPr>
      </w:pPr>
      <w:r>
        <w:rPr>
          <w:rFonts w:hint="eastAsia" w:ascii="宋体" w:hAnsi="宋体" w:cs="宋体"/>
          <w:kern w:val="0"/>
          <w:szCs w:val="21"/>
        </w:rPr>
        <w:t>供方必须严格按照交付进度提供技术资料、施工材料及相应的服务。</w:t>
      </w:r>
    </w:p>
    <w:p>
      <w:pPr>
        <w:pStyle w:val="42"/>
        <w:numPr>
          <w:ilvl w:val="1"/>
          <w:numId w:val="4"/>
        </w:numPr>
        <w:spacing w:line="480" w:lineRule="exact"/>
        <w:ind w:firstLineChars="0"/>
        <w:rPr>
          <w:rFonts w:ascii="宋体" w:hAnsi="宋体" w:cs="宋体"/>
          <w:kern w:val="0"/>
          <w:szCs w:val="21"/>
        </w:rPr>
      </w:pPr>
      <w:r>
        <w:rPr>
          <w:rFonts w:hint="eastAsia" w:ascii="宋体" w:hAnsi="宋体" w:cs="宋体"/>
          <w:kern w:val="0"/>
          <w:szCs w:val="21"/>
        </w:rPr>
        <w:t>供方应对提供的材料、技术文件等的质量和完整性负全面责任。</w:t>
      </w:r>
    </w:p>
    <w:p>
      <w:pPr>
        <w:pStyle w:val="42"/>
        <w:numPr>
          <w:ilvl w:val="1"/>
          <w:numId w:val="4"/>
        </w:numPr>
        <w:spacing w:line="480" w:lineRule="exact"/>
        <w:ind w:firstLineChars="0"/>
        <w:rPr>
          <w:rFonts w:ascii="宋体" w:hAnsi="宋体" w:cs="宋体"/>
          <w:kern w:val="0"/>
          <w:szCs w:val="21"/>
        </w:rPr>
      </w:pPr>
      <w:r>
        <w:rPr>
          <w:rFonts w:hint="eastAsia" w:ascii="宋体" w:hAnsi="宋体" w:cs="宋体"/>
          <w:kern w:val="0"/>
          <w:szCs w:val="21"/>
        </w:rPr>
        <w:t>供方应选派有经验的技术人员做好施工服务工作，包括工程设计配合，施工安装监督指导，发现问题及时处理，现场沟通协调，必要的培训工作等。</w:t>
      </w:r>
    </w:p>
    <w:p>
      <w:pPr>
        <w:widowControl/>
        <w:spacing w:line="480" w:lineRule="exact"/>
        <w:jc w:val="left"/>
        <w:rPr>
          <w:rFonts w:ascii="宋体" w:hAnsi="宋体"/>
          <w:b/>
          <w:sz w:val="24"/>
          <w:szCs w:val="24"/>
        </w:rPr>
      </w:pPr>
      <w:r>
        <w:rPr>
          <w:rFonts w:hint="eastAsia" w:ascii="宋体" w:hAnsi="宋体"/>
          <w:b/>
          <w:sz w:val="24"/>
          <w:szCs w:val="24"/>
        </w:rPr>
        <w:t>四.施工安全管理</w:t>
      </w:r>
    </w:p>
    <w:p>
      <w:pPr>
        <w:widowControl/>
        <w:spacing w:line="480" w:lineRule="exact"/>
        <w:ind w:firstLine="465"/>
        <w:jc w:val="left"/>
        <w:rPr>
          <w:rFonts w:ascii="宋体" w:hAnsi="宋体"/>
          <w:szCs w:val="21"/>
        </w:rPr>
      </w:pPr>
      <w:r>
        <w:rPr>
          <w:rFonts w:hint="eastAsia" w:ascii="宋体" w:hAnsi="宋体"/>
          <w:szCs w:val="21"/>
        </w:rPr>
        <w:t>1.安全责任</w:t>
      </w:r>
    </w:p>
    <w:p>
      <w:pPr>
        <w:widowControl/>
        <w:spacing w:line="480" w:lineRule="exact"/>
        <w:ind w:firstLine="465"/>
        <w:jc w:val="left"/>
        <w:rPr>
          <w:rFonts w:ascii="宋体" w:hAnsi="宋体"/>
          <w:szCs w:val="21"/>
        </w:rPr>
      </w:pPr>
      <w:r>
        <w:rPr>
          <w:rFonts w:hint="eastAsia" w:ascii="宋体" w:hAnsi="宋体"/>
          <w:szCs w:val="21"/>
        </w:rPr>
        <w:t>本次改造的施工安全由施工单位全权负责，招标方不定期组织人员对施工现场进行安全检查，对所发现的安全问题，施工单位应及时整改；如整改不到位，招标方有权停止施工方作业。</w:t>
      </w:r>
    </w:p>
    <w:p>
      <w:pPr>
        <w:widowControl/>
        <w:spacing w:line="480" w:lineRule="exact"/>
        <w:ind w:firstLine="465"/>
        <w:jc w:val="left"/>
        <w:rPr>
          <w:rFonts w:ascii="宋体" w:hAnsi="宋体"/>
          <w:szCs w:val="21"/>
        </w:rPr>
      </w:pPr>
      <w:r>
        <w:rPr>
          <w:rFonts w:hint="eastAsia" w:ascii="宋体" w:hAnsi="宋体"/>
          <w:szCs w:val="21"/>
        </w:rPr>
        <w:t>2.施工方提供的安全资料应包含但不限于安全施工、公司安全培训相关资料，特种人员操作证明。</w:t>
      </w:r>
    </w:p>
    <w:p>
      <w:pPr>
        <w:widowControl/>
        <w:spacing w:line="480" w:lineRule="exact"/>
        <w:ind w:firstLine="465"/>
        <w:jc w:val="left"/>
        <w:rPr>
          <w:rFonts w:ascii="宋体" w:hAnsi="宋体"/>
          <w:szCs w:val="21"/>
        </w:rPr>
      </w:pPr>
      <w:r>
        <w:rPr>
          <w:rFonts w:hint="eastAsia" w:ascii="宋体" w:hAnsi="宋体"/>
          <w:szCs w:val="21"/>
        </w:rPr>
        <w:t>3.入厂安全注意事项由招标方组织施工方进行学习，施工方应积极配合，不得无故缺席或拒绝参加。施工方应严格遵守招标方的施工管理规定，严格履行其相关方管理规定的各项内容。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五.验收标准及质保期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1.验收标准</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地面平整、防滑，排水迅速，排水流向正确；</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排水水槽内抹面光滑，水流顺畅，排淤干净、迅速；</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设备、桥架、配电箱等机电安装类目安装牢固，运行正常；</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配电箱、桥架内电缆敷设，横平竖直，固定牢实；</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管、线固定牢固且施工工艺美观，电气线路无裸露；</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设备进线口、配电箱出线口做防水处理；</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高位水箱供排水正常；</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配电箱面板按钮功能明确（贴牌），线路标识清楚易懂，保护器动作灵敏；</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提供施工主要材料合格证，质检报告等资料</w:t>
      </w:r>
    </w:p>
    <w:p>
      <w:pPr>
        <w:widowControl/>
        <w:spacing w:line="480" w:lineRule="exact"/>
        <w:ind w:firstLine="465"/>
        <w:jc w:val="left"/>
        <w:rPr>
          <w:rFonts w:ascii="宋体" w:hAnsi="宋体" w:cs="宋体"/>
          <w:kern w:val="0"/>
          <w:szCs w:val="21"/>
        </w:rPr>
      </w:pPr>
      <w:r>
        <w:rPr>
          <w:rFonts w:hint="eastAsia" w:ascii="宋体" w:hAnsi="宋体" w:cs="宋体"/>
          <w:kern w:val="0"/>
          <w:szCs w:val="21"/>
        </w:rPr>
        <w:t>2.质保期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1.1 本项目质保期至少1年，以验收合格第二日作为质保起始日计算，质保期内施工方应完全响应质保服务标准，即电话响应时间不超过2小时、现场响应时间不超过24小时。</w:t>
      </w:r>
    </w:p>
    <w:p>
      <w:pPr>
        <w:spacing w:line="480" w:lineRule="exact"/>
        <w:ind w:left="560" w:hanging="560"/>
        <w:rPr>
          <w:rFonts w:ascii="宋体" w:hAnsi="宋体" w:cs="宋体"/>
          <w:kern w:val="0"/>
          <w:szCs w:val="21"/>
        </w:rPr>
      </w:pPr>
      <w:r>
        <w:rPr>
          <w:rFonts w:hint="eastAsia" w:ascii="宋体" w:hAnsi="宋体" w:cs="宋体"/>
          <w:kern w:val="0"/>
          <w:szCs w:val="21"/>
        </w:rPr>
        <w:t xml:space="preserve">    1.2 质保期内因工程质量问题影响车间正常运行时，供方应免费为需方及时修复处理，直至正常运行。</w:t>
      </w:r>
    </w:p>
    <w:p>
      <w:pPr>
        <w:widowControl/>
        <w:spacing w:line="480" w:lineRule="exact"/>
        <w:ind w:firstLine="465"/>
        <w:jc w:val="left"/>
        <w:rPr>
          <w:rFonts w:ascii="宋体" w:hAnsi="宋体" w:cs="宋体"/>
          <w:kern w:val="0"/>
          <w:szCs w:val="21"/>
        </w:rPr>
      </w:pPr>
      <w:r>
        <w:rPr>
          <w:rFonts w:hint="eastAsia" w:ascii="宋体" w:hAnsi="宋体" w:cs="宋体"/>
          <w:kern w:val="0"/>
          <w:szCs w:val="21"/>
        </w:rPr>
        <w:t>1.3 质保期内出现供方违约，需方有权追责并对其造成的损失进行索赔。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1.知识产权条款：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1.1供方应保证需方在使用本采购合同项下的货物或其任何一部分时免受第三方侵犯其知识产权、商标权或工业设计权的起诉。</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1.2 需方不对供方提供的货物的商标、专利是否侵犯他人的权利负责，如因供方提供货物引发争议或违法导致买方受损的，供方应赔偿。</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1.3 供方应保证提供货物的商标、专利等知识产权归供方所有的，对于非供方所有知识产权的货物，供方有义务提供给需方正规渠道证明。</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2.保密条款  </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15" w:firstLineChars="150"/>
        <w:rPr>
          <w:rFonts w:ascii="宋体" w:hAnsi="宋体" w:cs="宋体"/>
          <w:kern w:val="0"/>
          <w:szCs w:val="21"/>
        </w:rPr>
      </w:pPr>
      <w:r>
        <w:rPr>
          <w:rFonts w:hint="eastAsia" w:ascii="宋体" w:hAnsi="宋体" w:cs="宋体"/>
          <w:kern w:val="0"/>
          <w:szCs w:val="21"/>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15" w:firstLineChars="150"/>
        <w:rPr>
          <w:rFonts w:ascii="宋体" w:hAnsi="宋体" w:cs="宋体"/>
          <w:kern w:val="0"/>
          <w:sz w:val="24"/>
          <w:szCs w:val="24"/>
        </w:rPr>
      </w:pPr>
      <w:r>
        <w:rPr>
          <w:rFonts w:hint="eastAsia" w:ascii="宋体" w:hAnsi="宋体" w:cs="宋体"/>
          <w:kern w:val="0"/>
          <w:szCs w:val="21"/>
        </w:rPr>
        <w:t>2.3 本保密义务应在本需求期满、解除或终止后仍然有效</w:t>
      </w:r>
      <w:r>
        <w:rPr>
          <w:rFonts w:hint="eastAsia" w:ascii="宋体" w:hAnsi="宋体" w:cs="宋体"/>
          <w:kern w:val="0"/>
          <w:sz w:val="24"/>
          <w:szCs w:val="24"/>
        </w:rPr>
        <w:t>。</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20" w:firstLineChars="200"/>
        <w:rPr>
          <w:rFonts w:ascii="宋体" w:hAnsi="宋体" w:cs="宋体"/>
          <w:kern w:val="0"/>
          <w:szCs w:val="21"/>
        </w:rPr>
      </w:pPr>
      <w:r>
        <w:rPr>
          <w:rFonts w:hint="eastAsia" w:ascii="宋体" w:hAnsi="宋体" w:cs="宋体"/>
          <w:kern w:val="0"/>
          <w:szCs w:val="21"/>
        </w:rPr>
        <w:t>材料包装应适合于国内的运输条件，装件均应用包装箱包装，并应标上相应的符号后方可发送。材料运输应符合安全要求，以免在运输过程中损坏。材料在运输过程中有损坏现象的，供方及时组织处理或更换。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pacing w:before="156" w:after="156" w:line="480" w:lineRule="exact"/>
        <w:rPr>
          <w:rFonts w:ascii="宋体" w:hAnsi="宋体"/>
          <w:b/>
          <w:sz w:val="24"/>
          <w:szCs w:val="24"/>
        </w:rPr>
      </w:pPr>
      <w:r>
        <w:rPr>
          <w:rFonts w:hint="eastAsia" w:ascii="宋体" w:hAnsi="宋体"/>
          <w:b/>
          <w:sz w:val="24"/>
          <w:szCs w:val="24"/>
        </w:rPr>
        <w:t>九.说明</w:t>
      </w:r>
    </w:p>
    <w:p>
      <w:pPr>
        <w:tabs>
          <w:tab w:val="left" w:pos="1800"/>
          <w:tab w:val="left" w:pos="1980"/>
          <w:tab w:val="left" w:pos="7920"/>
        </w:tabs>
        <w:adjustRightInd w:val="0"/>
        <w:snapToGrid w:val="0"/>
        <w:ind w:firstLine="480" w:firstLineChars="200"/>
        <w:rPr>
          <w:sz w:val="24"/>
        </w:rPr>
      </w:pPr>
      <w:r>
        <w:rPr>
          <w:rFonts w:hint="eastAsia"/>
          <w:sz w:val="24"/>
        </w:rPr>
        <w:t>1.附图一</w:t>
      </w:r>
    </w:p>
    <w:p>
      <w:pPr>
        <w:tabs>
          <w:tab w:val="left" w:pos="1800"/>
          <w:tab w:val="left" w:pos="1980"/>
          <w:tab w:val="left" w:pos="7920"/>
        </w:tabs>
        <w:adjustRightInd w:val="0"/>
        <w:snapToGrid w:val="0"/>
        <w:jc w:val="center"/>
        <w:rPr>
          <w:sz w:val="24"/>
        </w:rPr>
      </w:pPr>
      <w:r>
        <w:rPr>
          <w:sz w:val="24"/>
        </w:rPr>
        <w:drawing>
          <wp:inline distT="0" distB="0" distL="0" distR="0">
            <wp:extent cx="3635375" cy="33134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3683406" cy="3356949"/>
                    </a:xfrm>
                    <a:prstGeom prst="rect">
                      <a:avLst/>
                    </a:prstGeom>
                  </pic:spPr>
                </pic:pic>
              </a:graphicData>
            </a:graphic>
          </wp:inline>
        </w:drawing>
      </w:r>
    </w:p>
    <w:p>
      <w:pPr>
        <w:tabs>
          <w:tab w:val="left" w:pos="1800"/>
          <w:tab w:val="left" w:pos="1980"/>
          <w:tab w:val="left" w:pos="7920"/>
        </w:tabs>
        <w:adjustRightInd w:val="0"/>
        <w:snapToGrid w:val="0"/>
        <w:ind w:firstLine="4080" w:firstLineChars="1700"/>
        <w:jc w:val="left"/>
        <w:rPr>
          <w:sz w:val="24"/>
        </w:rPr>
      </w:pPr>
      <w:r>
        <w:rPr>
          <w:rFonts w:hint="eastAsia"/>
          <w:sz w:val="24"/>
        </w:rPr>
        <w:t>附图1</w:t>
      </w:r>
    </w:p>
    <w:p>
      <w:pPr>
        <w:tabs>
          <w:tab w:val="left" w:pos="1800"/>
          <w:tab w:val="left" w:pos="1980"/>
          <w:tab w:val="left" w:pos="7920"/>
        </w:tabs>
        <w:adjustRightInd w:val="0"/>
        <w:snapToGrid w:val="0"/>
        <w:jc w:val="left"/>
        <w:rPr>
          <w:sz w:val="24"/>
        </w:rPr>
      </w:pPr>
    </w:p>
    <w:p>
      <w:pPr>
        <w:tabs>
          <w:tab w:val="left" w:pos="1800"/>
          <w:tab w:val="left" w:pos="1980"/>
          <w:tab w:val="left" w:pos="7920"/>
        </w:tabs>
        <w:adjustRightInd w:val="0"/>
        <w:snapToGrid w:val="0"/>
        <w:jc w:val="left"/>
        <w:rPr>
          <w:sz w:val="24"/>
        </w:rPr>
      </w:pPr>
      <w:r>
        <w:rPr>
          <w:rFonts w:hint="eastAsia"/>
          <w:sz w:val="24"/>
        </w:rPr>
        <w:t xml:space="preserve">    2.附图二</w:t>
      </w:r>
    </w:p>
    <w:p>
      <w:pPr>
        <w:tabs>
          <w:tab w:val="left" w:pos="1800"/>
          <w:tab w:val="left" w:pos="1980"/>
          <w:tab w:val="left" w:pos="7920"/>
        </w:tabs>
        <w:adjustRightInd w:val="0"/>
        <w:snapToGrid w:val="0"/>
        <w:jc w:val="center"/>
        <w:rPr>
          <w:sz w:val="24"/>
        </w:rPr>
      </w:pPr>
      <w:r>
        <w:rPr>
          <w:sz w:val="24"/>
        </w:rPr>
        <w:drawing>
          <wp:inline distT="0" distB="0" distL="0" distR="0">
            <wp:extent cx="3636010" cy="31089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680845" cy="3147121"/>
                    </a:xfrm>
                    <a:prstGeom prst="rect">
                      <a:avLst/>
                    </a:prstGeom>
                  </pic:spPr>
                </pic:pic>
              </a:graphicData>
            </a:graphic>
          </wp:inline>
        </w:drawing>
      </w:r>
    </w:p>
    <w:p>
      <w:pPr>
        <w:widowControl/>
        <w:spacing w:line="420" w:lineRule="exact"/>
        <w:ind w:firstLine="3960" w:firstLineChars="1650"/>
        <w:jc w:val="left"/>
        <w:rPr>
          <w:rFonts w:ascii="宋体" w:hAnsi="宋体" w:cs="宋体"/>
          <w:color w:val="000000"/>
          <w:kern w:val="0"/>
          <w:sz w:val="24"/>
          <w:szCs w:val="24"/>
        </w:rPr>
      </w:pPr>
      <w:r>
        <w:rPr>
          <w:rFonts w:hint="eastAsia" w:ascii="宋体" w:hAnsi="宋体" w:cs="宋体"/>
          <w:color w:val="000000"/>
          <w:kern w:val="0"/>
          <w:sz w:val="24"/>
          <w:szCs w:val="24"/>
        </w:rPr>
        <w:t>附图2</w:t>
      </w:r>
    </w:p>
    <w:p>
      <w:pPr>
        <w:widowControl/>
        <w:spacing w:line="420" w:lineRule="exact"/>
        <w:ind w:firstLine="3960" w:firstLineChars="1650"/>
        <w:jc w:val="left"/>
        <w:rPr>
          <w:rFonts w:ascii="宋体" w:hAnsi="宋体" w:cs="宋体"/>
          <w:color w:val="000000"/>
          <w:kern w:val="0"/>
          <w:sz w:val="24"/>
          <w:szCs w:val="24"/>
        </w:rPr>
      </w:pPr>
    </w:p>
    <w:p>
      <w:pPr>
        <w:widowControl/>
        <w:spacing w:line="420" w:lineRule="exact"/>
        <w:ind w:firstLine="3960" w:firstLineChars="1650"/>
        <w:jc w:val="left"/>
        <w:rPr>
          <w:rFonts w:ascii="宋体" w:hAnsi="宋体" w:cs="宋体"/>
          <w:color w:val="000000"/>
          <w:kern w:val="0"/>
          <w:sz w:val="24"/>
          <w:szCs w:val="24"/>
        </w:rPr>
      </w:pPr>
    </w:p>
    <w:p>
      <w:pPr>
        <w:widowControl/>
        <w:spacing w:line="420" w:lineRule="exact"/>
        <w:ind w:firstLine="3960" w:firstLineChars="1650"/>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r>
        <w:rPr>
          <w:rFonts w:hint="eastAsia" w:ascii="宋体" w:hAnsi="宋体" w:cs="宋体"/>
          <w:color w:val="000000"/>
          <w:kern w:val="0"/>
          <w:sz w:val="24"/>
          <w:szCs w:val="24"/>
        </w:rPr>
        <w:t>3</w:t>
      </w:r>
      <w:r>
        <w:rPr>
          <w:rFonts w:ascii="宋体" w:hAnsi="宋体" w:cs="宋体"/>
          <w:color w:val="000000"/>
          <w:kern w:val="0"/>
          <w:sz w:val="24"/>
          <w:szCs w:val="24"/>
        </w:rPr>
        <w:t>.</w:t>
      </w:r>
      <w:r>
        <w:rPr>
          <w:rFonts w:hint="eastAsia" w:ascii="宋体" w:hAnsi="宋体" w:cs="宋体"/>
          <w:color w:val="000000"/>
          <w:kern w:val="0"/>
          <w:sz w:val="24"/>
          <w:szCs w:val="24"/>
        </w:rPr>
        <w:t>附图三</w:t>
      </w:r>
    </w:p>
    <w:p>
      <w:pPr>
        <w:widowControl/>
        <w:spacing w:line="420" w:lineRule="exact"/>
        <w:ind w:firstLine="480" w:firstLineChars="200"/>
        <w:jc w:val="left"/>
        <w:rPr>
          <w:rFonts w:ascii="宋体" w:hAnsi="宋体" w:cs="宋体"/>
          <w:color w:val="000000"/>
          <w:kern w:val="0"/>
          <w:sz w:val="24"/>
          <w:szCs w:val="24"/>
        </w:rPr>
      </w:pPr>
      <w:r>
        <w:rPr>
          <w:rFonts w:ascii="宋体" w:hAnsi="宋体" w:cs="宋体"/>
          <w:color w:val="000000"/>
          <w:kern w:val="0"/>
          <w:sz w:val="24"/>
          <w:szCs w:val="24"/>
        </w:rPr>
        <w:drawing>
          <wp:anchor distT="0" distB="0" distL="114300" distR="114300" simplePos="0" relativeHeight="251657216" behindDoc="1" locked="0" layoutInCell="1" allowOverlap="0">
            <wp:simplePos x="0" y="0"/>
            <wp:positionH relativeFrom="column">
              <wp:posOffset>1184910</wp:posOffset>
            </wp:positionH>
            <wp:positionV relativeFrom="paragraph">
              <wp:posOffset>11430</wp:posOffset>
            </wp:positionV>
            <wp:extent cx="3618230" cy="3253105"/>
            <wp:effectExtent l="0" t="0" r="0" b="0"/>
            <wp:wrapTight wrapText="bothSides">
              <wp:wrapPolygon>
                <wp:start x="0" y="0"/>
                <wp:lineTo x="0" y="21503"/>
                <wp:lineTo x="21494" y="21503"/>
                <wp:lineTo x="21494" y="0"/>
                <wp:lineTo x="0" y="0"/>
              </wp:wrapPolygon>
            </wp:wrapTight>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618230" cy="3253105"/>
                    </a:xfrm>
                    <a:prstGeom prst="rect">
                      <a:avLst/>
                    </a:prstGeom>
                  </pic:spPr>
                </pic:pic>
              </a:graphicData>
            </a:graphic>
          </wp:anchor>
        </w:drawing>
      </w: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5040" w:firstLineChars="2100"/>
        <w:jc w:val="left"/>
        <w:rPr>
          <w:rFonts w:ascii="宋体" w:hAnsi="宋体" w:cs="宋体"/>
          <w:color w:val="000000"/>
          <w:kern w:val="0"/>
          <w:sz w:val="24"/>
          <w:szCs w:val="24"/>
        </w:rPr>
      </w:pPr>
      <w:r>
        <w:rPr>
          <w:rFonts w:hint="eastAsia" w:ascii="宋体" w:hAnsi="宋体" w:cs="宋体"/>
          <w:color w:val="000000"/>
          <w:kern w:val="0"/>
          <w:sz w:val="24"/>
          <w:szCs w:val="24"/>
        </w:rPr>
        <w:t>附图3</w:t>
      </w: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r>
        <w:rPr>
          <w:rFonts w:hint="eastAsia" w:ascii="宋体" w:hAnsi="宋体" w:cs="宋体"/>
          <w:color w:val="000000"/>
          <w:kern w:val="0"/>
          <w:sz w:val="24"/>
          <w:szCs w:val="24"/>
        </w:rPr>
        <w:t>4</w:t>
      </w:r>
      <w:r>
        <w:rPr>
          <w:rFonts w:ascii="宋体" w:hAnsi="宋体" w:cs="宋体"/>
          <w:color w:val="000000"/>
          <w:kern w:val="0"/>
          <w:sz w:val="24"/>
          <w:szCs w:val="24"/>
        </w:rPr>
        <w:t>.</w:t>
      </w:r>
      <w:r>
        <w:rPr>
          <w:rFonts w:hint="eastAsia" w:ascii="宋体" w:hAnsi="宋体" w:cs="宋体"/>
          <w:color w:val="000000"/>
          <w:kern w:val="0"/>
          <w:sz w:val="24"/>
          <w:szCs w:val="24"/>
        </w:rPr>
        <w:t>附图四</w:t>
      </w: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r>
        <w:rPr>
          <w:rFonts w:ascii="宋体" w:hAnsi="宋体" w:cs="宋体"/>
          <w:color w:val="000000"/>
          <w:kern w:val="0"/>
          <w:sz w:val="24"/>
          <w:szCs w:val="24"/>
        </w:rPr>
        <w:drawing>
          <wp:anchor distT="0" distB="0" distL="114300" distR="114300" simplePos="0" relativeHeight="251658240" behindDoc="1" locked="0" layoutInCell="1" allowOverlap="1">
            <wp:simplePos x="0" y="0"/>
            <wp:positionH relativeFrom="column">
              <wp:posOffset>1216025</wp:posOffset>
            </wp:positionH>
            <wp:positionV relativeFrom="paragraph">
              <wp:posOffset>10160</wp:posOffset>
            </wp:positionV>
            <wp:extent cx="3275330" cy="2912745"/>
            <wp:effectExtent l="0" t="0" r="0" b="0"/>
            <wp:wrapTight wrapText="bothSides">
              <wp:wrapPolygon>
                <wp:start x="0" y="0"/>
                <wp:lineTo x="0" y="21473"/>
                <wp:lineTo x="21487" y="21473"/>
                <wp:lineTo x="21487"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275102" cy="2912745"/>
                    </a:xfrm>
                    <a:prstGeom prst="rect">
                      <a:avLst/>
                    </a:prstGeom>
                  </pic:spPr>
                </pic:pic>
              </a:graphicData>
            </a:graphic>
          </wp:anchor>
        </w:drawing>
      </w: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 xml:space="preserve"> </w:t>
      </w:r>
      <w:r>
        <w:rPr>
          <w:rFonts w:ascii="宋体" w:hAnsi="宋体" w:cs="宋体"/>
          <w:color w:val="000000"/>
          <w:kern w:val="0"/>
          <w:sz w:val="24"/>
          <w:szCs w:val="24"/>
        </w:rPr>
        <w:t xml:space="preserve">                               </w:t>
      </w:r>
      <w:r>
        <w:rPr>
          <w:rFonts w:hint="eastAsia" w:ascii="宋体" w:hAnsi="宋体" w:cs="宋体"/>
          <w:color w:val="000000"/>
          <w:kern w:val="0"/>
          <w:sz w:val="24"/>
          <w:szCs w:val="24"/>
        </w:rPr>
        <w:t>附图4</w:t>
      </w: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r>
        <w:rPr>
          <w:rFonts w:ascii="宋体" w:hAnsi="宋体" w:cs="宋体"/>
          <w:color w:val="000000"/>
          <w:kern w:val="0"/>
          <w:sz w:val="24"/>
          <w:szCs w:val="24"/>
        </w:rPr>
        <w:t>4</w:t>
      </w:r>
      <w:r>
        <w:rPr>
          <w:rFonts w:hint="eastAsia" w:ascii="宋体" w:hAnsi="宋体" w:cs="宋体"/>
          <w:color w:val="000000"/>
          <w:kern w:val="0"/>
          <w:sz w:val="24"/>
          <w:szCs w:val="24"/>
        </w:rPr>
        <w:t>.评分所涉及的资料</w:t>
      </w:r>
    </w:p>
    <w:p>
      <w:pPr>
        <w:widowControl/>
        <w:spacing w:line="360" w:lineRule="auto"/>
        <w:ind w:firstLine="480" w:firstLineChars="200"/>
        <w:jc w:val="left"/>
        <w:rPr>
          <w:rFonts w:asciiTheme="minorEastAsia" w:hAnsiTheme="minorEastAsia" w:eastAsiaTheme="minorEastAsia"/>
          <w:sz w:val="24"/>
          <w:szCs w:val="21"/>
        </w:rPr>
      </w:pPr>
      <w:r>
        <w:rPr>
          <w:rFonts w:hint="eastAsia" w:ascii="宋体" w:hAnsi="宋体" w:cs="宋体"/>
          <w:color w:val="000000"/>
          <w:kern w:val="0"/>
          <w:sz w:val="24"/>
          <w:szCs w:val="24"/>
        </w:rPr>
        <w:t>包含但不限于以下：近3年内已验收的类似项目业绩总额，银行资信，各种体系/资格认证；项目施工方案（含编制依据、工程概况、施工准备、施工安排、施工方法、质量要求、后期处理），专利技术，各项安全资格认证、特种操作资格、公司安全管理的各种资料和记录、售后服务相关条款等。</w:t>
      </w:r>
    </w:p>
    <w:p>
      <w:pPr>
        <w:rPr>
          <w:rFonts w:ascii="楷体_GB2312" w:hAnsi="宋体" w:eastAsia="楷体_GB2312"/>
          <w:b/>
          <w:sz w:val="28"/>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pPr>
      <w:r>
        <w:rPr>
          <w:rFonts w:hint="eastAsia"/>
        </w:rPr>
        <w:t>附件一</w:t>
      </w:r>
    </w:p>
    <w:p>
      <w:pPr>
        <w:widowControl/>
        <w:spacing w:line="420" w:lineRule="exact"/>
        <w:jc w:val="left"/>
        <w:rPr>
          <w:rFonts w:ascii="宋体" w:hAnsi="宋体" w:cs="宋体"/>
          <w:b/>
          <w:color w:val="000000"/>
          <w:kern w:val="0"/>
          <w:sz w:val="24"/>
        </w:rPr>
      </w:pPr>
    </w:p>
    <w:p>
      <w:pPr>
        <w:widowControl/>
        <w:shd w:val="clear" w:color="auto" w:fill="FFFFFF"/>
        <w:spacing w:line="360" w:lineRule="atLeast"/>
        <w:jc w:val="left"/>
        <w:rPr>
          <w:rFonts w:ascii="宋体" w:hAnsi="宋体" w:cs="宋体"/>
          <w:color w:val="000000"/>
          <w:kern w:val="0"/>
          <w:sz w:val="24"/>
          <w:szCs w:val="24"/>
        </w:rPr>
      </w:pPr>
      <w:r>
        <w:rPr>
          <w:rFonts w:ascii="宋体" w:hAnsi="宋体" w:cs="宋体"/>
          <w:color w:val="000000"/>
          <w:kern w:val="0"/>
          <w:sz w:val="24"/>
          <w:szCs w:val="24"/>
        </w:rPr>
        <w:t>致：</w:t>
      </w:r>
      <w:r>
        <w:rPr>
          <w:rFonts w:hint="eastAsia" w:ascii="宋体" w:hAnsi="宋体" w:cs="宋体"/>
          <w:color w:val="000000"/>
          <w:kern w:val="0"/>
          <w:sz w:val="24"/>
          <w:szCs w:val="24"/>
        </w:rPr>
        <w:t>成都恒达光学有限公司：</w:t>
      </w:r>
    </w:p>
    <w:p>
      <w:pPr>
        <w:widowControl/>
        <w:shd w:val="clear" w:color="auto" w:fill="FFFFFF"/>
        <w:spacing w:line="360" w:lineRule="atLeast"/>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在审阅了</w:t>
      </w:r>
      <w:r>
        <w:rPr>
          <w:rFonts w:hint="eastAsia" w:ascii="宋体" w:hAnsi="宋体" w:cs="宋体"/>
          <w:color w:val="000000"/>
          <w:kern w:val="0"/>
          <w:sz w:val="24"/>
          <w:szCs w:val="24"/>
        </w:rPr>
        <w:t>《滚料车间调整改造项目报价邀请函》</w:t>
      </w:r>
      <w:r>
        <w:rPr>
          <w:rFonts w:ascii="宋体" w:hAnsi="宋体" w:cs="宋体"/>
          <w:color w:val="000000"/>
          <w:kern w:val="0"/>
          <w:sz w:val="24"/>
          <w:szCs w:val="24"/>
        </w:rPr>
        <w:t>文件后，我方决定参与</w:t>
      </w:r>
      <w:r>
        <w:rPr>
          <w:rFonts w:hint="eastAsia" w:ascii="宋体" w:hAnsi="宋体" w:cs="宋体"/>
          <w:color w:val="000000"/>
          <w:kern w:val="0"/>
          <w:sz w:val="24"/>
          <w:szCs w:val="24"/>
        </w:rPr>
        <w:t>报价</w:t>
      </w:r>
      <w:r>
        <w:rPr>
          <w:rFonts w:ascii="宋体" w:hAnsi="宋体" w:cs="宋体"/>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hint="eastAsia" w:ascii="宋体" w:hAnsi="宋体" w:cs="宋体"/>
          <w:color w:val="000000"/>
          <w:kern w:val="0"/>
          <w:sz w:val="24"/>
          <w:szCs w:val="24"/>
        </w:rPr>
        <w:t>报价单位</w:t>
      </w:r>
      <w:r>
        <w:rPr>
          <w:rFonts w:ascii="宋体" w:hAnsi="宋体" w:cs="宋体"/>
          <w:color w:val="000000"/>
          <w:kern w:val="0"/>
          <w:sz w:val="24"/>
          <w:szCs w:val="24"/>
        </w:rPr>
        <w:t>（盖章）：_______________________________________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法定代表人（签字）：_____________________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出具日期：__________年_______月_______日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82"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滚料车间调整改造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4253"/>
        <w:gridCol w:w="1559"/>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调整改造内容</w:t>
            </w:r>
          </w:p>
        </w:tc>
        <w:tc>
          <w:tcPr>
            <w:tcW w:w="4253" w:type="dxa"/>
            <w:vAlign w:val="center"/>
          </w:tcPr>
          <w:p>
            <w:pPr>
              <w:spacing w:line="380" w:lineRule="exact"/>
              <w:jc w:val="center"/>
              <w:rPr>
                <w:rFonts w:ascii="宋体" w:hAnsi="宋体"/>
                <w:szCs w:val="21"/>
              </w:rPr>
            </w:pPr>
            <w:r>
              <w:rPr>
                <w:rFonts w:hint="eastAsia" w:ascii="宋体" w:hAnsi="宋体"/>
                <w:szCs w:val="21"/>
              </w:rPr>
              <w:t>见第三部分三调整改造要求中调整改造内容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调整改造要求</w:t>
            </w:r>
          </w:p>
        </w:tc>
        <w:tc>
          <w:tcPr>
            <w:tcW w:w="4253" w:type="dxa"/>
            <w:vAlign w:val="center"/>
          </w:tcPr>
          <w:p>
            <w:pPr>
              <w:spacing w:line="380" w:lineRule="exact"/>
              <w:jc w:val="center"/>
              <w:rPr>
                <w:rFonts w:ascii="宋体" w:hAnsi="宋体"/>
                <w:szCs w:val="21"/>
              </w:rPr>
            </w:pPr>
            <w:r>
              <w:rPr>
                <w:rFonts w:hint="eastAsia" w:ascii="宋体" w:hAnsi="宋体"/>
                <w:szCs w:val="21"/>
              </w:rPr>
              <w:t>见第三部分三调整改造要求中调整改造要求</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项目验收标准</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见第三部分五验收标准内容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施工部分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施工要求</w:t>
            </w:r>
          </w:p>
        </w:tc>
        <w:tc>
          <w:tcPr>
            <w:tcW w:w="4253" w:type="dxa"/>
            <w:vAlign w:val="center"/>
          </w:tcPr>
          <w:p>
            <w:pPr>
              <w:spacing w:line="380" w:lineRule="exact"/>
              <w:jc w:val="center"/>
              <w:rPr>
                <w:rFonts w:ascii="宋体" w:hAnsi="宋体"/>
                <w:szCs w:val="21"/>
              </w:rPr>
            </w:pPr>
            <w:r>
              <w:rPr>
                <w:rFonts w:hint="eastAsia" w:ascii="宋体" w:hAnsi="宋体"/>
                <w:szCs w:val="21"/>
              </w:rPr>
              <w:t>见第三部分三调整改造要求对应内容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施工安全管理</w:t>
            </w:r>
          </w:p>
        </w:tc>
        <w:tc>
          <w:tcPr>
            <w:tcW w:w="4253" w:type="dxa"/>
            <w:vAlign w:val="center"/>
          </w:tcPr>
          <w:p>
            <w:pPr>
              <w:widowControl/>
              <w:jc w:val="center"/>
              <w:rPr>
                <w:rFonts w:ascii="宋体" w:cs="宋体"/>
                <w:kern w:val="0"/>
                <w:sz w:val="24"/>
                <w:szCs w:val="24"/>
              </w:rPr>
            </w:pPr>
            <w:r>
              <w:rPr>
                <w:rFonts w:hint="eastAsia" w:ascii="宋体" w:cs="宋体"/>
                <w:kern w:val="0"/>
                <w:sz w:val="24"/>
                <w:szCs w:val="24"/>
              </w:rPr>
              <w:t>见</w:t>
            </w:r>
            <w:r>
              <w:rPr>
                <w:rFonts w:hint="eastAsia" w:ascii="宋体" w:hAnsi="宋体"/>
                <w:szCs w:val="21"/>
              </w:rPr>
              <w:t>见第三部分四安全施工对应内容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易损易耗部分</w:t>
            </w:r>
          </w:p>
        </w:tc>
        <w:tc>
          <w:tcPr>
            <w:tcW w:w="4253" w:type="dxa"/>
            <w:vAlign w:val="center"/>
          </w:tcPr>
          <w:p>
            <w:pPr>
              <w:spacing w:line="380" w:lineRule="exact"/>
              <w:jc w:val="left"/>
              <w:rPr>
                <w:rFonts w:ascii="宋体" w:hAnsi="宋体"/>
                <w:szCs w:val="21"/>
              </w:rPr>
            </w:pPr>
            <w:r>
              <w:rPr>
                <w:rFonts w:hint="eastAsia" w:ascii="宋体" w:hAnsi="宋体"/>
                <w:szCs w:val="21"/>
              </w:rPr>
              <w:t>一年内无条件更换维修</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人为损坏部分</w:t>
            </w:r>
          </w:p>
        </w:tc>
        <w:tc>
          <w:tcPr>
            <w:tcW w:w="4253" w:type="dxa"/>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一年内及时维修更换</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非人为损坏部分</w:t>
            </w:r>
          </w:p>
        </w:tc>
        <w:tc>
          <w:tcPr>
            <w:tcW w:w="4253" w:type="dxa"/>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一年内无条件及时维修更换</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（针对恒达技术要求进行确认是否响应满足， 如有不响应，请备注）</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材料</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基建主要材料</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主要材料一：水泥</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主要材料二:</w:t>
            </w:r>
            <w:r>
              <w:rPr>
                <w:rFonts w:ascii="宋体" w:hAnsi="宋体" w:cs="宋体"/>
                <w:color w:val="000000"/>
                <w:kern w:val="0"/>
                <w:szCs w:val="21"/>
              </w:rPr>
              <w:t xml:space="preserve"> </w:t>
            </w:r>
            <w:r>
              <w:rPr>
                <w:rFonts w:hint="eastAsia" w:ascii="宋体" w:hAnsi="宋体" w:cs="宋体"/>
                <w:color w:val="000000"/>
                <w:kern w:val="0"/>
                <w:szCs w:val="21"/>
              </w:rPr>
              <w:t>河沙</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主要材料三：石子</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4</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主要材料四：防滑油漆</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机电主要材料</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.1</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主要材料一：桥架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.2</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主要材料二：镀锌钢管</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.3</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主要材料三：镀锌角钢</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.4</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主要材料四：高位水箱</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.5</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主要材料五：配电箱</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.6</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主要材料六：水管</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.7</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主要材料七：电缆</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w:t>
            </w:r>
            <w:r>
              <w:rPr>
                <w:rFonts w:ascii="宋体" w:hAnsi="宋体" w:cs="宋体"/>
                <w:color w:val="000000"/>
                <w:kern w:val="0"/>
                <w:szCs w:val="21"/>
              </w:rPr>
              <w:t>8</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主要辅材一：膨胀螺栓</w:t>
            </w:r>
          </w:p>
        </w:tc>
        <w:tc>
          <w:tcPr>
            <w:tcW w:w="2411" w:type="dxa"/>
            <w:shd w:val="clear" w:color="auto" w:fill="auto"/>
            <w:noWrap/>
            <w:vAlign w:val="center"/>
          </w:tcPr>
          <w:p>
            <w:pPr>
              <w:widowControl/>
              <w:jc w:val="center"/>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w:t>
            </w:r>
            <w:r>
              <w:rPr>
                <w:rFonts w:ascii="宋体" w:hAnsi="宋体" w:cs="宋体"/>
                <w:color w:val="000000"/>
                <w:kern w:val="0"/>
                <w:szCs w:val="21"/>
              </w:rPr>
              <w:t>9</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主要辅材二: 防锈漆</w:t>
            </w:r>
          </w:p>
        </w:tc>
        <w:tc>
          <w:tcPr>
            <w:tcW w:w="2411" w:type="dxa"/>
            <w:shd w:val="clear" w:color="auto" w:fill="auto"/>
            <w:noWrap/>
            <w:vAlign w:val="center"/>
          </w:tcPr>
          <w:p>
            <w:pPr>
              <w:widowControl/>
              <w:jc w:val="center"/>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r>
        <w:rPr>
          <w:rFonts w:ascii="黑体" w:hAnsi="宋体" w:eastAsia="黑体" w:cs="宋体"/>
          <w:color w:val="000000"/>
          <w:kern w:val="0"/>
          <w:sz w:val="24"/>
        </w:rPr>
        <w:t xml:space="preserve"> </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p>
    <w:p>
      <w:pPr>
        <w:widowControl/>
        <w:jc w:val="left"/>
      </w:pPr>
      <w:r>
        <w:rPr>
          <w:rFonts w:hint="eastAsia"/>
        </w:rPr>
        <w:t>附件六 承诺函</w:t>
      </w:r>
    </w:p>
    <w:p>
      <w:pPr>
        <w:widowControl/>
        <w:jc w:val="left"/>
      </w:pP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ascii="宋体;SimSun" w:hAnsi="宋体;SimSun" w:cs="宋体;SimSun"/>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pPr>
    </w:p>
    <w:p>
      <w:pPr>
        <w:spacing w:line="520" w:lineRule="exact"/>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满分30分，得分=满分值（30）*最低报价/报价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技术方案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满分20分；项目技术方案内容（满分15分）：包含编制依据、工程概况、施工准备、施工安排、施工方法、质量要求、后期处理；以上7条每项2分（缺失该项不得分），7项之外每增加1项得0.5分；</w:t>
            </w:r>
            <w:r>
              <w:rPr>
                <w:rFonts w:ascii="宋体" w:hAnsi="宋体" w:cs="宋体"/>
                <w:color w:val="000000"/>
                <w:kern w:val="0"/>
                <w:sz w:val="22"/>
                <w:szCs w:val="22"/>
              </w:rPr>
              <w:t xml:space="preserve"> </w:t>
            </w:r>
            <w:r>
              <w:rPr>
                <w:rFonts w:hint="eastAsia" w:ascii="宋体" w:hAnsi="宋体" w:cs="宋体"/>
                <w:color w:val="000000"/>
                <w:kern w:val="0"/>
                <w:sz w:val="22"/>
                <w:szCs w:val="22"/>
              </w:rPr>
              <w:t>技术方案质量（满分5分）：</w:t>
            </w:r>
            <w:r>
              <w:rPr>
                <w:rFonts w:hint="eastAsia"/>
                <w:color w:val="0C0C0C" w:themeColor="text1" w:themeTint="F2"/>
              </w:rPr>
              <w:t>评审得分：一般为1-2分、良为3-4分，优为5分；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数据列为合同附件</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施工技术</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pStyle w:val="8"/>
              <w:snapToGrid w:val="0"/>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安装施工组织设计：施工组织实施方案、安全文明施工保障措施、项目管理体系及项目组资历和经验、测试调试计划及保障措施等，评审得分：一般为1-2分、良为3-4分，优为5分；项目管理：供应商在项目施工中对工程造价、质量、进度、安全等方面的管理情况。评审得分：一般为1-2分、良为3-4分，优为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类似业绩</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提供近3年内机电安装项目跟基建工程业绩，满分10分，50万（含）以下2分，50万-100万（含）5分，100万—500万（含）8分，500万以上10分。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业绩内容提供中标通知书或合同和竣工验收资料</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满分10分，要求确认响应如有不响应项且为提供合理理由的每一项扣1分。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满分10分；质保：</w:t>
            </w:r>
            <w:r>
              <w:rPr>
                <w:rFonts w:ascii="宋体" w:hAnsi="宋体" w:cs="宋体"/>
                <w:color w:val="000000"/>
                <w:kern w:val="0"/>
                <w:sz w:val="22"/>
                <w:szCs w:val="22"/>
              </w:rPr>
              <w:t>0.5</w:t>
            </w:r>
            <w:r>
              <w:rPr>
                <w:rFonts w:hint="eastAsia" w:ascii="宋体" w:hAnsi="宋体" w:cs="宋体"/>
                <w:color w:val="000000"/>
                <w:kern w:val="0"/>
                <w:sz w:val="22"/>
                <w:szCs w:val="22"/>
              </w:rPr>
              <w:t>年以下0分，</w:t>
            </w:r>
            <w:r>
              <w:rPr>
                <w:rFonts w:ascii="宋体" w:hAnsi="宋体" w:cs="宋体"/>
                <w:color w:val="000000"/>
                <w:kern w:val="0"/>
                <w:sz w:val="22"/>
                <w:szCs w:val="22"/>
              </w:rPr>
              <w:t>0.5</w:t>
            </w:r>
            <w:r>
              <w:rPr>
                <w:rFonts w:hint="eastAsia" w:ascii="宋体" w:hAnsi="宋体" w:cs="宋体"/>
                <w:color w:val="000000"/>
                <w:kern w:val="0"/>
                <w:sz w:val="22"/>
                <w:szCs w:val="22"/>
              </w:rPr>
              <w:t>年（含）到</w:t>
            </w:r>
            <w:r>
              <w:rPr>
                <w:rFonts w:ascii="宋体" w:hAnsi="宋体" w:cs="宋体"/>
                <w:color w:val="000000"/>
                <w:kern w:val="0"/>
                <w:sz w:val="22"/>
                <w:szCs w:val="22"/>
              </w:rPr>
              <w:t>1</w:t>
            </w:r>
            <w:r>
              <w:rPr>
                <w:rFonts w:hint="eastAsia" w:ascii="宋体" w:hAnsi="宋体" w:cs="宋体"/>
                <w:color w:val="000000"/>
                <w:kern w:val="0"/>
                <w:sz w:val="22"/>
                <w:szCs w:val="22"/>
              </w:rPr>
              <w:t>年得3分，</w:t>
            </w:r>
            <w:r>
              <w:rPr>
                <w:rFonts w:ascii="宋体" w:hAnsi="宋体" w:cs="宋体"/>
                <w:color w:val="000000"/>
                <w:kern w:val="0"/>
                <w:sz w:val="22"/>
                <w:szCs w:val="22"/>
              </w:rPr>
              <w:t>1</w:t>
            </w:r>
            <w:r>
              <w:rPr>
                <w:rFonts w:hint="eastAsia" w:ascii="宋体" w:hAnsi="宋体" w:cs="宋体"/>
                <w:color w:val="000000"/>
                <w:kern w:val="0"/>
                <w:sz w:val="22"/>
                <w:szCs w:val="22"/>
              </w:rPr>
              <w:t>年及以上得5分；到场服务响应时间：</w:t>
            </w:r>
            <w:r>
              <w:rPr>
                <w:rFonts w:ascii="宋体" w:hAnsi="宋体" w:cs="宋体"/>
                <w:color w:val="000000"/>
                <w:kern w:val="0"/>
                <w:sz w:val="22"/>
                <w:szCs w:val="22"/>
              </w:rPr>
              <w:t xml:space="preserve"> </w:t>
            </w:r>
            <w:r>
              <w:rPr>
                <w:rFonts w:hint="eastAsia" w:ascii="宋体" w:hAnsi="宋体" w:cs="宋体"/>
                <w:color w:val="000000"/>
                <w:kern w:val="0"/>
                <w:sz w:val="22"/>
                <w:szCs w:val="22"/>
              </w:rPr>
              <w:t>24小时以上0分，12小时到24小时（含）3分，12小时（含）以内5分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r>
        <w:rPr>
          <w:rFonts w:hint="eastAsia"/>
          <w:sz w:val="32"/>
        </w:rPr>
        <w:t>第四部分 商务部分（合同条款）</w:t>
      </w:r>
    </w:p>
    <w:p>
      <w:pPr>
        <w:spacing w:before="156" w:beforeLines="50" w:after="156" w:afterLines="50" w:line="500" w:lineRule="exact"/>
        <w:jc w:val="center"/>
        <w:rPr>
          <w:rFonts w:ascii="仿宋_GB2312" w:eastAsia="仿宋_GB2312"/>
          <w:b/>
          <w:sz w:val="44"/>
        </w:rPr>
      </w:pPr>
      <w:r>
        <w:rPr>
          <w:rFonts w:hint="eastAsia" w:ascii="仿宋_GB2312" w:eastAsia="仿宋_GB2312"/>
          <w:b/>
          <w:sz w:val="44"/>
        </w:rPr>
        <w:t>滚料车间调整改造合同</w:t>
      </w:r>
    </w:p>
    <w:p>
      <w:pPr>
        <w:rPr>
          <w:rFonts w:ascii="仿宋_GB2312" w:eastAsia="仿宋_GB2312"/>
          <w:sz w:val="28"/>
          <w:u w:val="single"/>
        </w:rPr>
      </w:pPr>
      <w:r>
        <w:rPr>
          <w:rFonts w:hint="eastAsia" w:ascii="仿宋_GB2312" w:eastAsia="仿宋_GB2312"/>
          <w:sz w:val="28"/>
        </w:rPr>
        <w:t>甲方：</w:t>
      </w:r>
      <w:r>
        <w:rPr>
          <w:rFonts w:hint="eastAsia" w:ascii="仿宋_GB2312" w:eastAsia="仿宋_GB2312"/>
          <w:sz w:val="28"/>
          <w:u w:val="single"/>
        </w:rPr>
        <w:t>成都恒达光学有限公司</w:t>
      </w:r>
    </w:p>
    <w:p>
      <w:pPr>
        <w:rPr>
          <w:rFonts w:ascii="仿宋_GB2312" w:eastAsia="仿宋_GB2312"/>
          <w:sz w:val="28"/>
        </w:rPr>
      </w:pPr>
      <w:r>
        <w:rPr>
          <w:rFonts w:hint="eastAsia" w:ascii="仿宋_GB2312" w:eastAsia="仿宋_GB2312"/>
          <w:sz w:val="28"/>
        </w:rPr>
        <w:t>地址：</w:t>
      </w:r>
      <w:r>
        <w:rPr>
          <w:rFonts w:hint="eastAsia" w:ascii="仿宋_GB2312" w:hAnsi="仿宋_GB2312" w:eastAsia="仿宋_GB2312" w:cs="仿宋_GB2312"/>
          <w:sz w:val="28"/>
        </w:rPr>
        <w:t>都江堰市蒲阳经济开发区光泰路12号</w:t>
      </w:r>
    </w:p>
    <w:p>
      <w:pPr>
        <w:pStyle w:val="41"/>
        <w:rPr>
          <w:rFonts w:ascii="仿宋_GB2312" w:eastAsia="仿宋_GB2312" w:cs="Times New Roman"/>
          <w:color w:val="auto"/>
          <w:kern w:val="2"/>
          <w:sz w:val="28"/>
          <w:u w:val="single"/>
        </w:rPr>
      </w:pPr>
      <w:r>
        <w:rPr>
          <w:rFonts w:hint="eastAsia" w:ascii="仿宋_GB2312" w:eastAsia="仿宋_GB2312"/>
          <w:sz w:val="28"/>
        </w:rPr>
        <w:t>乙方：</w:t>
      </w:r>
      <w:r>
        <w:rPr>
          <w:rFonts w:hint="eastAsia" w:ascii="仿宋_GB2312" w:eastAsia="仿宋_GB2312" w:cs="Times New Roman"/>
          <w:color w:val="auto"/>
          <w:kern w:val="2"/>
          <w:sz w:val="28"/>
          <w:u w:val="single"/>
        </w:rPr>
        <w:t xml:space="preserve">                    </w:t>
      </w:r>
    </w:p>
    <w:p>
      <w:pPr>
        <w:pStyle w:val="41"/>
        <w:rPr>
          <w:rFonts w:ascii="仿宋_GB2312" w:eastAsia="仿宋_GB2312" w:cs="Times New Roman"/>
          <w:color w:val="auto"/>
          <w:kern w:val="2"/>
          <w:sz w:val="28"/>
        </w:rPr>
      </w:pPr>
      <w:r>
        <w:rPr>
          <w:rFonts w:hint="eastAsia" w:ascii="仿宋_GB2312" w:eastAsia="仿宋_GB2312" w:cs="Times New Roman"/>
          <w:color w:val="auto"/>
          <w:kern w:val="2"/>
          <w:sz w:val="28"/>
        </w:rPr>
        <w:t>地址：</w:t>
      </w:r>
    </w:p>
    <w:p>
      <w:pPr>
        <w:pStyle w:val="41"/>
      </w:pPr>
    </w:p>
    <w:p>
      <w:pPr>
        <w:spacing w:line="500" w:lineRule="exact"/>
        <w:ind w:firstLine="570"/>
        <w:rPr>
          <w:rFonts w:ascii="仿宋_GB2312" w:eastAsia="仿宋_GB2312"/>
          <w:sz w:val="28"/>
        </w:rPr>
      </w:pPr>
      <w:r>
        <w:rPr>
          <w:rFonts w:hint="eastAsia" w:ascii="仿宋_GB2312" w:eastAsia="仿宋_GB2312"/>
          <w:sz w:val="28"/>
        </w:rPr>
        <w:t>甲乙双方经过友好协商，就</w:t>
      </w:r>
      <w:r>
        <w:rPr>
          <w:rFonts w:ascii="仿宋_GB2312" w:eastAsia="仿宋_GB2312"/>
          <w:sz w:val="28"/>
        </w:rPr>
        <w:t xml:space="preserve"> </w:t>
      </w:r>
      <w:r>
        <w:rPr>
          <w:rFonts w:hint="eastAsia" w:ascii="仿宋_GB2312" w:eastAsia="仿宋_GB2312"/>
          <w:sz w:val="28"/>
          <w:u w:val="single"/>
        </w:rPr>
        <w:t xml:space="preserve">滚料车间调整改造项目 </w:t>
      </w:r>
      <w:r>
        <w:rPr>
          <w:rFonts w:hint="eastAsia" w:ascii="仿宋_GB2312" w:eastAsia="仿宋_GB2312"/>
          <w:sz w:val="28"/>
        </w:rPr>
        <w:t>达成以下协议：</w:t>
      </w:r>
    </w:p>
    <w:p>
      <w:pPr>
        <w:numPr>
          <w:ilvl w:val="0"/>
          <w:numId w:val="6"/>
        </w:numPr>
        <w:spacing w:line="500" w:lineRule="exact"/>
        <w:rPr>
          <w:rFonts w:ascii="仿宋_GB2312" w:eastAsia="仿宋_GB2312"/>
          <w:sz w:val="28"/>
          <w:u w:val="single"/>
        </w:rPr>
      </w:pPr>
      <w:r>
        <w:rPr>
          <w:rFonts w:hint="eastAsia" w:ascii="仿宋_GB2312" w:eastAsia="仿宋_GB2312"/>
          <w:sz w:val="28"/>
        </w:rPr>
        <w:t>项目名称：</w:t>
      </w:r>
      <w:r>
        <w:rPr>
          <w:rFonts w:hint="eastAsia" w:ascii="仿宋_GB2312" w:eastAsia="仿宋_GB2312"/>
          <w:sz w:val="28"/>
          <w:u w:val="single"/>
        </w:rPr>
        <w:t>滚料车间调整改造项目</w:t>
      </w:r>
      <w:r>
        <w:rPr>
          <w:rFonts w:hint="eastAsia" w:ascii="仿宋_GB2312" w:eastAsia="仿宋_GB2312"/>
          <w:sz w:val="28"/>
        </w:rPr>
        <w:t>。</w:t>
      </w:r>
    </w:p>
    <w:p>
      <w:pPr>
        <w:numPr>
          <w:ilvl w:val="0"/>
          <w:numId w:val="6"/>
        </w:numPr>
        <w:spacing w:line="500" w:lineRule="exact"/>
        <w:rPr>
          <w:rFonts w:hint="eastAsia" w:ascii="仿宋_GB2312" w:eastAsia="仿宋_GB2312"/>
          <w:sz w:val="28"/>
        </w:rPr>
      </w:pPr>
      <w:r>
        <w:rPr>
          <w:rFonts w:hint="eastAsia" w:ascii="仿宋_GB2312" w:eastAsia="仿宋_GB2312"/>
          <w:sz w:val="28"/>
        </w:rPr>
        <w:t>调整改造内容清单及价款：</w:t>
      </w:r>
    </w:p>
    <w:tbl>
      <w:tblPr>
        <w:tblStyle w:val="18"/>
        <w:tblW w:w="954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900"/>
        <w:gridCol w:w="889"/>
        <w:gridCol w:w="949"/>
        <w:gridCol w:w="992"/>
        <w:gridCol w:w="1134"/>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Pr>
          <w:p>
            <w:pPr>
              <w:spacing w:line="500" w:lineRule="exact"/>
              <w:jc w:val="center"/>
              <w:rPr>
                <w:rFonts w:ascii="仿宋_GB2312" w:eastAsia="仿宋_GB2312"/>
                <w:sz w:val="28"/>
              </w:rPr>
            </w:pPr>
            <w:r>
              <w:rPr>
                <w:rFonts w:hint="eastAsia" w:ascii="仿宋_GB2312" w:eastAsia="仿宋_GB2312"/>
                <w:sz w:val="28"/>
              </w:rPr>
              <w:t>序号</w:t>
            </w:r>
          </w:p>
        </w:tc>
        <w:tc>
          <w:tcPr>
            <w:tcW w:w="1900" w:type="dxa"/>
          </w:tcPr>
          <w:p>
            <w:pPr>
              <w:spacing w:line="500" w:lineRule="exact"/>
              <w:jc w:val="center"/>
              <w:rPr>
                <w:rFonts w:ascii="仿宋_GB2312" w:eastAsia="仿宋_GB2312"/>
                <w:sz w:val="28"/>
              </w:rPr>
            </w:pPr>
            <w:r>
              <w:rPr>
                <w:rFonts w:hint="eastAsia" w:ascii="仿宋_GB2312" w:eastAsia="仿宋_GB2312"/>
                <w:sz w:val="28"/>
              </w:rPr>
              <w:t>内容</w:t>
            </w:r>
          </w:p>
        </w:tc>
        <w:tc>
          <w:tcPr>
            <w:tcW w:w="889" w:type="dxa"/>
          </w:tcPr>
          <w:p>
            <w:pPr>
              <w:spacing w:line="500" w:lineRule="exact"/>
              <w:jc w:val="center"/>
              <w:rPr>
                <w:rFonts w:ascii="仿宋_GB2312" w:eastAsia="仿宋_GB2312"/>
                <w:sz w:val="28"/>
              </w:rPr>
            </w:pPr>
            <w:r>
              <w:rPr>
                <w:rFonts w:hint="eastAsia" w:ascii="仿宋_GB2312" w:eastAsia="仿宋_GB2312"/>
                <w:sz w:val="28"/>
              </w:rPr>
              <w:t>数量</w:t>
            </w:r>
          </w:p>
        </w:tc>
        <w:tc>
          <w:tcPr>
            <w:tcW w:w="949" w:type="dxa"/>
          </w:tcPr>
          <w:p>
            <w:pPr>
              <w:spacing w:line="500" w:lineRule="exact"/>
              <w:jc w:val="center"/>
              <w:rPr>
                <w:rFonts w:ascii="仿宋_GB2312" w:eastAsia="仿宋_GB2312"/>
                <w:sz w:val="28"/>
              </w:rPr>
            </w:pPr>
            <w:r>
              <w:rPr>
                <w:rFonts w:hint="eastAsia" w:ascii="仿宋_GB2312" w:eastAsia="仿宋_GB2312"/>
                <w:sz w:val="28"/>
              </w:rPr>
              <w:t>单位</w:t>
            </w:r>
          </w:p>
        </w:tc>
        <w:tc>
          <w:tcPr>
            <w:tcW w:w="992" w:type="dxa"/>
          </w:tcPr>
          <w:p>
            <w:pPr>
              <w:spacing w:line="500" w:lineRule="exact"/>
              <w:jc w:val="center"/>
              <w:rPr>
                <w:rFonts w:ascii="仿宋_GB2312" w:eastAsia="仿宋_GB2312"/>
                <w:sz w:val="28"/>
              </w:rPr>
            </w:pPr>
            <w:r>
              <w:rPr>
                <w:rFonts w:hint="eastAsia" w:ascii="仿宋_GB2312" w:eastAsia="仿宋_GB2312"/>
                <w:sz w:val="28"/>
              </w:rPr>
              <w:t>单价（元）</w:t>
            </w:r>
          </w:p>
        </w:tc>
        <w:tc>
          <w:tcPr>
            <w:tcW w:w="1134" w:type="dxa"/>
          </w:tcPr>
          <w:p>
            <w:pPr>
              <w:spacing w:line="500" w:lineRule="exact"/>
              <w:jc w:val="center"/>
              <w:rPr>
                <w:rFonts w:ascii="仿宋_GB2312" w:eastAsia="仿宋_GB2312"/>
                <w:sz w:val="28"/>
              </w:rPr>
            </w:pPr>
            <w:r>
              <w:rPr>
                <w:rFonts w:hint="eastAsia" w:ascii="仿宋_GB2312" w:eastAsia="仿宋_GB2312"/>
                <w:sz w:val="28"/>
              </w:rPr>
              <w:t>金额（元）</w:t>
            </w:r>
          </w:p>
        </w:tc>
        <w:tc>
          <w:tcPr>
            <w:tcW w:w="2976" w:type="dxa"/>
          </w:tcPr>
          <w:p>
            <w:pPr>
              <w:spacing w:line="50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1</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滚料车间地面改造</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95</w:t>
            </w:r>
          </w:p>
        </w:tc>
        <w:tc>
          <w:tcPr>
            <w:tcW w:w="949" w:type="dxa"/>
            <w:vAlign w:val="center"/>
          </w:tcPr>
          <w:p>
            <w:pPr>
              <w:spacing w:line="500" w:lineRule="exact"/>
              <w:rPr>
                <w:rFonts w:ascii="仿宋_GB2312" w:eastAsia="仿宋_GB2312"/>
                <w:sz w:val="28"/>
              </w:rPr>
            </w:pPr>
            <w:r>
              <w:rPr>
                <w:rFonts w:hint="eastAsia" w:ascii="仿宋_GB2312" w:eastAsia="仿宋_GB2312"/>
                <w:sz w:val="28"/>
              </w:rPr>
              <w:t>㎡</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2</w:t>
            </w:r>
          </w:p>
        </w:tc>
        <w:tc>
          <w:tcPr>
            <w:tcW w:w="1900" w:type="dxa"/>
            <w:vAlign w:val="center"/>
          </w:tcPr>
          <w:p>
            <w:pPr>
              <w:spacing w:line="500" w:lineRule="exact"/>
              <w:rPr>
                <w:rFonts w:ascii="仿宋_GB2312" w:eastAsia="仿宋_GB2312"/>
                <w:sz w:val="28"/>
              </w:rPr>
            </w:pPr>
            <w:r>
              <w:rPr>
                <w:rFonts w:hint="eastAsia" w:ascii="仿宋_GB2312" w:eastAsia="仿宋_GB2312"/>
                <w:sz w:val="28"/>
              </w:rPr>
              <w:t>排水水槽改建</w:t>
            </w:r>
          </w:p>
        </w:tc>
        <w:tc>
          <w:tcPr>
            <w:tcW w:w="889" w:type="dxa"/>
            <w:vAlign w:val="center"/>
          </w:tcPr>
          <w:p>
            <w:pPr>
              <w:spacing w:line="500" w:lineRule="exact"/>
              <w:jc w:val="center"/>
              <w:rPr>
                <w:rFonts w:ascii="仿宋_GB2312" w:eastAsia="仿宋_GB2312"/>
                <w:sz w:val="28"/>
              </w:rPr>
            </w:pPr>
          </w:p>
        </w:tc>
        <w:tc>
          <w:tcPr>
            <w:tcW w:w="949" w:type="dxa"/>
            <w:vAlign w:val="center"/>
          </w:tcPr>
          <w:p>
            <w:pPr>
              <w:spacing w:line="500" w:lineRule="exact"/>
              <w:jc w:val="center"/>
              <w:rPr>
                <w:rFonts w:ascii="仿宋_GB2312" w:eastAsia="仿宋_GB2312"/>
                <w:sz w:val="28"/>
              </w:rPr>
            </w:pP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附图1(含材料费)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3</w:t>
            </w:r>
          </w:p>
        </w:tc>
        <w:tc>
          <w:tcPr>
            <w:tcW w:w="1900" w:type="dxa"/>
          </w:tcPr>
          <w:p>
            <w:pPr>
              <w:spacing w:line="500" w:lineRule="exact"/>
              <w:rPr>
                <w:rFonts w:ascii="仿宋_GB2312" w:eastAsia="仿宋_GB2312"/>
                <w:sz w:val="28"/>
              </w:rPr>
            </w:pPr>
            <w:r>
              <w:rPr>
                <w:rFonts w:hint="eastAsia" w:ascii="仿宋_GB2312" w:eastAsia="仿宋_GB2312"/>
                <w:sz w:val="28"/>
              </w:rPr>
              <w:t>滚料车间桥架支架制作、安装</w:t>
            </w:r>
          </w:p>
        </w:tc>
        <w:tc>
          <w:tcPr>
            <w:tcW w:w="889" w:type="dxa"/>
            <w:vAlign w:val="center"/>
          </w:tcPr>
          <w:p>
            <w:pPr>
              <w:spacing w:line="500" w:lineRule="exact"/>
              <w:jc w:val="center"/>
              <w:rPr>
                <w:rFonts w:ascii="仿宋_GB2312" w:eastAsia="仿宋_GB2312"/>
                <w:sz w:val="28"/>
              </w:rPr>
            </w:pPr>
          </w:p>
        </w:tc>
        <w:tc>
          <w:tcPr>
            <w:tcW w:w="949" w:type="dxa"/>
            <w:vAlign w:val="center"/>
          </w:tcPr>
          <w:p>
            <w:pPr>
              <w:spacing w:line="500" w:lineRule="exact"/>
              <w:jc w:val="center"/>
              <w:rPr>
                <w:rFonts w:ascii="仿宋_GB2312" w:eastAsia="仿宋_GB2312"/>
                <w:sz w:val="28"/>
              </w:rPr>
            </w:pP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附图2（含材料）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4</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滚料车间桥架安装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8</w:t>
            </w:r>
            <w:r>
              <w:rPr>
                <w:rFonts w:ascii="仿宋_GB2312" w:eastAsia="仿宋_GB2312"/>
                <w:sz w:val="28"/>
              </w:rPr>
              <w:t>6</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m</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附图2（含材料）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5</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滚料车间配电柜拆装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4</w:t>
            </w:r>
            <w:r>
              <w:rPr>
                <w:rFonts w:ascii="仿宋_GB2312" w:eastAsia="仿宋_GB2312"/>
                <w:sz w:val="28"/>
              </w:rPr>
              <w:t>3</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台</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二级配电柜1台，三级配电柜4</w:t>
            </w:r>
            <w:r>
              <w:rPr>
                <w:rFonts w:ascii="仿宋_GB2312" w:eastAsia="仿宋_GB2312"/>
                <w:sz w:val="28"/>
              </w:rPr>
              <w:t>2</w:t>
            </w:r>
            <w:r>
              <w:rPr>
                <w:rFonts w:hint="eastAsia" w:ascii="仿宋_GB2312" w:eastAsia="仿宋_GB2312"/>
                <w:sz w:val="28"/>
              </w:rPr>
              <w:t>台（含材料）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6</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滚料车间设备移位、布线、安装、调试</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4</w:t>
            </w:r>
            <w:r>
              <w:rPr>
                <w:rFonts w:ascii="仿宋_GB2312" w:eastAsia="仿宋_GB2312"/>
                <w:sz w:val="28"/>
              </w:rPr>
              <w:t>2</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台</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见图：滚料车间水槽及设备安装位置平面图（含材料）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7</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滚料车间供水管道及阀门安装调试</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2</w:t>
            </w:r>
            <w:r>
              <w:rPr>
                <w:rFonts w:ascii="仿宋_GB2312" w:eastAsia="仿宋_GB2312"/>
                <w:sz w:val="28"/>
              </w:rPr>
              <w:t>00</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米</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8</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滚料车间高位水箱支架制作、安装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5</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套</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9</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滚料车间高位水箱安装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5</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套</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0</w:t>
            </w:r>
          </w:p>
        </w:tc>
        <w:tc>
          <w:tcPr>
            <w:tcW w:w="1900" w:type="dxa"/>
            <w:vAlign w:val="center"/>
          </w:tcPr>
          <w:p>
            <w:pPr>
              <w:spacing w:line="500" w:lineRule="exact"/>
              <w:rPr>
                <w:rFonts w:ascii="仿宋_GB2312" w:eastAsia="仿宋_GB2312"/>
                <w:sz w:val="28"/>
              </w:rPr>
            </w:pPr>
            <w:r>
              <w:rPr>
                <w:rFonts w:hint="eastAsia" w:ascii="仿宋_GB2312" w:eastAsia="仿宋_GB2312"/>
                <w:sz w:val="28"/>
              </w:rPr>
              <w:t>终检车间桥架支架制作、安装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6</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套</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1</w:t>
            </w:r>
          </w:p>
        </w:tc>
        <w:tc>
          <w:tcPr>
            <w:tcW w:w="1900" w:type="dxa"/>
            <w:vAlign w:val="center"/>
          </w:tcPr>
          <w:p>
            <w:pPr>
              <w:spacing w:line="500" w:lineRule="exact"/>
              <w:rPr>
                <w:rFonts w:ascii="仿宋_GB2312" w:eastAsia="仿宋_GB2312"/>
                <w:sz w:val="28"/>
              </w:rPr>
            </w:pPr>
            <w:r>
              <w:rPr>
                <w:rFonts w:hint="eastAsia" w:ascii="仿宋_GB2312" w:eastAsia="仿宋_GB2312"/>
                <w:sz w:val="28"/>
              </w:rPr>
              <w:t>终检车间桥架安装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1</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m</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2</w:t>
            </w:r>
          </w:p>
        </w:tc>
        <w:tc>
          <w:tcPr>
            <w:tcW w:w="1900" w:type="dxa"/>
            <w:vAlign w:val="center"/>
          </w:tcPr>
          <w:p>
            <w:pPr>
              <w:spacing w:line="500" w:lineRule="exact"/>
              <w:rPr>
                <w:rFonts w:ascii="仿宋_GB2312" w:eastAsia="仿宋_GB2312"/>
                <w:sz w:val="28"/>
              </w:rPr>
            </w:pPr>
            <w:r>
              <w:rPr>
                <w:rFonts w:hint="eastAsia" w:ascii="仿宋_GB2312" w:eastAsia="仿宋_GB2312"/>
                <w:sz w:val="28"/>
              </w:rPr>
              <w:t>终检车间用电设备电缆布线、调试</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6</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台</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3</w:t>
            </w:r>
          </w:p>
        </w:tc>
        <w:tc>
          <w:tcPr>
            <w:tcW w:w="1900" w:type="dxa"/>
            <w:vAlign w:val="center"/>
          </w:tcPr>
          <w:p>
            <w:pPr>
              <w:spacing w:line="500" w:lineRule="exact"/>
              <w:ind w:firstLine="280" w:firstLineChars="100"/>
              <w:jc w:val="center"/>
              <w:rPr>
                <w:rFonts w:ascii="仿宋_GB2312" w:eastAsia="仿宋_GB2312"/>
                <w:sz w:val="28"/>
              </w:rPr>
            </w:pPr>
            <w:r>
              <w:rPr>
                <w:rFonts w:hint="eastAsia" w:ascii="仿宋_GB2312" w:eastAsia="仿宋_GB2312"/>
                <w:sz w:val="28"/>
              </w:rPr>
              <w:t>挡水矮墙</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1</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面</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p>
        </w:tc>
        <w:tc>
          <w:tcPr>
            <w:tcW w:w="1900" w:type="dxa"/>
            <w:vAlign w:val="center"/>
          </w:tcPr>
          <w:p>
            <w:pPr>
              <w:spacing w:line="500" w:lineRule="exact"/>
              <w:ind w:firstLine="280" w:firstLineChars="100"/>
              <w:jc w:val="center"/>
              <w:rPr>
                <w:rFonts w:ascii="仿宋_GB2312" w:eastAsia="仿宋_GB2312"/>
                <w:sz w:val="28"/>
              </w:rPr>
            </w:pPr>
          </w:p>
        </w:tc>
        <w:tc>
          <w:tcPr>
            <w:tcW w:w="889" w:type="dxa"/>
            <w:vAlign w:val="center"/>
          </w:tcPr>
          <w:p>
            <w:pPr>
              <w:spacing w:line="500" w:lineRule="exact"/>
              <w:jc w:val="center"/>
              <w:rPr>
                <w:rFonts w:ascii="仿宋_GB2312" w:eastAsia="仿宋_GB2312"/>
                <w:sz w:val="28"/>
              </w:rPr>
            </w:pPr>
          </w:p>
        </w:tc>
        <w:tc>
          <w:tcPr>
            <w:tcW w:w="949" w:type="dxa"/>
            <w:vAlign w:val="center"/>
          </w:tcPr>
          <w:p>
            <w:pPr>
              <w:spacing w:line="500" w:lineRule="exact"/>
              <w:jc w:val="center"/>
              <w:rPr>
                <w:rFonts w:ascii="仿宋_GB2312" w:eastAsia="仿宋_GB2312"/>
                <w:sz w:val="28"/>
              </w:rPr>
            </w:pP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p>
        </w:tc>
      </w:tr>
    </w:tbl>
    <w:p>
      <w:pPr>
        <w:spacing w:line="500" w:lineRule="exact"/>
        <w:ind w:left="1287"/>
        <w:rPr>
          <w:rFonts w:ascii="仿宋_GB2312" w:eastAsia="仿宋_GB2312"/>
          <w:sz w:val="28"/>
        </w:rPr>
      </w:pPr>
    </w:p>
    <w:p>
      <w:pPr>
        <w:numPr>
          <w:ilvl w:val="0"/>
          <w:numId w:val="6"/>
        </w:numPr>
        <w:spacing w:line="500" w:lineRule="exact"/>
        <w:rPr>
          <w:rFonts w:ascii="仿宋_GB2312" w:eastAsia="仿宋_GB2312"/>
          <w:sz w:val="28"/>
        </w:rPr>
      </w:pPr>
      <w:r>
        <w:rPr>
          <w:rFonts w:hint="eastAsia" w:ascii="仿宋_GB2312" w:eastAsia="仿宋_GB2312"/>
          <w:sz w:val="28"/>
        </w:rPr>
        <w:t>质量、技术要求：</w:t>
      </w:r>
    </w:p>
    <w:p>
      <w:pPr>
        <w:widowControl/>
        <w:spacing w:line="360" w:lineRule="atLeast"/>
        <w:ind w:firstLine="555"/>
        <w:jc w:val="left"/>
        <w:rPr>
          <w:rFonts w:ascii="仿宋_GB2312" w:eastAsia="仿宋_GB2312"/>
          <w:sz w:val="28"/>
        </w:rPr>
      </w:pPr>
      <w:r>
        <w:rPr>
          <w:rFonts w:hint="eastAsia" w:ascii="仿宋_GB2312" w:eastAsia="仿宋_GB2312"/>
          <w:sz w:val="28"/>
        </w:rPr>
        <w:t>1、双方达成一致，经乙方改造后，调整改造后车间应满足以下质量、技术要求：</w:t>
      </w:r>
    </w:p>
    <w:p>
      <w:pPr>
        <w:widowControl/>
        <w:spacing w:line="360" w:lineRule="atLeast"/>
        <w:ind w:firstLine="555"/>
        <w:jc w:val="left"/>
        <w:rPr>
          <w:rFonts w:ascii="仿宋_GB2312" w:eastAsia="仿宋_GB2312"/>
          <w:sz w:val="28"/>
        </w:rPr>
      </w:pPr>
      <w:r>
        <w:rPr>
          <w:rFonts w:hint="eastAsia" w:ascii="仿宋_GB2312" w:eastAsia="仿宋_GB2312"/>
          <w:sz w:val="28"/>
        </w:rPr>
        <w:t>（1）、地面夯实、平整、防滑，排水坡向正确，排水迅速；</w:t>
      </w:r>
    </w:p>
    <w:p>
      <w:pPr>
        <w:widowControl/>
        <w:spacing w:line="360" w:lineRule="atLeast"/>
        <w:ind w:firstLine="555"/>
        <w:jc w:val="left"/>
        <w:rPr>
          <w:rFonts w:ascii="仿宋_GB2312" w:eastAsia="仿宋_GB2312"/>
          <w:sz w:val="28"/>
        </w:rPr>
      </w:pPr>
      <w:r>
        <w:rPr>
          <w:rFonts w:hint="eastAsia" w:ascii="仿宋_GB2312" w:eastAsia="仿宋_GB2312"/>
          <w:sz w:val="28"/>
        </w:rPr>
        <w:t>（2）、改造后排水槽内抹灰均匀、光滑，水槽顺直，高度差合适，排淤迅速、干净；</w:t>
      </w:r>
    </w:p>
    <w:p>
      <w:pPr>
        <w:widowControl/>
        <w:spacing w:line="360" w:lineRule="atLeast"/>
        <w:ind w:firstLine="555"/>
        <w:jc w:val="left"/>
        <w:rPr>
          <w:rFonts w:ascii="仿宋_GB2312" w:eastAsia="仿宋_GB2312"/>
          <w:sz w:val="28"/>
        </w:rPr>
      </w:pPr>
      <w:r>
        <w:rPr>
          <w:rFonts w:hint="eastAsia" w:ascii="仿宋_GB2312" w:eastAsia="仿宋_GB2312"/>
          <w:sz w:val="28"/>
        </w:rPr>
        <w:t>（3）、水槽、水管、支架、桥架、配电箱、设备（安装条件允许情况下）等安装须横平竖直，固定牢固，工艺美观。</w:t>
      </w:r>
    </w:p>
    <w:p>
      <w:pPr>
        <w:widowControl/>
        <w:spacing w:line="360" w:lineRule="atLeast"/>
        <w:ind w:firstLine="555"/>
        <w:jc w:val="left"/>
        <w:rPr>
          <w:rFonts w:ascii="仿宋_GB2312" w:eastAsia="仿宋_GB2312"/>
          <w:sz w:val="28"/>
        </w:rPr>
      </w:pPr>
      <w:r>
        <w:rPr>
          <w:rFonts w:hint="eastAsia" w:ascii="仿宋_GB2312" w:eastAsia="仿宋_GB2312"/>
          <w:sz w:val="28"/>
        </w:rPr>
        <w:t>（4）、配电箱漏电保护器动作灵敏，箱内线路标识清晰，布线规范美观，线头无松动散落，布线合理规划做到横平竖直，固定牢固。</w:t>
      </w:r>
    </w:p>
    <w:p>
      <w:pPr>
        <w:widowControl/>
        <w:spacing w:line="360" w:lineRule="atLeast"/>
        <w:ind w:firstLine="555"/>
        <w:jc w:val="left"/>
        <w:rPr>
          <w:rFonts w:ascii="仿宋_GB2312" w:eastAsia="仿宋_GB2312"/>
          <w:sz w:val="28"/>
        </w:rPr>
      </w:pPr>
      <w:r>
        <w:rPr>
          <w:rFonts w:hint="eastAsia" w:ascii="仿宋_GB2312" w:eastAsia="仿宋_GB2312"/>
          <w:sz w:val="28"/>
        </w:rPr>
        <w:t>（</w:t>
      </w:r>
      <w:r>
        <w:rPr>
          <w:rFonts w:ascii="仿宋_GB2312" w:eastAsia="仿宋_GB2312"/>
          <w:sz w:val="28"/>
        </w:rPr>
        <w:t>5</w:t>
      </w:r>
      <w:r>
        <w:rPr>
          <w:rFonts w:hint="eastAsia" w:ascii="仿宋_GB2312" w:eastAsia="仿宋_GB2312"/>
          <w:sz w:val="28"/>
        </w:rPr>
        <w:t>）所有机电安装项目根据现场施工环境应做到施工规范、工艺美观的同时，保证后期生产运作方便。</w:t>
      </w:r>
    </w:p>
    <w:p>
      <w:pPr>
        <w:spacing w:line="500" w:lineRule="exact"/>
        <w:ind w:firstLine="560" w:firstLineChars="200"/>
        <w:rPr>
          <w:rFonts w:ascii="仿宋_GB2312" w:eastAsia="仿宋_GB2312"/>
          <w:sz w:val="28"/>
        </w:rPr>
      </w:pPr>
      <w:r>
        <w:rPr>
          <w:rFonts w:hint="eastAsia" w:ascii="仿宋_GB2312" w:eastAsia="仿宋_GB2312"/>
          <w:sz w:val="28"/>
        </w:rPr>
        <w:t>2、质量保证期间：调整改造施工质量保证期为</w:t>
      </w:r>
      <w:r>
        <w:rPr>
          <w:rFonts w:hint="eastAsia" w:ascii="仿宋_GB2312" w:eastAsia="仿宋_GB2312"/>
          <w:sz w:val="28"/>
          <w:u w:val="single"/>
        </w:rPr>
        <w:t>1</w:t>
      </w:r>
      <w:r>
        <w:rPr>
          <w:rFonts w:hint="eastAsia" w:ascii="仿宋_GB2312" w:eastAsia="仿宋_GB2312"/>
          <w:sz w:val="28"/>
        </w:rPr>
        <w:t>年，从双方共同验收合格之日起计算。改造验收标准及施工要求参照甲方《恒达滚料车间调整改造项目询价采购需求资料》相关要求执行。</w:t>
      </w:r>
    </w:p>
    <w:p>
      <w:pPr>
        <w:numPr>
          <w:ilvl w:val="0"/>
          <w:numId w:val="6"/>
        </w:numPr>
        <w:spacing w:line="500" w:lineRule="exact"/>
        <w:rPr>
          <w:rFonts w:ascii="仿宋_GB2312" w:eastAsia="仿宋_GB2312"/>
          <w:sz w:val="28"/>
        </w:rPr>
      </w:pPr>
      <w:r>
        <w:rPr>
          <w:rFonts w:hint="eastAsia" w:ascii="仿宋_GB2312" w:eastAsia="仿宋_GB2312"/>
          <w:sz w:val="28"/>
        </w:rPr>
        <w:t>改造时间：</w:t>
      </w:r>
      <w:r>
        <w:rPr>
          <w:rFonts w:hint="eastAsia" w:ascii="仿宋_GB2312" w:eastAsia="仿宋_GB2312"/>
          <w:sz w:val="28"/>
          <w:u w:val="single"/>
        </w:rPr>
        <w:t xml:space="preserve">                   </w:t>
      </w:r>
      <w:r>
        <w:rPr>
          <w:rFonts w:hint="eastAsia" w:ascii="仿宋_GB2312" w:eastAsia="仿宋_GB2312"/>
          <w:sz w:val="28"/>
        </w:rPr>
        <w:t>。</w:t>
      </w:r>
    </w:p>
    <w:p>
      <w:pPr>
        <w:numPr>
          <w:ilvl w:val="0"/>
          <w:numId w:val="6"/>
        </w:numPr>
        <w:spacing w:line="500" w:lineRule="exact"/>
        <w:rPr>
          <w:rFonts w:ascii="仿宋_GB2312" w:eastAsia="仿宋_GB2312"/>
          <w:sz w:val="28"/>
        </w:rPr>
      </w:pPr>
      <w:r>
        <w:rPr>
          <w:rFonts w:hint="eastAsia" w:ascii="仿宋_GB2312" w:eastAsia="仿宋_GB2312"/>
          <w:sz w:val="28"/>
        </w:rPr>
        <w:t>施工期间的安全：</w:t>
      </w:r>
    </w:p>
    <w:p>
      <w:pPr>
        <w:spacing w:line="500" w:lineRule="exact"/>
        <w:ind w:firstLine="560" w:firstLineChars="200"/>
        <w:rPr>
          <w:rFonts w:ascii="仿宋_GB2312" w:eastAsia="仿宋_GB2312"/>
          <w:sz w:val="28"/>
        </w:rPr>
      </w:pPr>
      <w:r>
        <w:rPr>
          <w:rFonts w:hint="eastAsia" w:ascii="仿宋_GB2312" w:eastAsia="仿宋_GB2312"/>
          <w:sz w:val="28"/>
        </w:rPr>
        <w:t>改造施工期间，乙方应保证不影响甲方正常生产，乙方人员能遵守甲方的规章制度，并对乙方人员在改造升级施工期间的人身伤亡事故和因乙方原因造成的人身、财产损害承担全部责任。</w:t>
      </w:r>
    </w:p>
    <w:p>
      <w:pPr>
        <w:numPr>
          <w:ilvl w:val="0"/>
          <w:numId w:val="6"/>
        </w:numPr>
        <w:spacing w:line="500" w:lineRule="exact"/>
        <w:rPr>
          <w:rFonts w:ascii="仿宋_GB2312" w:eastAsia="仿宋_GB2312"/>
          <w:sz w:val="28"/>
        </w:rPr>
      </w:pPr>
      <w:r>
        <w:rPr>
          <w:rFonts w:hint="eastAsia" w:ascii="仿宋_GB2312" w:eastAsia="仿宋_GB2312"/>
          <w:sz w:val="28"/>
        </w:rPr>
        <w:t>改造费用按以下第（ ）种方式确定：</w:t>
      </w:r>
    </w:p>
    <w:p>
      <w:pPr>
        <w:spacing w:line="500" w:lineRule="exact"/>
        <w:ind w:left="540"/>
        <w:rPr>
          <w:rFonts w:ascii="仿宋_GB2312" w:eastAsia="仿宋_GB2312"/>
          <w:sz w:val="28"/>
        </w:rPr>
      </w:pPr>
      <w:r>
        <w:rPr>
          <w:rFonts w:hint="eastAsia" w:ascii="仿宋_GB2312" w:eastAsia="仿宋_GB2312"/>
          <w:sz w:val="28"/>
        </w:rPr>
        <w:t>1、包干价（含第二条所列改造费用）为：</w:t>
      </w:r>
      <w:r>
        <w:rPr>
          <w:rFonts w:hint="eastAsia" w:ascii="仿宋_GB2312" w:eastAsia="仿宋_GB2312"/>
          <w:sz w:val="28"/>
          <w:u w:val="single"/>
        </w:rPr>
        <w:t xml:space="preserve">                       </w:t>
      </w:r>
      <w:r>
        <w:rPr>
          <w:rFonts w:hint="eastAsia" w:ascii="仿宋_GB2312" w:eastAsia="仿宋_GB2312"/>
          <w:sz w:val="28"/>
        </w:rPr>
        <w:t>。</w:t>
      </w:r>
    </w:p>
    <w:p>
      <w:pPr>
        <w:spacing w:line="500" w:lineRule="exact"/>
        <w:ind w:left="540"/>
        <w:rPr>
          <w:rFonts w:ascii="仿宋_GB2312" w:eastAsia="仿宋_GB2312"/>
          <w:sz w:val="28"/>
        </w:rPr>
      </w:pPr>
      <w:r>
        <w:rPr>
          <w:rFonts w:hint="eastAsia" w:ascii="仿宋_GB2312" w:eastAsia="仿宋_GB2312"/>
          <w:sz w:val="28"/>
        </w:rPr>
        <w:t>2、改造费用为</w:t>
      </w:r>
      <w:r>
        <w:rPr>
          <w:rFonts w:hint="eastAsia" w:ascii="仿宋_GB2312" w:eastAsia="仿宋_GB2312"/>
          <w:sz w:val="28"/>
          <w:u w:val="single"/>
        </w:rPr>
        <w:t xml:space="preserve">                 </w:t>
      </w:r>
      <w:r>
        <w:rPr>
          <w:rFonts w:hint="eastAsia" w:ascii="仿宋_GB2312" w:eastAsia="仿宋_GB2312"/>
          <w:sz w:val="28"/>
        </w:rPr>
        <w:t>元人民币，更换或新增材料的费用由甲方承担。</w:t>
      </w:r>
    </w:p>
    <w:p>
      <w:pPr>
        <w:numPr>
          <w:ilvl w:val="0"/>
          <w:numId w:val="6"/>
        </w:numPr>
        <w:spacing w:line="500" w:lineRule="exact"/>
        <w:rPr>
          <w:rFonts w:ascii="仿宋_GB2312" w:eastAsia="仿宋_GB2312"/>
          <w:sz w:val="28"/>
        </w:rPr>
      </w:pPr>
      <w:r>
        <w:rPr>
          <w:rFonts w:hint="eastAsia" w:ascii="仿宋_GB2312" w:eastAsia="仿宋_GB2312"/>
          <w:sz w:val="28"/>
        </w:rPr>
        <w:t>甲乙双方的责任：</w:t>
      </w:r>
    </w:p>
    <w:p>
      <w:pPr>
        <w:spacing w:line="500" w:lineRule="exact"/>
        <w:ind w:left="540"/>
        <w:rPr>
          <w:rFonts w:ascii="仿宋_GB2312" w:eastAsia="仿宋_GB2312"/>
          <w:sz w:val="28"/>
        </w:rPr>
      </w:pPr>
      <w:r>
        <w:rPr>
          <w:rFonts w:hint="eastAsia" w:ascii="仿宋_GB2312" w:eastAsia="仿宋_GB2312"/>
          <w:sz w:val="28"/>
        </w:rPr>
        <w:t>1、甲方：合同签订后先期支付总价额30%为预付款，设备验收合格后供方出具全额增值税发票，需方自收到发票起30日内支付总价额的65%，质保金（总价额的5%）于质保期完成后一次性支付。</w:t>
      </w:r>
    </w:p>
    <w:p>
      <w:pPr>
        <w:spacing w:line="500" w:lineRule="exact"/>
        <w:ind w:left="540"/>
        <w:rPr>
          <w:rFonts w:ascii="仿宋_GB2312" w:eastAsia="仿宋_GB2312"/>
          <w:sz w:val="28"/>
        </w:rPr>
      </w:pPr>
      <w:r>
        <w:rPr>
          <w:rFonts w:hint="eastAsia" w:ascii="仿宋_GB2312" w:eastAsia="仿宋_GB2312"/>
          <w:sz w:val="28"/>
        </w:rPr>
        <w:t>2、乙方： 提供完备的改造质保服务，易损易坏部分维护改进,且响应时间不得超过24小时。</w:t>
      </w:r>
    </w:p>
    <w:p>
      <w:pPr>
        <w:spacing w:line="500" w:lineRule="exact"/>
        <w:ind w:left="540"/>
        <w:rPr>
          <w:rFonts w:ascii="仿宋_GB2312" w:eastAsia="仿宋_GB2312"/>
          <w:sz w:val="28"/>
        </w:rPr>
      </w:pPr>
      <w:r>
        <w:rPr>
          <w:rFonts w:hint="eastAsia" w:ascii="仿宋_GB2312" w:eastAsia="仿宋_GB2312"/>
          <w:sz w:val="28"/>
        </w:rPr>
        <w:t>3.质保期：为竣工验收合格后一年，质保期内质量问题由乙方免费维修，双方对质保期内质量无异议后返还质保金。</w:t>
      </w:r>
    </w:p>
    <w:p>
      <w:pPr>
        <w:spacing w:line="360" w:lineRule="auto"/>
        <w:ind w:left="285" w:firstLine="280" w:firstLineChars="100"/>
        <w:rPr>
          <w:rFonts w:ascii="仿宋_GB2312" w:eastAsia="仿宋_GB2312"/>
          <w:sz w:val="28"/>
        </w:rPr>
      </w:pPr>
      <w:r>
        <w:rPr>
          <w:rFonts w:hint="eastAsia" w:ascii="仿宋_GB2312" w:eastAsia="仿宋_GB2312"/>
          <w:sz w:val="28"/>
        </w:rPr>
        <w:t>八、知识产权条款</w:t>
      </w:r>
    </w:p>
    <w:p>
      <w:pPr>
        <w:spacing w:line="500" w:lineRule="exact"/>
        <w:ind w:left="570"/>
        <w:rPr>
          <w:rFonts w:ascii="仿宋_GB2312" w:eastAsia="仿宋_GB2312"/>
          <w:sz w:val="28"/>
        </w:rPr>
      </w:pPr>
      <w:r>
        <w:rPr>
          <w:rFonts w:hint="eastAsia" w:ascii="仿宋_GB2312" w:eastAsia="仿宋_GB2312"/>
          <w:sz w:val="28"/>
        </w:rPr>
        <w:t>1、供方应保证需方在使用本采购合同项下的货物或其任何一部分时免受第三方侵犯其知识产权、商标权或工业设计权的起诉。</w:t>
      </w:r>
    </w:p>
    <w:p>
      <w:pPr>
        <w:spacing w:line="500" w:lineRule="exact"/>
        <w:ind w:left="570"/>
        <w:rPr>
          <w:rFonts w:ascii="仿宋_GB2312" w:eastAsia="仿宋_GB2312"/>
          <w:sz w:val="28"/>
        </w:rPr>
      </w:pPr>
      <w:r>
        <w:rPr>
          <w:rFonts w:hint="eastAsia" w:ascii="仿宋_GB2312" w:eastAsia="仿宋_GB2312"/>
          <w:sz w:val="28"/>
        </w:rPr>
        <w:t>2、需方不对供方提供的货物的商标、专利是否侵犯他人的权利负责，如因供方提供货物引发争议或违法导致买方受损的，供方应赔偿。</w:t>
      </w:r>
    </w:p>
    <w:p>
      <w:pPr>
        <w:spacing w:line="500" w:lineRule="exact"/>
        <w:ind w:left="570"/>
        <w:rPr>
          <w:rFonts w:ascii="仿宋_GB2312" w:eastAsia="仿宋_GB2312"/>
          <w:sz w:val="28"/>
        </w:rPr>
      </w:pPr>
      <w:r>
        <w:rPr>
          <w:rFonts w:hint="eastAsia" w:ascii="仿宋_GB2312" w:eastAsia="仿宋_GB2312"/>
          <w:sz w:val="28"/>
        </w:rPr>
        <w:t>3、供方应保证提供货物的商标、专利等知识产权归供方所有的，对于非供方所有知识产权的货物，供方有义务提供给需方正规渠道证明。</w:t>
      </w:r>
    </w:p>
    <w:p>
      <w:pPr>
        <w:spacing w:line="500" w:lineRule="exact"/>
        <w:ind w:left="570"/>
        <w:rPr>
          <w:rFonts w:ascii="仿宋_GB2312" w:eastAsia="仿宋_GB2312"/>
          <w:sz w:val="28"/>
        </w:rPr>
      </w:pPr>
      <w:r>
        <w:rPr>
          <w:rFonts w:hint="eastAsia" w:ascii="仿宋_GB2312" w:eastAsia="仿宋_GB2312"/>
          <w:sz w:val="28"/>
        </w:rPr>
        <w:t>4、供方商标、专利许可需方的使用范围仅限于合同范围内产品，合同终止后，供方应授权需方或第三方从事制造所必须的知识产权、技术协助，技术文件设备或工具。</w:t>
      </w:r>
    </w:p>
    <w:p>
      <w:pPr>
        <w:spacing w:line="500" w:lineRule="exact"/>
        <w:ind w:left="567"/>
        <w:rPr>
          <w:rFonts w:ascii="仿宋_GB2312" w:eastAsia="仿宋_GB2312"/>
          <w:sz w:val="28"/>
        </w:rPr>
      </w:pPr>
      <w:r>
        <w:rPr>
          <w:rFonts w:hint="eastAsia" w:ascii="仿宋_GB2312" w:eastAsia="仿宋_GB2312"/>
          <w:sz w:val="28"/>
        </w:rPr>
        <w:t>九、违约责任：</w:t>
      </w:r>
    </w:p>
    <w:p>
      <w:pPr>
        <w:spacing w:line="500" w:lineRule="exact"/>
        <w:ind w:left="570"/>
        <w:rPr>
          <w:rFonts w:ascii="仿宋_GB2312" w:eastAsia="仿宋_GB2312"/>
          <w:sz w:val="28"/>
        </w:rPr>
      </w:pPr>
      <w:r>
        <w:rPr>
          <w:rFonts w:hint="eastAsia" w:ascii="仿宋_GB2312" w:eastAsia="仿宋_GB2312"/>
          <w:sz w:val="28"/>
        </w:rPr>
        <w:t>1、甲方违反约定的付款义务，应按乙方实际的损失的10%承担违约责任。</w:t>
      </w:r>
    </w:p>
    <w:p>
      <w:pPr>
        <w:spacing w:line="500" w:lineRule="exact"/>
        <w:ind w:firstLine="560" w:firstLineChars="200"/>
        <w:rPr>
          <w:rFonts w:ascii="仿宋_GB2312" w:eastAsia="仿宋_GB2312"/>
          <w:spacing w:val="-6"/>
          <w:sz w:val="28"/>
        </w:rPr>
      </w:pPr>
      <w:r>
        <w:rPr>
          <w:rFonts w:hint="eastAsia" w:ascii="仿宋_GB2312" w:eastAsia="仿宋_GB2312"/>
          <w:sz w:val="28"/>
        </w:rPr>
        <w:t>2、</w:t>
      </w:r>
      <w:r>
        <w:rPr>
          <w:rFonts w:hint="eastAsia" w:ascii="仿宋_GB2312" w:eastAsia="仿宋_GB2312"/>
          <w:spacing w:val="-6"/>
          <w:sz w:val="28"/>
        </w:rPr>
        <w:t>乙方违反质量、技术约定，应负责免费更换，并赔偿甲方的实际损失。</w:t>
      </w:r>
    </w:p>
    <w:p>
      <w:pPr>
        <w:spacing w:line="520" w:lineRule="exact"/>
        <w:ind w:firstLine="560" w:firstLineChars="200"/>
        <w:jc w:val="left"/>
        <w:rPr>
          <w:rFonts w:ascii="仿宋_GB2312" w:eastAsia="仿宋_GB2312"/>
          <w:kern w:val="0"/>
          <w:sz w:val="28"/>
          <w:szCs w:val="18"/>
        </w:rPr>
      </w:pPr>
      <w:r>
        <w:rPr>
          <w:rFonts w:hint="eastAsia" w:ascii="仿宋_GB2312" w:eastAsia="仿宋_GB2312"/>
          <w:sz w:val="28"/>
        </w:rPr>
        <w:t>3、乙方须开具符合相关法规的税率为</w:t>
      </w:r>
      <w:r>
        <w:rPr>
          <w:rFonts w:hint="eastAsia" w:ascii="仿宋_GB2312" w:eastAsia="仿宋_GB2312"/>
          <w:kern w:val="0"/>
          <w:sz w:val="28"/>
          <w:szCs w:val="18"/>
          <w:u w:val="single"/>
        </w:rPr>
        <w:t xml:space="preserve"> 13 </w:t>
      </w:r>
      <w:r>
        <w:rPr>
          <w:rFonts w:ascii="仿宋_GB2312" w:eastAsia="仿宋_GB2312"/>
          <w:kern w:val="0"/>
          <w:sz w:val="28"/>
          <w:szCs w:val="18"/>
        </w:rPr>
        <w:t>%</w:t>
      </w:r>
      <w:r>
        <w:rPr>
          <w:rFonts w:hint="eastAsia" w:ascii="仿宋_GB2312" w:eastAsia="仿宋_GB2312"/>
          <w:kern w:val="0"/>
          <w:sz w:val="28"/>
          <w:szCs w:val="18"/>
        </w:rPr>
        <w:t>的增值税</w:t>
      </w:r>
      <w:r>
        <w:rPr>
          <w:rFonts w:hint="eastAsia" w:ascii="仿宋_GB2312" w:eastAsia="仿宋_GB2312"/>
          <w:kern w:val="0"/>
          <w:sz w:val="28"/>
          <w:szCs w:val="18"/>
          <w:u w:val="single"/>
        </w:rPr>
        <w:t xml:space="preserve"> 专用 </w:t>
      </w:r>
      <w:r>
        <w:rPr>
          <w:rFonts w:hint="eastAsia" w:ascii="仿宋_GB2312" w:eastAsia="仿宋_GB2312"/>
          <w:kern w:val="0"/>
          <w:sz w:val="28"/>
          <w:szCs w:val="18"/>
        </w:rPr>
        <w:t>发票，由于乙方开具发票不符合相关法规要求为甲方造成的涉税损失由乙方全额承担。</w:t>
      </w:r>
    </w:p>
    <w:p>
      <w:pPr>
        <w:spacing w:line="500" w:lineRule="exact"/>
        <w:ind w:firstLine="560" w:firstLineChars="200"/>
        <w:rPr>
          <w:rFonts w:ascii="仿宋_GB2312" w:eastAsia="仿宋_GB2312"/>
          <w:sz w:val="28"/>
          <w:szCs w:val="28"/>
        </w:rPr>
      </w:pPr>
      <w:r>
        <w:rPr>
          <w:rFonts w:hint="eastAsia" w:ascii="仿宋_GB2312" w:eastAsia="仿宋_GB2312"/>
          <w:sz w:val="28"/>
        </w:rPr>
        <w:t>十、本</w:t>
      </w:r>
      <w:r>
        <w:rPr>
          <w:rFonts w:hint="eastAsia" w:ascii="仿宋_GB2312" w:eastAsia="仿宋_GB2312"/>
          <w:sz w:val="28"/>
          <w:szCs w:val="28"/>
        </w:rPr>
        <w:t>合同如有未尽事宜，由双方共同协商，作出补充规定，补充规定与本合同具有同等效力，双方争议由都江堰人民法院管辖。</w:t>
      </w:r>
    </w:p>
    <w:p>
      <w:pPr>
        <w:spacing w:line="500" w:lineRule="exact"/>
        <w:ind w:firstLine="560" w:firstLineChars="200"/>
        <w:rPr>
          <w:rFonts w:ascii="仿宋_GB2312" w:eastAsia="仿宋_GB2312"/>
          <w:sz w:val="28"/>
        </w:rPr>
      </w:pPr>
      <w:r>
        <w:rPr>
          <w:rFonts w:hint="eastAsia" w:ascii="仿宋_GB2312" w:eastAsia="仿宋_GB2312"/>
          <w:sz w:val="28"/>
          <w:szCs w:val="28"/>
        </w:rPr>
        <w:t>十一、本合同一式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hint="eastAsia"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Microsoft JhengHei"/>
    <w:panose1 w:val="02010609000101010101"/>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Microsoft JhengHei">
    <w:panose1 w:val="020B0604030504040204"/>
    <w:charset w:val="88"/>
    <w:family w:val="auto"/>
    <w:pitch w:val="default"/>
    <w:sig w:usb0="000002A7" w:usb1="28CF4400" w:usb2="00000016" w:usb3="00000000" w:csb0="00100009" w:csb1="00000000"/>
  </w:font>
  <w:font w:name="Microsoft JhengHei UI">
    <w:panose1 w:val="020B0604030504040204"/>
    <w:charset w:val="88"/>
    <w:family w:val="auto"/>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87946"/>
    <w:multiLevelType w:val="multilevel"/>
    <w:tmpl w:val="07987946"/>
    <w:lvl w:ilvl="0" w:tentative="0">
      <w:start w:val="1"/>
      <w:numFmt w:val="bullet"/>
      <w:lvlText w:val=""/>
      <w:lvlJc w:val="left"/>
      <w:pPr>
        <w:ind w:left="495" w:hanging="495"/>
      </w:pPr>
      <w:rPr>
        <w:rFonts w:hint="default" w:ascii="Wingdings" w:hAnsi="Wingdings"/>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
    <w:nsid w:val="282B3AA3"/>
    <w:multiLevelType w:val="multilevel"/>
    <w:tmpl w:val="282B3AA3"/>
    <w:lvl w:ilvl="0" w:tentative="0">
      <w:start w:val="1"/>
      <w:numFmt w:val="bullet"/>
      <w:lvlText w:val=""/>
      <w:lvlJc w:val="left"/>
      <w:pPr>
        <w:ind w:left="495" w:hanging="495"/>
      </w:pPr>
      <w:rPr>
        <w:rFonts w:hint="default" w:ascii="Wingdings" w:hAnsi="Wingdings"/>
      </w:rPr>
    </w:lvl>
    <w:lvl w:ilvl="1" w:tentative="0">
      <w:start w:val="1"/>
      <w:numFmt w:val="bullet"/>
      <w:lvlText w:val=""/>
      <w:lvlJc w:val="left"/>
      <w:pPr>
        <w:ind w:left="720" w:hanging="720"/>
      </w:pPr>
      <w:rPr>
        <w:rFonts w:hint="default" w:ascii="Wingdings" w:hAnsi="Wingdings"/>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3115296D"/>
    <w:multiLevelType w:val="multilevel"/>
    <w:tmpl w:val="3115296D"/>
    <w:lvl w:ilvl="0" w:tentative="0">
      <w:start w:val="1"/>
      <w:numFmt w:val="bullet"/>
      <w:lvlText w:val=""/>
      <w:lvlJc w:val="left"/>
      <w:pPr>
        <w:ind w:left="495" w:hanging="495"/>
      </w:pPr>
      <w:rPr>
        <w:rFonts w:hint="default" w:ascii="Wingdings" w:hAnsi="Wingdings"/>
      </w:rPr>
    </w:lvl>
    <w:lvl w:ilvl="1" w:tentative="0">
      <w:start w:val="1"/>
      <w:numFmt w:val="bullet"/>
      <w:lvlText w:val=""/>
      <w:lvlJc w:val="left"/>
      <w:pPr>
        <w:ind w:left="720" w:hanging="720"/>
      </w:pPr>
      <w:rPr>
        <w:rFonts w:hint="default" w:ascii="Wingdings" w:hAnsi="Wingdings"/>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3">
    <w:nsid w:val="481045FE"/>
    <w:multiLevelType w:val="multilevel"/>
    <w:tmpl w:val="481045FE"/>
    <w:lvl w:ilvl="0" w:tentative="0">
      <w:start w:val="1"/>
      <w:numFmt w:val="japaneseCounting"/>
      <w:lvlText w:val="%1、"/>
      <w:lvlJc w:val="left"/>
      <w:pPr>
        <w:tabs>
          <w:tab w:val="left" w:pos="1287"/>
        </w:tabs>
        <w:ind w:left="1287" w:hanging="720"/>
      </w:pPr>
      <w:rPr>
        <w:rFonts w:hint="eastAsia"/>
      </w:rPr>
    </w:lvl>
    <w:lvl w:ilvl="1" w:tentative="0">
      <w:start w:val="1"/>
      <w:numFmt w:val="decimal"/>
      <w:lvlText w:val="%2、"/>
      <w:lvlJc w:val="left"/>
      <w:pPr>
        <w:tabs>
          <w:tab w:val="left" w:pos="1710"/>
        </w:tabs>
        <w:ind w:left="1710" w:hanging="720"/>
      </w:pPr>
      <w:rPr>
        <w:rFonts w:hint="eastAsia"/>
      </w:r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abstractNum w:abstractNumId="4">
    <w:nsid w:val="4DCB1A02"/>
    <w:multiLevelType w:val="multilevel"/>
    <w:tmpl w:val="4DCB1A02"/>
    <w:lvl w:ilvl="0" w:tentative="0">
      <w:start w:val="1"/>
      <w:numFmt w:val="bullet"/>
      <w:lvlText w:val=""/>
      <w:lvlJc w:val="left"/>
      <w:pPr>
        <w:ind w:left="495" w:hanging="495"/>
      </w:pPr>
      <w:rPr>
        <w:rFonts w:hint="default" w:ascii="Wingdings" w:hAnsi="Wingdings"/>
      </w:rPr>
    </w:lvl>
    <w:lvl w:ilvl="1" w:tentative="0">
      <w:start w:val="1"/>
      <w:numFmt w:val="bullet"/>
      <w:lvlText w:val=""/>
      <w:lvlJc w:val="left"/>
      <w:pPr>
        <w:ind w:left="720" w:hanging="720"/>
      </w:pPr>
      <w:rPr>
        <w:rFonts w:hint="default" w:ascii="Wingdings" w:hAnsi="Wingdings"/>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5">
    <w:nsid w:val="5EBF028F"/>
    <w:multiLevelType w:val="multilevel"/>
    <w:tmpl w:val="5EBF028F"/>
    <w:lvl w:ilvl="0" w:tentative="0">
      <w:start w:val="1"/>
      <w:numFmt w:val="bullet"/>
      <w:lvlText w:val=""/>
      <w:lvlJc w:val="left"/>
      <w:pPr>
        <w:ind w:left="495" w:hanging="495"/>
      </w:pPr>
      <w:rPr>
        <w:rFonts w:hint="default" w:ascii="Wingdings" w:hAnsi="Wingdings"/>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num w:numId="1">
    <w:abstractNumId w:val="1"/>
  </w:num>
  <w:num w:numId="2">
    <w:abstractNumId w:val="5"/>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0810"/>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3DAE"/>
    <w:rsid w:val="00084168"/>
    <w:rsid w:val="00091F43"/>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392F"/>
    <w:rsid w:val="00136018"/>
    <w:rsid w:val="001409CB"/>
    <w:rsid w:val="0014142C"/>
    <w:rsid w:val="00141BEA"/>
    <w:rsid w:val="00144134"/>
    <w:rsid w:val="00146D71"/>
    <w:rsid w:val="001503EA"/>
    <w:rsid w:val="0016147D"/>
    <w:rsid w:val="0016239D"/>
    <w:rsid w:val="00167DF2"/>
    <w:rsid w:val="00167E42"/>
    <w:rsid w:val="00183193"/>
    <w:rsid w:val="00184749"/>
    <w:rsid w:val="00187901"/>
    <w:rsid w:val="00190033"/>
    <w:rsid w:val="00192149"/>
    <w:rsid w:val="00193ECD"/>
    <w:rsid w:val="001945BE"/>
    <w:rsid w:val="00197732"/>
    <w:rsid w:val="00197823"/>
    <w:rsid w:val="001A09B3"/>
    <w:rsid w:val="001A20E8"/>
    <w:rsid w:val="001A77EA"/>
    <w:rsid w:val="001B089A"/>
    <w:rsid w:val="001B54EC"/>
    <w:rsid w:val="001B6E1F"/>
    <w:rsid w:val="001B72C4"/>
    <w:rsid w:val="001C0B52"/>
    <w:rsid w:val="001C686B"/>
    <w:rsid w:val="001D316D"/>
    <w:rsid w:val="001D4406"/>
    <w:rsid w:val="001E11BC"/>
    <w:rsid w:val="001E1A40"/>
    <w:rsid w:val="001E42F1"/>
    <w:rsid w:val="001F35D2"/>
    <w:rsid w:val="001F406E"/>
    <w:rsid w:val="001F5ECE"/>
    <w:rsid w:val="00201849"/>
    <w:rsid w:val="00204579"/>
    <w:rsid w:val="00204E2A"/>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6CB3"/>
    <w:rsid w:val="00275907"/>
    <w:rsid w:val="00277F26"/>
    <w:rsid w:val="00284352"/>
    <w:rsid w:val="00286E2B"/>
    <w:rsid w:val="00290FD7"/>
    <w:rsid w:val="00291957"/>
    <w:rsid w:val="00293B59"/>
    <w:rsid w:val="00293D3D"/>
    <w:rsid w:val="00297E2B"/>
    <w:rsid w:val="002A1B51"/>
    <w:rsid w:val="002A5A8B"/>
    <w:rsid w:val="002A6DF9"/>
    <w:rsid w:val="002A7716"/>
    <w:rsid w:val="002B0A34"/>
    <w:rsid w:val="002C24A3"/>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14D14"/>
    <w:rsid w:val="00320670"/>
    <w:rsid w:val="00326A4C"/>
    <w:rsid w:val="0032778F"/>
    <w:rsid w:val="003340B1"/>
    <w:rsid w:val="003373A3"/>
    <w:rsid w:val="003419E0"/>
    <w:rsid w:val="00347F94"/>
    <w:rsid w:val="0035143A"/>
    <w:rsid w:val="00351F4D"/>
    <w:rsid w:val="003526D6"/>
    <w:rsid w:val="003574F4"/>
    <w:rsid w:val="00361399"/>
    <w:rsid w:val="00364B68"/>
    <w:rsid w:val="0036626F"/>
    <w:rsid w:val="00382569"/>
    <w:rsid w:val="00382C02"/>
    <w:rsid w:val="00383668"/>
    <w:rsid w:val="00383A96"/>
    <w:rsid w:val="003851A2"/>
    <w:rsid w:val="00385450"/>
    <w:rsid w:val="003866B8"/>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53F"/>
    <w:rsid w:val="004A3EE4"/>
    <w:rsid w:val="004A445D"/>
    <w:rsid w:val="004B227D"/>
    <w:rsid w:val="004B793D"/>
    <w:rsid w:val="004C4F12"/>
    <w:rsid w:val="004C77C1"/>
    <w:rsid w:val="004D1000"/>
    <w:rsid w:val="004D31EC"/>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4113"/>
    <w:rsid w:val="005A0FA7"/>
    <w:rsid w:val="005A1FCE"/>
    <w:rsid w:val="005A3C5A"/>
    <w:rsid w:val="005A5946"/>
    <w:rsid w:val="005B3313"/>
    <w:rsid w:val="005C0D0D"/>
    <w:rsid w:val="005C315B"/>
    <w:rsid w:val="005C5B8E"/>
    <w:rsid w:val="005C7C17"/>
    <w:rsid w:val="005D06B4"/>
    <w:rsid w:val="005D4292"/>
    <w:rsid w:val="005D7FAD"/>
    <w:rsid w:val="005E1390"/>
    <w:rsid w:val="005E33D5"/>
    <w:rsid w:val="005E3A98"/>
    <w:rsid w:val="005E49B0"/>
    <w:rsid w:val="005E5CDE"/>
    <w:rsid w:val="005F0959"/>
    <w:rsid w:val="005F228E"/>
    <w:rsid w:val="005F2B97"/>
    <w:rsid w:val="005F2DB2"/>
    <w:rsid w:val="005F469C"/>
    <w:rsid w:val="005F4D57"/>
    <w:rsid w:val="006014CA"/>
    <w:rsid w:val="00602F0B"/>
    <w:rsid w:val="006073B7"/>
    <w:rsid w:val="006142F8"/>
    <w:rsid w:val="00616479"/>
    <w:rsid w:val="00616757"/>
    <w:rsid w:val="0061769A"/>
    <w:rsid w:val="0062132C"/>
    <w:rsid w:val="00623840"/>
    <w:rsid w:val="00624BA8"/>
    <w:rsid w:val="0062633B"/>
    <w:rsid w:val="00627111"/>
    <w:rsid w:val="00627CDD"/>
    <w:rsid w:val="00635CBC"/>
    <w:rsid w:val="00637FFC"/>
    <w:rsid w:val="00640246"/>
    <w:rsid w:val="00641CF4"/>
    <w:rsid w:val="00643BDA"/>
    <w:rsid w:val="006448A8"/>
    <w:rsid w:val="00662732"/>
    <w:rsid w:val="00662A69"/>
    <w:rsid w:val="00662DF7"/>
    <w:rsid w:val="00664B48"/>
    <w:rsid w:val="00667D9F"/>
    <w:rsid w:val="00670373"/>
    <w:rsid w:val="00671E17"/>
    <w:rsid w:val="006726B0"/>
    <w:rsid w:val="006877C7"/>
    <w:rsid w:val="00693450"/>
    <w:rsid w:val="00695560"/>
    <w:rsid w:val="00696CD7"/>
    <w:rsid w:val="006A2AFD"/>
    <w:rsid w:val="006B3997"/>
    <w:rsid w:val="006D007D"/>
    <w:rsid w:val="006D133F"/>
    <w:rsid w:val="006D39B6"/>
    <w:rsid w:val="006D3F6A"/>
    <w:rsid w:val="006E00AF"/>
    <w:rsid w:val="006E1B30"/>
    <w:rsid w:val="006F0376"/>
    <w:rsid w:val="006F1A4C"/>
    <w:rsid w:val="006F6107"/>
    <w:rsid w:val="006F6DFA"/>
    <w:rsid w:val="00701221"/>
    <w:rsid w:val="007063DB"/>
    <w:rsid w:val="007070EE"/>
    <w:rsid w:val="007134BB"/>
    <w:rsid w:val="00715622"/>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420A"/>
    <w:rsid w:val="0076429D"/>
    <w:rsid w:val="0076496F"/>
    <w:rsid w:val="0076566F"/>
    <w:rsid w:val="0076661B"/>
    <w:rsid w:val="00766C3E"/>
    <w:rsid w:val="007706D6"/>
    <w:rsid w:val="00773448"/>
    <w:rsid w:val="00777D5C"/>
    <w:rsid w:val="00777DA4"/>
    <w:rsid w:val="00780643"/>
    <w:rsid w:val="007826BA"/>
    <w:rsid w:val="0078440D"/>
    <w:rsid w:val="00784540"/>
    <w:rsid w:val="00784DB1"/>
    <w:rsid w:val="00785B33"/>
    <w:rsid w:val="00790A40"/>
    <w:rsid w:val="0079128D"/>
    <w:rsid w:val="00792A7E"/>
    <w:rsid w:val="007A461C"/>
    <w:rsid w:val="007B5DD2"/>
    <w:rsid w:val="007C091A"/>
    <w:rsid w:val="007C112C"/>
    <w:rsid w:val="007C2827"/>
    <w:rsid w:val="007C4227"/>
    <w:rsid w:val="007C48E0"/>
    <w:rsid w:val="007C5635"/>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C9F"/>
    <w:rsid w:val="00871EA4"/>
    <w:rsid w:val="0087430E"/>
    <w:rsid w:val="00875FC3"/>
    <w:rsid w:val="00880D56"/>
    <w:rsid w:val="00883363"/>
    <w:rsid w:val="00883ED6"/>
    <w:rsid w:val="00885D64"/>
    <w:rsid w:val="00895212"/>
    <w:rsid w:val="008B16DD"/>
    <w:rsid w:val="008C06E5"/>
    <w:rsid w:val="008C0F74"/>
    <w:rsid w:val="008C3021"/>
    <w:rsid w:val="008C382A"/>
    <w:rsid w:val="008C65D9"/>
    <w:rsid w:val="008C7C6E"/>
    <w:rsid w:val="008D263D"/>
    <w:rsid w:val="008D3CAB"/>
    <w:rsid w:val="008D5C53"/>
    <w:rsid w:val="008D7144"/>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C4A"/>
    <w:rsid w:val="00970787"/>
    <w:rsid w:val="00970D9D"/>
    <w:rsid w:val="0097376F"/>
    <w:rsid w:val="00974214"/>
    <w:rsid w:val="009868F2"/>
    <w:rsid w:val="00986F60"/>
    <w:rsid w:val="00990668"/>
    <w:rsid w:val="0099749F"/>
    <w:rsid w:val="00997AEF"/>
    <w:rsid w:val="009A2F5E"/>
    <w:rsid w:val="009B32F1"/>
    <w:rsid w:val="009B359A"/>
    <w:rsid w:val="009B7E21"/>
    <w:rsid w:val="009C20A7"/>
    <w:rsid w:val="009C338C"/>
    <w:rsid w:val="009D3C37"/>
    <w:rsid w:val="009D3C6E"/>
    <w:rsid w:val="009E0465"/>
    <w:rsid w:val="009F21E8"/>
    <w:rsid w:val="00A0230B"/>
    <w:rsid w:val="00A05386"/>
    <w:rsid w:val="00A11DAF"/>
    <w:rsid w:val="00A15726"/>
    <w:rsid w:val="00A16833"/>
    <w:rsid w:val="00A17631"/>
    <w:rsid w:val="00A26ED2"/>
    <w:rsid w:val="00A2726D"/>
    <w:rsid w:val="00A31438"/>
    <w:rsid w:val="00A31447"/>
    <w:rsid w:val="00A32C69"/>
    <w:rsid w:val="00A36017"/>
    <w:rsid w:val="00A366A7"/>
    <w:rsid w:val="00A369F2"/>
    <w:rsid w:val="00A45654"/>
    <w:rsid w:val="00A45E4F"/>
    <w:rsid w:val="00A666D1"/>
    <w:rsid w:val="00A6688A"/>
    <w:rsid w:val="00A66ADE"/>
    <w:rsid w:val="00A66B95"/>
    <w:rsid w:val="00A712A2"/>
    <w:rsid w:val="00A76352"/>
    <w:rsid w:val="00A774B5"/>
    <w:rsid w:val="00A839B9"/>
    <w:rsid w:val="00A841F5"/>
    <w:rsid w:val="00A85809"/>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2C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344F"/>
    <w:rsid w:val="00C167C8"/>
    <w:rsid w:val="00C21AFC"/>
    <w:rsid w:val="00C412A5"/>
    <w:rsid w:val="00C44326"/>
    <w:rsid w:val="00C45ECD"/>
    <w:rsid w:val="00C50919"/>
    <w:rsid w:val="00C57138"/>
    <w:rsid w:val="00C57736"/>
    <w:rsid w:val="00C6166C"/>
    <w:rsid w:val="00C646C3"/>
    <w:rsid w:val="00C67DB5"/>
    <w:rsid w:val="00C705C4"/>
    <w:rsid w:val="00C7094D"/>
    <w:rsid w:val="00C74E22"/>
    <w:rsid w:val="00C76AC0"/>
    <w:rsid w:val="00C832F6"/>
    <w:rsid w:val="00C83DF3"/>
    <w:rsid w:val="00C854BF"/>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367"/>
    <w:rsid w:val="00D60CD2"/>
    <w:rsid w:val="00D60F4B"/>
    <w:rsid w:val="00D661B6"/>
    <w:rsid w:val="00D67E6B"/>
    <w:rsid w:val="00D823B6"/>
    <w:rsid w:val="00D82FCF"/>
    <w:rsid w:val="00DA1090"/>
    <w:rsid w:val="00DA5B2F"/>
    <w:rsid w:val="00DA6647"/>
    <w:rsid w:val="00DB102F"/>
    <w:rsid w:val="00DB56F0"/>
    <w:rsid w:val="00DC200D"/>
    <w:rsid w:val="00DC49C5"/>
    <w:rsid w:val="00DC7652"/>
    <w:rsid w:val="00DD0FFE"/>
    <w:rsid w:val="00DD1CB3"/>
    <w:rsid w:val="00DD2750"/>
    <w:rsid w:val="00DD34AD"/>
    <w:rsid w:val="00DD3CCD"/>
    <w:rsid w:val="00DD64AE"/>
    <w:rsid w:val="00DE3CE8"/>
    <w:rsid w:val="00DF2A41"/>
    <w:rsid w:val="00DF668F"/>
    <w:rsid w:val="00DF706D"/>
    <w:rsid w:val="00DF7D50"/>
    <w:rsid w:val="00E02A6A"/>
    <w:rsid w:val="00E104FC"/>
    <w:rsid w:val="00E175C3"/>
    <w:rsid w:val="00E2199F"/>
    <w:rsid w:val="00E2333F"/>
    <w:rsid w:val="00E25816"/>
    <w:rsid w:val="00E27208"/>
    <w:rsid w:val="00E27694"/>
    <w:rsid w:val="00E30080"/>
    <w:rsid w:val="00E30B1C"/>
    <w:rsid w:val="00E34F94"/>
    <w:rsid w:val="00E36BC4"/>
    <w:rsid w:val="00E402EC"/>
    <w:rsid w:val="00E42C36"/>
    <w:rsid w:val="00E45A19"/>
    <w:rsid w:val="00E468DF"/>
    <w:rsid w:val="00E47997"/>
    <w:rsid w:val="00E47D20"/>
    <w:rsid w:val="00E50AF9"/>
    <w:rsid w:val="00E50E84"/>
    <w:rsid w:val="00E53C1B"/>
    <w:rsid w:val="00E55527"/>
    <w:rsid w:val="00E5697A"/>
    <w:rsid w:val="00E66C9D"/>
    <w:rsid w:val="00E7544D"/>
    <w:rsid w:val="00E83F00"/>
    <w:rsid w:val="00E85BF1"/>
    <w:rsid w:val="00E85DBD"/>
    <w:rsid w:val="00E926C6"/>
    <w:rsid w:val="00E9347F"/>
    <w:rsid w:val="00E95E20"/>
    <w:rsid w:val="00E97B15"/>
    <w:rsid w:val="00EA1034"/>
    <w:rsid w:val="00EA54D5"/>
    <w:rsid w:val="00EB19E2"/>
    <w:rsid w:val="00EB3699"/>
    <w:rsid w:val="00EB5C0C"/>
    <w:rsid w:val="00EB628B"/>
    <w:rsid w:val="00EB71AC"/>
    <w:rsid w:val="00EC12EF"/>
    <w:rsid w:val="00EC4918"/>
    <w:rsid w:val="00EC7264"/>
    <w:rsid w:val="00ED1705"/>
    <w:rsid w:val="00EF0B5C"/>
    <w:rsid w:val="00EF25C8"/>
    <w:rsid w:val="00EF4244"/>
    <w:rsid w:val="00EF7DE6"/>
    <w:rsid w:val="00EF7E20"/>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33FB"/>
    <w:rsid w:val="00F54995"/>
    <w:rsid w:val="00F616EB"/>
    <w:rsid w:val="00F620F0"/>
    <w:rsid w:val="00F621A6"/>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6CB6"/>
    <w:rsid w:val="0EA20914"/>
    <w:rsid w:val="526D0316"/>
    <w:rsid w:val="5A9462AD"/>
    <w:rsid w:val="70813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iPriority w:val="0"/>
    <w:pPr>
      <w:widowControl/>
      <w:ind w:firstLine="420"/>
      <w:jc w:val="left"/>
    </w:pPr>
    <w:rPr>
      <w:kern w:val="0"/>
      <w:sz w:val="20"/>
    </w:rPr>
  </w:style>
  <w:style w:type="paragraph" w:styleId="7">
    <w:name w:val="annotation text"/>
    <w:basedOn w:val="1"/>
    <w:link w:val="38"/>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字符"/>
    <w:basedOn w:val="20"/>
    <w:link w:val="15"/>
    <w:qFormat/>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字符"/>
    <w:basedOn w:val="20"/>
    <w:link w:val="6"/>
    <w:semiHidden/>
    <w:uiPriority w:val="0"/>
    <w:rPr>
      <w:rFonts w:ascii="Cambria" w:hAnsi="Cambria" w:eastAsia="宋体"/>
      <w:b/>
      <w:bCs/>
      <w:sz w:val="28"/>
      <w:szCs w:val="28"/>
      <w:lang w:val="en-US" w:eastAsia="zh-CN" w:bidi="ar-SA"/>
    </w:rPr>
  </w:style>
  <w:style w:type="character" w:customStyle="1" w:styleId="36">
    <w:name w:val="页眉 字符"/>
    <w:basedOn w:val="20"/>
    <w:link w:val="14"/>
    <w:qFormat/>
    <w:uiPriority w:val="0"/>
    <w:rPr>
      <w:kern w:val="2"/>
      <w:sz w:val="21"/>
    </w:rPr>
  </w:style>
  <w:style w:type="character" w:customStyle="1" w:styleId="37">
    <w:name w:val="页脚 字符"/>
    <w:basedOn w:val="20"/>
    <w:link w:val="13"/>
    <w:qFormat/>
    <w:uiPriority w:val="0"/>
    <w:rPr>
      <w:kern w:val="2"/>
      <w:sz w:val="21"/>
    </w:rPr>
  </w:style>
  <w:style w:type="character" w:customStyle="1" w:styleId="38">
    <w:name w:val="批注文字 字符"/>
    <w:basedOn w:val="20"/>
    <w:link w:val="7"/>
    <w:qFormat/>
    <w:uiPriority w:val="0"/>
    <w:rPr>
      <w:kern w:val="2"/>
    </w:rPr>
  </w:style>
  <w:style w:type="character" w:customStyle="1" w:styleId="39">
    <w:name w:val="批注主题 字符"/>
    <w:basedOn w:val="38"/>
    <w:link w:val="17"/>
    <w:qFormat/>
    <w:uiPriority w:val="0"/>
    <w:rPr>
      <w:b/>
      <w:bCs/>
      <w:kern w:val="2"/>
    </w:rPr>
  </w:style>
  <w:style w:type="character" w:customStyle="1" w:styleId="40">
    <w:name w:val="批注框文本 字符"/>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EBB81C-4AF4-43D4-B018-E4A6144AC819}">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23</Pages>
  <Words>1613</Words>
  <Characters>9200</Characters>
  <Lines>76</Lines>
  <Paragraphs>21</Paragraphs>
  <TotalTime>4</TotalTime>
  <ScaleCrop>false</ScaleCrop>
  <LinksUpToDate>false</LinksUpToDate>
  <CharactersWithSpaces>10792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2021-01-19T02:22:06Z</dcterms:modified>
  <dc:title>投标邀请</dc:title>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