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宋体" w:hAnsi="宋体" w:eastAsia="宋体" w:cs="宋体"/>
          <w:b/>
          <w:kern w:val="0"/>
          <w:sz w:val="44"/>
          <w:szCs w:val="44"/>
        </w:rPr>
      </w:pPr>
    </w:p>
    <w:p>
      <w:pPr>
        <w:spacing w:line="540" w:lineRule="exact"/>
        <w:rPr>
          <w:rFonts w:ascii="宋体" w:hAnsi="宋体" w:eastAsia="宋体" w:cs="宋体"/>
          <w:b/>
          <w:kern w:val="0"/>
          <w:sz w:val="44"/>
          <w:szCs w:val="44"/>
        </w:rPr>
      </w:pPr>
    </w:p>
    <w:p>
      <w:pPr>
        <w:spacing w:line="540" w:lineRule="exact"/>
        <w:jc w:val="center"/>
        <w:rPr>
          <w:rFonts w:ascii="宋体" w:hAnsi="宋体" w:eastAsia="宋体" w:cs="宋体"/>
          <w:b/>
          <w:kern w:val="0"/>
          <w:sz w:val="44"/>
          <w:szCs w:val="44"/>
        </w:rPr>
      </w:pPr>
    </w:p>
    <w:p>
      <w:pPr>
        <w:jc w:val="center"/>
        <w:rPr>
          <w:rFonts w:asciiTheme="majorEastAsia" w:hAnsiTheme="majorEastAsia" w:eastAsiaTheme="majorEastAsia"/>
          <w:b/>
          <w:color w:val="000000" w:themeColor="text1"/>
          <w:sz w:val="44"/>
          <w:szCs w:val="44"/>
          <w:u w:val="single"/>
        </w:rPr>
      </w:pPr>
      <w:r>
        <w:rPr>
          <w:rFonts w:hint="eastAsia" w:ascii="宋体" w:hAnsi="宋体" w:eastAsia="宋体" w:cs="宋体"/>
          <w:b/>
          <w:kern w:val="0"/>
          <w:sz w:val="36"/>
          <w:szCs w:val="36"/>
        </w:rPr>
        <w:t>都江堰光明光电材料有限责任公司</w:t>
      </w:r>
    </w:p>
    <w:p>
      <w:pPr>
        <w:pStyle w:val="2"/>
        <w:jc w:val="center"/>
        <w:rPr>
          <w:rFonts w:asciiTheme="majorEastAsia" w:hAnsiTheme="majorEastAsia" w:eastAsiaTheme="majorEastAsia"/>
          <w:b/>
          <w:color w:val="000000" w:themeColor="text1"/>
          <w:sz w:val="44"/>
          <w:szCs w:val="44"/>
          <w:u w:val="single"/>
        </w:rPr>
      </w:pPr>
      <w:r>
        <w:rPr>
          <w:rFonts w:hint="eastAsia" w:asciiTheme="majorEastAsia" w:hAnsiTheme="majorEastAsia" w:eastAsiaTheme="majorEastAsia"/>
          <w:b/>
          <w:color w:val="000000" w:themeColor="text1"/>
          <w:sz w:val="44"/>
          <w:szCs w:val="44"/>
          <w:u w:val="single"/>
        </w:rPr>
        <w:t>职业病危害因素年度检测</w:t>
      </w:r>
    </w:p>
    <w:p>
      <w:pPr>
        <w:pStyle w:val="2"/>
        <w:rPr>
          <w:rFonts w:asciiTheme="majorEastAsia" w:hAnsiTheme="majorEastAsia" w:eastAsiaTheme="majorEastAsia"/>
          <w:b/>
          <w:color w:val="000000" w:themeColor="text1"/>
          <w:sz w:val="44"/>
          <w:szCs w:val="44"/>
          <w:u w:val="single"/>
        </w:rPr>
      </w:pPr>
    </w:p>
    <w:p>
      <w:pPr>
        <w:pStyle w:val="2"/>
      </w:pPr>
    </w:p>
    <w:p>
      <w:pPr>
        <w:jc w:val="center"/>
        <w:rPr>
          <w:rFonts w:ascii="宋体" w:hAnsi="宋体" w:eastAsia="宋体"/>
          <w:sz w:val="72"/>
          <w:szCs w:val="72"/>
        </w:rPr>
      </w:pPr>
      <w:r>
        <w:rPr>
          <w:rFonts w:hint="eastAsia" w:ascii="宋体" w:hAnsi="宋体" w:eastAsia="宋体"/>
          <w:sz w:val="72"/>
          <w:szCs w:val="72"/>
        </w:rPr>
        <w:t>询价文件</w:t>
      </w:r>
    </w:p>
    <w:p>
      <w:pPr>
        <w:spacing w:line="540" w:lineRule="exact"/>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pStyle w:val="2"/>
      </w:pPr>
    </w:p>
    <w:p>
      <w:pPr>
        <w:pStyle w:val="2"/>
      </w:pPr>
    </w:p>
    <w:p>
      <w:pPr>
        <w:pStyle w:val="2"/>
      </w:pPr>
    </w:p>
    <w:p>
      <w:pPr>
        <w:pStyle w:val="2"/>
      </w:pPr>
    </w:p>
    <w:p>
      <w:pPr>
        <w:pStyle w:val="2"/>
      </w:pPr>
    </w:p>
    <w:p>
      <w:pPr>
        <w:pStyle w:val="2"/>
      </w:pPr>
    </w:p>
    <w:p>
      <w:pPr>
        <w:spacing w:line="540" w:lineRule="exact"/>
        <w:jc w:val="center"/>
        <w:rPr>
          <w:rFonts w:ascii="宋体" w:hAnsi="宋体" w:eastAsia="宋体"/>
          <w:sz w:val="36"/>
          <w:szCs w:val="36"/>
        </w:rPr>
      </w:pPr>
    </w:p>
    <w:p>
      <w:pPr>
        <w:rPr>
          <w:rFonts w:asciiTheme="majorEastAsia" w:hAnsiTheme="majorEastAsia" w:eastAsiaTheme="majorEastAsia"/>
        </w:rPr>
      </w:pPr>
    </w:p>
    <w:p>
      <w:pPr>
        <w:spacing w:line="500" w:lineRule="exact"/>
        <w:jc w:val="center"/>
        <w:rPr>
          <w:rFonts w:asciiTheme="majorEastAsia" w:hAnsiTheme="majorEastAsia" w:eastAsiaTheme="majorEastAsia"/>
          <w:b/>
          <w:sz w:val="52"/>
        </w:rPr>
      </w:pPr>
      <w:r>
        <w:rPr>
          <w:rFonts w:hint="eastAsia" w:asciiTheme="majorEastAsia" w:hAnsiTheme="majorEastAsia" w:eastAsiaTheme="majorEastAsia"/>
          <w:b/>
          <w:sz w:val="52"/>
        </w:rPr>
        <w:t>目录</w:t>
      </w:r>
    </w:p>
    <w:p>
      <w:pPr>
        <w:spacing w:line="500" w:lineRule="exact"/>
        <w:jc w:val="center"/>
        <w:rPr>
          <w:rFonts w:asciiTheme="majorEastAsia" w:hAnsiTheme="majorEastAsia" w:eastAsiaTheme="majorEastAsia"/>
          <w:sz w:val="44"/>
        </w:rPr>
      </w:pP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第一部分询价采购邀请函…………………</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第二部分报价单位须知……………………</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第三部分合同条款…………………………</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第四部分文件格式…………………………</w:t>
      </w:r>
    </w:p>
    <w:p>
      <w:pPr>
        <w:jc w:val="center"/>
        <w:rPr>
          <w:rFonts w:ascii="宋体" w:hAnsi="宋体" w:eastAsia="宋体"/>
          <w:b/>
          <w:sz w:val="28"/>
          <w:szCs w:val="28"/>
        </w:rPr>
      </w:pPr>
    </w:p>
    <w:p>
      <w:pPr>
        <w:spacing w:line="540" w:lineRule="exact"/>
        <w:jc w:val="center"/>
        <w:rPr>
          <w:rFonts w:ascii="宋体" w:hAnsi="宋体" w:eastAsia="宋体"/>
          <w:b/>
          <w:sz w:val="28"/>
          <w:szCs w:val="28"/>
        </w:rPr>
      </w:pPr>
    </w:p>
    <w:p>
      <w:pPr>
        <w:spacing w:line="540" w:lineRule="exact"/>
        <w:jc w:val="center"/>
        <w:rPr>
          <w:rFonts w:ascii="宋体" w:hAnsi="宋体" w:eastAsia="宋体"/>
          <w:b/>
          <w:sz w:val="44"/>
          <w:szCs w:val="44"/>
        </w:rPr>
      </w:pPr>
    </w:p>
    <w:p>
      <w:pPr>
        <w:spacing w:line="540" w:lineRule="exact"/>
        <w:jc w:val="center"/>
        <w:rPr>
          <w:rFonts w:ascii="宋体" w:hAnsi="宋体" w:eastAsia="宋体"/>
          <w:b/>
          <w:sz w:val="44"/>
          <w:szCs w:val="44"/>
        </w:rPr>
      </w:pPr>
      <w:r>
        <w:rPr>
          <w:rFonts w:ascii="宋体" w:hAnsi="宋体" w:eastAsia="宋体"/>
          <w:b/>
          <w:sz w:val="44"/>
          <w:szCs w:val="44"/>
        </w:rPr>
        <w:br w:type="page"/>
      </w:r>
    </w:p>
    <w:p>
      <w:pPr>
        <w:spacing w:line="500" w:lineRule="exact"/>
        <w:ind w:firstLine="2880" w:firstLineChars="900"/>
        <w:rPr>
          <w:rFonts w:asciiTheme="majorEastAsia" w:hAnsiTheme="majorEastAsia" w:eastAsiaTheme="majorEastAsia"/>
          <w:bCs/>
          <w:sz w:val="32"/>
          <w:szCs w:val="32"/>
        </w:rPr>
      </w:pPr>
      <w:r>
        <w:rPr>
          <w:rFonts w:hint="eastAsia" w:asciiTheme="majorEastAsia" w:hAnsiTheme="majorEastAsia" w:eastAsiaTheme="majorEastAsia"/>
          <w:bCs/>
          <w:sz w:val="32"/>
          <w:szCs w:val="32"/>
        </w:rPr>
        <w:t>第一部分询价采购邀请函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各监测单位：</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都江堰光明光电材料有限责任公司就</w:t>
      </w:r>
      <w:r>
        <w:rPr>
          <w:rFonts w:hint="eastAsia" w:asciiTheme="majorEastAsia" w:hAnsiTheme="majorEastAsia" w:eastAsiaTheme="majorEastAsia"/>
          <w:sz w:val="24"/>
          <w:u w:val="single"/>
        </w:rPr>
        <w:t>本公司</w:t>
      </w:r>
      <w:r>
        <w:rPr>
          <w:rFonts w:hint="eastAsia" w:asciiTheme="majorEastAsia" w:hAnsiTheme="majorEastAsia" w:eastAsiaTheme="majorEastAsia"/>
          <w:color w:val="000000" w:themeColor="text1"/>
          <w:sz w:val="24"/>
          <w:u w:val="single"/>
        </w:rPr>
        <w:t>职业病危害因素年度检测</w:t>
      </w:r>
      <w:r>
        <w:rPr>
          <w:rFonts w:hint="eastAsia" w:asciiTheme="majorEastAsia" w:hAnsiTheme="majorEastAsia" w:eastAsiaTheme="majorEastAsia"/>
          <w:sz w:val="24"/>
          <w:u w:val="single"/>
        </w:rPr>
        <w:t>进行询价</w:t>
      </w:r>
      <w:r>
        <w:rPr>
          <w:rFonts w:hint="eastAsia" w:asciiTheme="majorEastAsia" w:hAnsiTheme="majorEastAsia" w:eastAsiaTheme="majorEastAsia"/>
          <w:sz w:val="24"/>
        </w:rPr>
        <w:t>，欢迎具有资质的监测单位前来报价。</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一、项目概要</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1、邀请方：都江堰光明光电材料有限责任公司</w:t>
      </w:r>
    </w:p>
    <w:p>
      <w:pPr>
        <w:pStyle w:val="12"/>
        <w:spacing w:line="460" w:lineRule="exact"/>
        <w:ind w:left="600"/>
        <w:rPr>
          <w:rFonts w:asciiTheme="majorEastAsia" w:hAnsiTheme="majorEastAsia" w:eastAsiaTheme="majorEastAsia"/>
          <w:color w:val="000000" w:themeColor="text1"/>
          <w:sz w:val="24"/>
          <w:u w:val="single"/>
        </w:rPr>
      </w:pPr>
      <w:r>
        <w:rPr>
          <w:rFonts w:hint="eastAsia" w:asciiTheme="majorEastAsia" w:hAnsiTheme="majorEastAsia" w:eastAsiaTheme="majorEastAsia"/>
        </w:rPr>
        <w:t>2、项目名称：</w:t>
      </w:r>
      <w:r>
        <w:rPr>
          <w:rFonts w:hint="eastAsia" w:asciiTheme="majorEastAsia" w:hAnsiTheme="majorEastAsia" w:eastAsiaTheme="majorEastAsia"/>
          <w:color w:val="000000" w:themeColor="text1"/>
          <w:sz w:val="24"/>
          <w:u w:val="single"/>
        </w:rPr>
        <w:t>职业病危害因素年度检测</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3项目地点：都江堰市蒲阳镇经开区光泰路10号</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4、评选方式：最低评标价法</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二、询价说明</w:t>
      </w:r>
    </w:p>
    <w:p>
      <w:pPr>
        <w:ind w:firstLine="420" w:firstLineChars="200"/>
        <w:jc w:val="left"/>
        <w:rPr>
          <w:rFonts w:ascii="宋体" w:hAnsi="宋体" w:eastAsia="宋体"/>
          <w:sz w:val="21"/>
          <w:szCs w:val="21"/>
        </w:rPr>
      </w:pPr>
      <w:r>
        <w:rPr>
          <w:rFonts w:hint="eastAsia" w:ascii="宋体" w:hAnsi="宋体" w:eastAsia="宋体" w:cs="宋体"/>
          <w:kern w:val="0"/>
          <w:sz w:val="21"/>
          <w:szCs w:val="21"/>
        </w:rPr>
        <w:t>监测</w:t>
      </w:r>
      <w:r>
        <w:rPr>
          <w:rFonts w:hint="eastAsia" w:ascii="宋体" w:hAnsi="宋体" w:eastAsia="宋体"/>
          <w:sz w:val="21"/>
          <w:szCs w:val="21"/>
        </w:rPr>
        <w:t>须按照技术要求的检测参数要求进行监测。（详见附件四）</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三、报价单位资格要求</w:t>
      </w:r>
    </w:p>
    <w:p>
      <w:pPr>
        <w:spacing w:line="460" w:lineRule="exact"/>
        <w:ind w:firstLine="540" w:firstLineChars="200"/>
        <w:rPr>
          <w:rFonts w:asciiTheme="majorEastAsia" w:hAnsiTheme="majorEastAsia" w:eastAsiaTheme="majorEastAsia"/>
          <w:spacing w:val="15"/>
          <w:sz w:val="24"/>
        </w:rPr>
      </w:pPr>
      <w:r>
        <w:rPr>
          <w:rFonts w:hint="eastAsia" w:asciiTheme="majorEastAsia" w:hAnsiTheme="majorEastAsia" w:eastAsiaTheme="majorEastAsia"/>
          <w:spacing w:val="15"/>
          <w:sz w:val="24"/>
        </w:rPr>
        <w:t>参加本次采购活动具备下列条件：</w:t>
      </w:r>
    </w:p>
    <w:p>
      <w:pPr>
        <w:pStyle w:val="14"/>
        <w:tabs>
          <w:tab w:val="left" w:pos="2340"/>
        </w:tabs>
        <w:spacing w:line="460" w:lineRule="exact"/>
        <w:ind w:left="141" w:leftChars="47" w:firstLine="470" w:firstLineChars="196"/>
        <w:jc w:val="left"/>
        <w:rPr>
          <w:rFonts w:asciiTheme="majorEastAsia" w:hAnsiTheme="majorEastAsia" w:eastAsiaTheme="majorEastAsia"/>
        </w:rPr>
      </w:pPr>
      <w:r>
        <w:rPr>
          <w:rFonts w:hint="eastAsia" w:asciiTheme="majorEastAsia" w:hAnsiTheme="majorEastAsia" w:eastAsiaTheme="majorEastAsia"/>
        </w:rPr>
        <w:t>（一）</w:t>
      </w:r>
      <w:r>
        <w:rPr>
          <w:rFonts w:hint="eastAsia" w:asciiTheme="majorEastAsia" w:hAnsiTheme="majorEastAsia" w:eastAsiaTheme="majorEastAsia"/>
          <w:bCs/>
          <w:spacing w:val="8"/>
        </w:rPr>
        <w:t>报价单位</w:t>
      </w:r>
      <w:r>
        <w:rPr>
          <w:rFonts w:hint="eastAsia" w:asciiTheme="majorEastAsia" w:hAnsiTheme="majorEastAsia" w:eastAsiaTheme="majorEastAsia"/>
        </w:rPr>
        <w:t>须企业财务资信状况良好，具有独立承担民事责任的法人或其他经济组织；</w:t>
      </w:r>
    </w:p>
    <w:p>
      <w:pPr>
        <w:autoSpaceDE w:val="0"/>
        <w:autoSpaceDN w:val="0"/>
        <w:adjustRightInd w:val="0"/>
        <w:spacing w:line="460" w:lineRule="exact"/>
        <w:ind w:firstLine="512" w:firstLineChars="200"/>
        <w:rPr>
          <w:rFonts w:asciiTheme="majorEastAsia" w:hAnsiTheme="majorEastAsia" w:eastAsiaTheme="majorEastAsia"/>
          <w:sz w:val="24"/>
        </w:rPr>
      </w:pPr>
      <w:r>
        <w:rPr>
          <w:rFonts w:hint="eastAsia" w:asciiTheme="majorEastAsia" w:hAnsiTheme="majorEastAsia" w:eastAsiaTheme="majorEastAsia"/>
          <w:bCs/>
          <w:spacing w:val="8"/>
          <w:sz w:val="24"/>
        </w:rPr>
        <w:t>（二）</w:t>
      </w:r>
      <w:r>
        <w:rPr>
          <w:rFonts w:hint="eastAsia" w:asciiTheme="majorEastAsia" w:hAnsiTheme="majorEastAsia" w:eastAsiaTheme="majorEastAsia"/>
          <w:spacing w:val="15"/>
          <w:sz w:val="24"/>
        </w:rPr>
        <w:t>报价单位</w:t>
      </w:r>
      <w:r>
        <w:rPr>
          <w:rFonts w:hint="eastAsia" w:asciiTheme="majorEastAsia" w:hAnsiTheme="majorEastAsia" w:eastAsiaTheme="majorEastAsia"/>
          <w:sz w:val="24"/>
        </w:rPr>
        <w:t>必须具备本项目对应监测资质,符合本项目要求。</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四、询价采购公告</w:t>
      </w:r>
    </w:p>
    <w:p>
      <w:pPr>
        <w:spacing w:line="460" w:lineRule="exact"/>
        <w:ind w:left="-20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hint="eastAsia" w:cs="宋体" w:asciiTheme="minorEastAsia" w:hAnsiTheme="minorEastAsia" w:eastAsiaTheme="minorEastAsia"/>
          <w:color w:val="000000"/>
          <w:kern w:val="0"/>
          <w:sz w:val="24"/>
          <w:szCs w:val="24"/>
        </w:rPr>
        <w:t>2020 年07月2</w:t>
      </w:r>
      <w:r>
        <w:rPr>
          <w:rFonts w:hint="eastAsia" w:cs="宋体" w:asciiTheme="minorEastAsia" w:hAnsiTheme="minorEastAsia" w:eastAsiaTheme="minorEastAsia"/>
          <w:color w:val="000000"/>
          <w:kern w:val="0"/>
          <w:sz w:val="24"/>
          <w:szCs w:val="24"/>
          <w:lang w:val="en-US" w:eastAsia="zh-CN"/>
        </w:rPr>
        <w:t>9</w:t>
      </w:r>
      <w:r>
        <w:rPr>
          <w:rFonts w:hint="eastAsia" w:cs="宋体" w:asciiTheme="minorEastAsia" w:hAnsiTheme="minorEastAsia" w:eastAsiaTheme="minorEastAsia"/>
          <w:color w:val="000000"/>
          <w:kern w:val="0"/>
          <w:sz w:val="24"/>
          <w:szCs w:val="24"/>
        </w:rPr>
        <w:t>日—  2020年08月05日</w:t>
      </w:r>
      <w:r>
        <w:rPr>
          <w:rFonts w:hint="eastAsia" w:asciiTheme="minorEastAsia" w:hAnsiTheme="minorEastAsia" w:eastAsiaTheme="minorEastAsia"/>
          <w:sz w:val="24"/>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五、报价文件接收信息</w:t>
      </w:r>
    </w:p>
    <w:p>
      <w:pPr>
        <w:spacing w:line="460" w:lineRule="exact"/>
        <w:ind w:left="180" w:firstLine="384" w:firstLineChars="160"/>
        <w:jc w:val="left"/>
        <w:rPr>
          <w:rFonts w:asciiTheme="minorEastAsia" w:hAnsiTheme="minorEastAsia" w:eastAsiaTheme="minorEastAsia"/>
          <w:sz w:val="24"/>
        </w:rPr>
      </w:pPr>
      <w:r>
        <w:rPr>
          <w:rFonts w:hint="eastAsia" w:asciiTheme="minorEastAsia" w:hAnsiTheme="minorEastAsia" w:eastAsiaTheme="minorEastAsia"/>
          <w:sz w:val="24"/>
        </w:rPr>
        <w:t>（一）报价文件接收截止时间： 2020年08月05日15:00。</w:t>
      </w:r>
    </w:p>
    <w:p>
      <w:pPr>
        <w:widowControl/>
        <w:spacing w:line="465" w:lineRule="atLeast"/>
        <w:ind w:left="840" w:leftChars="200" w:hanging="240" w:hangingChars="100"/>
        <w:jc w:val="left"/>
        <w:rPr>
          <w:rFonts w:cs="宋体" w:asciiTheme="minorEastAsia" w:hAnsiTheme="minorEastAsia" w:eastAsiaTheme="minorEastAsia"/>
          <w:color w:val="000000"/>
          <w:kern w:val="0"/>
          <w:sz w:val="24"/>
          <w:szCs w:val="24"/>
        </w:rPr>
      </w:pPr>
      <w:r>
        <w:rPr>
          <w:rFonts w:hint="eastAsia" w:asciiTheme="minorEastAsia" w:hAnsiTheme="minorEastAsia" w:eastAsiaTheme="minorEastAsia"/>
          <w:sz w:val="24"/>
        </w:rPr>
        <w:t>（二）</w:t>
      </w:r>
      <w:r>
        <w:rPr>
          <w:rFonts w:hint="eastAsia" w:asciiTheme="minorEastAsia" w:hAnsiTheme="minorEastAsia" w:eastAsiaTheme="minorEastAsia"/>
          <w:sz w:val="24"/>
          <w:szCs w:val="24"/>
        </w:rPr>
        <w:t>报价文件接收地点：</w:t>
      </w:r>
      <w:r>
        <w:rPr>
          <w:rFonts w:hint="eastAsia" w:asciiTheme="majorEastAsia" w:hAnsiTheme="majorEastAsia" w:eastAsiaTheme="majorEastAsia"/>
          <w:sz w:val="24"/>
          <w:szCs w:val="24"/>
        </w:rPr>
        <w:t>都江堰市蒲阳镇经开区光泰路10号都江堰光明光电材料有限责任公司</w:t>
      </w:r>
    </w:p>
    <w:p>
      <w:pPr>
        <w:pStyle w:val="20"/>
        <w:shd w:val="clear" w:color="auto" w:fill="FFFFFF"/>
        <w:spacing w:before="0" w:beforeAutospacing="0" w:after="0" w:afterAutospacing="0" w:line="372" w:lineRule="atLeast"/>
        <w:ind w:firstLine="480"/>
        <w:rPr>
          <w:rFonts w:ascii="Courier" w:hAnsi="Courier"/>
          <w:color w:val="000000"/>
        </w:rPr>
      </w:pPr>
      <w:r>
        <w:rPr>
          <w:rFonts w:hint="eastAsia" w:asciiTheme="minorEastAsia" w:hAnsiTheme="minorEastAsia" w:eastAsiaTheme="minorEastAsia"/>
          <w:color w:val="000000"/>
        </w:rPr>
        <w:t>（三）报价文件收件人： 邓建国        联系电话：</w:t>
      </w:r>
      <w:r>
        <w:rPr>
          <w:rFonts w:hint="eastAsia"/>
          <w:color w:val="000000"/>
        </w:rPr>
        <w:t>13183886588</w:t>
      </w:r>
    </w:p>
    <w:p>
      <w:pPr>
        <w:widowControl/>
        <w:spacing w:line="465" w:lineRule="atLeast"/>
        <w:ind w:firstLine="600"/>
        <w:jc w:val="left"/>
        <w:rPr>
          <w:rFonts w:hint="eastAsia"/>
          <w:color w:val="000000"/>
          <w:sz w:val="24"/>
          <w:szCs w:val="24"/>
        </w:rPr>
      </w:pPr>
      <w:r>
        <w:rPr>
          <w:rFonts w:hint="eastAsia" w:cs="宋体" w:asciiTheme="minorEastAsia" w:hAnsiTheme="minorEastAsia" w:eastAsiaTheme="minorEastAsia"/>
          <w:color w:val="000000"/>
          <w:kern w:val="0"/>
          <w:sz w:val="24"/>
          <w:szCs w:val="24"/>
        </w:rPr>
        <w:t>（四）业务情况咨询人： 杨贵昌       联系电话：</w:t>
      </w:r>
      <w:r>
        <w:rPr>
          <w:rFonts w:hint="eastAsia"/>
          <w:color w:val="000000"/>
          <w:sz w:val="24"/>
          <w:szCs w:val="24"/>
        </w:rPr>
        <w:t>13668159561</w:t>
      </w:r>
    </w:p>
    <w:p>
      <w:pPr>
        <w:widowControl/>
        <w:spacing w:line="465" w:lineRule="atLeast"/>
        <w:ind w:firstLine="6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（五）采购单位监督人： 罗  春   </w:t>
      </w:r>
      <w:r>
        <w:rPr>
          <w:rFonts w:cs="宋体" w:asciiTheme="minorEastAsia" w:hAnsiTheme="minorEastAsia" w:eastAsiaTheme="minorEastAsia"/>
          <w:color w:val="000000"/>
          <w:kern w:val="0"/>
          <w:sz w:val="24"/>
          <w:szCs w:val="24"/>
        </w:rPr>
        <w:t xml:space="preserve"> </w:t>
      </w:r>
      <w:r>
        <w:rPr>
          <w:rFonts w:hint="eastAsia" w:cs="宋体" w:asciiTheme="minorEastAsia" w:hAnsiTheme="minorEastAsia" w:eastAsiaTheme="minorEastAsia"/>
          <w:color w:val="000000"/>
          <w:kern w:val="0"/>
          <w:sz w:val="24"/>
          <w:szCs w:val="24"/>
        </w:rPr>
        <w:t xml:space="preserve"> 联系电话：</w:t>
      </w:r>
      <w:r>
        <w:rPr>
          <w:rFonts w:hint="eastAsia"/>
          <w:color w:val="000000"/>
          <w:sz w:val="24"/>
          <w:szCs w:val="24"/>
        </w:rPr>
        <w:t>15281067419</w:t>
      </w:r>
    </w:p>
    <w:p>
      <w:pPr>
        <w:widowControl/>
        <w:spacing w:line="465" w:lineRule="atLeast"/>
        <w:ind w:firstLine="600"/>
        <w:jc w:val="left"/>
        <w:rPr>
          <w:rFonts w:ascii="宋体" w:hAnsi="宋体" w:eastAsia="宋体"/>
          <w:b/>
          <w:sz w:val="44"/>
          <w:szCs w:val="44"/>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pStyle w:val="2"/>
      </w:pPr>
    </w:p>
    <w:p>
      <w:pPr>
        <w:pStyle w:val="2"/>
      </w:pPr>
    </w:p>
    <w:p>
      <w:pPr>
        <w:spacing w:line="50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第二部分投标单位须知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21"/>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jc w:val="left"/>
              <w:rPr>
                <w:rFonts w:asciiTheme="minorEastAsia" w:hAnsiTheme="minorEastAsia" w:eastAsiaTheme="minorEastAsia"/>
                <w:sz w:val="24"/>
                <w:szCs w:val="24"/>
              </w:rPr>
            </w:pPr>
          </w:p>
          <w:p>
            <w:pPr>
              <w:snapToGrid w:val="0"/>
              <w:jc w:val="left"/>
              <w:rPr>
                <w:rFonts w:asciiTheme="minorEastAsia" w:hAnsiTheme="minorEastAsia" w:eastAsiaTheme="minorEastAsia"/>
                <w:sz w:val="24"/>
                <w:szCs w:val="24"/>
              </w:rPr>
            </w:pPr>
          </w:p>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p>
        </w:tc>
        <w:tc>
          <w:tcPr>
            <w:tcW w:w="6255" w:type="dxa"/>
            <w:tcBorders>
              <w:top w:val="single" w:color="auto" w:sz="4" w:space="0"/>
              <w:left w:val="single" w:color="auto" w:sz="4" w:space="0"/>
              <w:bottom w:val="single" w:color="auto" w:sz="4" w:space="0"/>
            </w:tcBorders>
            <w:vAlign w:val="center"/>
          </w:tcPr>
          <w:p>
            <w:pPr>
              <w:pStyle w:val="29"/>
              <w:ind w:left="2304" w:hanging="2304" w:hangingChars="960"/>
              <w:rPr>
                <w:rFonts w:asciiTheme="minorEastAsia" w:hAnsiTheme="minorEastAsia" w:eastAsiaTheme="minorEastAsia"/>
                <w:color w:val="auto"/>
              </w:rPr>
            </w:pPr>
            <w:r>
              <w:rPr>
                <w:rFonts w:hint="eastAsia" w:asciiTheme="minorEastAsia" w:hAnsiTheme="minorEastAsia" w:eastAsiaTheme="minorEastAsia"/>
                <w:color w:val="auto"/>
              </w:rPr>
              <w:t>名称：都江堰光明光电材料有限责任公司</w:t>
            </w:r>
          </w:p>
          <w:p>
            <w:pPr>
              <w:spacing w:line="46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地址：都江堰市蒲阳镇经开区光泰路10号</w:t>
            </w:r>
          </w:p>
          <w:p>
            <w:pPr>
              <w:pStyle w:val="29"/>
              <w:rPr>
                <w:rFonts w:asciiTheme="minorEastAsia" w:hAnsiTheme="minorEastAsia" w:eastAsiaTheme="minorEastAsia"/>
                <w:color w:val="auto"/>
              </w:rPr>
            </w:pPr>
            <w:r>
              <w:rPr>
                <w:rFonts w:hint="eastAsia" w:asciiTheme="minorEastAsia" w:hAnsiTheme="minorEastAsia" w:eastAsiaTheme="minorEastAsia"/>
                <w:color w:val="auto"/>
              </w:rPr>
              <w:t>联系人：</w:t>
            </w:r>
            <w:r>
              <w:rPr>
                <w:rFonts w:hint="eastAsia" w:asciiTheme="minorEastAsia" w:hAnsiTheme="minorEastAsia" w:eastAsiaTheme="minorEastAsia"/>
                <w:iCs/>
                <w:color w:val="auto"/>
                <w:u w:val="single"/>
              </w:rPr>
              <w:t>杨贵昌</w:t>
            </w:r>
          </w:p>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13668159561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询价采购项目名称</w:t>
            </w:r>
          </w:p>
        </w:tc>
        <w:tc>
          <w:tcPr>
            <w:tcW w:w="6255" w:type="dxa"/>
            <w:tcBorders>
              <w:top w:val="single" w:color="auto" w:sz="4" w:space="0"/>
              <w:left w:val="single" w:color="auto" w:sz="4" w:space="0"/>
              <w:bottom w:val="single" w:color="auto" w:sz="4" w:space="0"/>
            </w:tcBorders>
            <w:vAlign w:val="center"/>
          </w:tcPr>
          <w:p>
            <w:pPr>
              <w:pStyle w:val="12"/>
              <w:spacing w:line="460" w:lineRule="exact"/>
              <w:ind w:left="0" w:leftChars="0"/>
              <w:jc w:val="left"/>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u w:val="single"/>
              </w:rPr>
              <w:t>职业病危害因素年度检测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检测地点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都江堰市蒲阳镇经开区光泰路10号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监测单位</w:t>
            </w:r>
            <w:r>
              <w:rPr>
                <w:rFonts w:hint="eastAsia" w:cs="仿宋_GB2312" w:asciiTheme="minorEastAsia" w:hAnsiTheme="minorEastAsia" w:eastAsiaTheme="minorEastAsia"/>
                <w:kern w:val="0"/>
                <w:sz w:val="24"/>
                <w:szCs w:val="24"/>
              </w:rPr>
              <w:t>资质条件、能力和信誉</w:t>
            </w:r>
          </w:p>
        </w:tc>
        <w:tc>
          <w:tcPr>
            <w:tcW w:w="6255" w:type="dxa"/>
            <w:tcBorders>
              <w:top w:val="single" w:color="auto" w:sz="4" w:space="0"/>
              <w:left w:val="single" w:color="auto" w:sz="4" w:space="0"/>
              <w:bottom w:val="single" w:color="auto" w:sz="4" w:space="0"/>
            </w:tcBorders>
          </w:tcPr>
          <w:p>
            <w:pPr>
              <w:pStyle w:val="29"/>
              <w:rPr>
                <w:rFonts w:asciiTheme="minorEastAsia" w:hAnsiTheme="minorEastAsia" w:eastAsiaTheme="minorEastAsia"/>
                <w:color w:val="auto"/>
              </w:rPr>
            </w:pPr>
            <w:r>
              <w:rPr>
                <w:rFonts w:hint="eastAsia" w:asciiTheme="minorEastAsia" w:hAnsiTheme="minorEastAsia" w:eastAsiaTheme="minorEastAsia"/>
                <w:color w:val="auto"/>
              </w:rPr>
              <w:t>资质条件：</w:t>
            </w:r>
            <w:r>
              <w:rPr>
                <w:rFonts w:hint="eastAsia" w:asciiTheme="minorEastAsia" w:hAnsiTheme="minorEastAsia" w:eastAsiaTheme="minorEastAsia"/>
                <w:color w:val="auto"/>
                <w:spacing w:val="15"/>
              </w:rPr>
              <w:t>报价单位</w:t>
            </w:r>
            <w:r>
              <w:rPr>
                <w:rFonts w:hint="eastAsia" w:asciiTheme="minorEastAsia" w:hAnsiTheme="minorEastAsia" w:eastAsiaTheme="minorEastAsia"/>
                <w:color w:val="auto"/>
              </w:rPr>
              <w:t>必须具备本项目对应监测资质。</w:t>
            </w:r>
          </w:p>
          <w:p>
            <w:pPr>
              <w:pStyle w:val="29"/>
              <w:rPr>
                <w:rFonts w:asciiTheme="minorEastAsia" w:hAnsiTheme="minorEastAsia" w:eastAsiaTheme="minorEastAsia"/>
                <w:color w:val="auto"/>
              </w:rPr>
            </w:pPr>
            <w:r>
              <w:rPr>
                <w:rFonts w:hint="eastAsia" w:asciiTheme="minorEastAsia" w:hAnsiTheme="minorEastAsia" w:eastAsiaTheme="minorEastAsia"/>
                <w:color w:val="auto"/>
              </w:rPr>
              <w:t xml:space="preserve">财务要求：报价单位须企业财务资信状况良好，具有独立承担民事责任的法人或其他经济组织；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监测单位</w:t>
            </w:r>
            <w:r>
              <w:rPr>
                <w:rFonts w:hint="eastAsia" w:cs="仿宋_GB2312" w:asciiTheme="minorEastAsia" w:hAnsiTheme="minorEastAsia" w:eastAsiaTheme="minorEastAsia"/>
                <w:kern w:val="0"/>
                <w:sz w:val="24"/>
                <w:szCs w:val="24"/>
              </w:rPr>
              <w:t>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7</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jc w:val="left"/>
              <w:textAlignment w:val="bottom"/>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响应文件由</w:t>
            </w:r>
            <w:r>
              <w:rPr>
                <w:rFonts w:hint="eastAsia" w:asciiTheme="minorEastAsia" w:hAnsiTheme="minorEastAsia" w:eastAsiaTheme="minorEastAsia"/>
                <w:sz w:val="24"/>
                <w:szCs w:val="24"/>
              </w:rPr>
              <w:t>监测</w:t>
            </w:r>
            <w:r>
              <w:rPr>
                <w:rFonts w:hint="eastAsia" w:cs="仿宋_GB2312" w:asciiTheme="minorEastAsia" w:hAnsiTheme="minorEastAsia" w:eastAsiaTheme="minorEastAsia"/>
                <w:kern w:val="0"/>
                <w:sz w:val="24"/>
                <w:szCs w:val="24"/>
              </w:rPr>
              <w:t>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jc w:val="left"/>
              <w:textAlignment w:val="bottom"/>
              <w:rPr>
                <w:rFonts w:asciiTheme="minorEastAsia" w:hAnsiTheme="minorEastAsia" w:eastAsiaTheme="minorEastAsia"/>
                <w:sz w:val="24"/>
                <w:szCs w:val="24"/>
              </w:rPr>
            </w:pPr>
            <w:r>
              <w:rPr>
                <w:rFonts w:hint="eastAsia" w:cs="仿宋_GB2312" w:asciiTheme="minorEastAsia" w:hAnsiTheme="minorEastAsia" w:eastAsiaTheme="minorEastAsia"/>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29"/>
              <w:rPr>
                <w:rFonts w:cs="仿宋_GB2312" w:asciiTheme="minorEastAsia" w:hAnsiTheme="minorEastAsia" w:eastAsiaTheme="minorEastAsia"/>
                <w:color w:val="auto"/>
              </w:rPr>
            </w:pPr>
            <w:r>
              <w:rPr>
                <w:rFonts w:hint="eastAsia" w:cs="仿宋_GB2312" w:asciiTheme="minorEastAsia" w:hAnsiTheme="minorEastAsia" w:eastAsiaTheme="minorEastAsia"/>
                <w:color w:val="auto"/>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封套上写明</w:t>
            </w:r>
          </w:p>
        </w:tc>
        <w:tc>
          <w:tcPr>
            <w:tcW w:w="6255" w:type="dxa"/>
            <w:tcBorders>
              <w:top w:val="single" w:color="auto" w:sz="4" w:space="0"/>
              <w:left w:val="single" w:color="auto" w:sz="4" w:space="0"/>
              <w:bottom w:val="single" w:color="auto" w:sz="4" w:space="0"/>
            </w:tcBorders>
            <w:vAlign w:val="center"/>
          </w:tcPr>
          <w:p>
            <w:pPr>
              <w:pStyle w:val="29"/>
              <w:ind w:left="720" w:hanging="720" w:hangingChars="300"/>
              <w:rPr>
                <w:rFonts w:hint="eastAsia" w:asciiTheme="minorEastAsia" w:hAnsiTheme="minorEastAsia" w:eastAsiaTheme="minorEastAsia"/>
              </w:rPr>
            </w:pPr>
            <w:r>
              <w:rPr>
                <w:rFonts w:hint="eastAsia" w:cs="仿宋_GB2312" w:asciiTheme="minorEastAsia" w:hAnsiTheme="minorEastAsia" w:eastAsiaTheme="minorEastAsia"/>
                <w:color w:val="auto"/>
              </w:rPr>
              <w:t>采购人的地址：</w:t>
            </w:r>
            <w:r>
              <w:rPr>
                <w:rFonts w:hint="eastAsia" w:asciiTheme="minorEastAsia" w:hAnsiTheme="minorEastAsia" w:eastAsiaTheme="minorEastAsia"/>
              </w:rPr>
              <w:t>都江堰市蒲阳镇经开区光泰路10号</w:t>
            </w:r>
          </w:p>
          <w:p>
            <w:pPr>
              <w:pStyle w:val="29"/>
              <w:ind w:left="720" w:hanging="720" w:hangingChars="300"/>
              <w:rPr>
                <w:rFonts w:cs="仿宋_GB2312" w:asciiTheme="minorEastAsia" w:hAnsiTheme="minorEastAsia" w:eastAsiaTheme="minorEastAsia"/>
                <w:color w:val="auto"/>
              </w:rPr>
            </w:pPr>
            <w:r>
              <w:rPr>
                <w:rFonts w:hint="eastAsia" w:cs="仿宋_GB2312" w:asciiTheme="minorEastAsia" w:hAnsiTheme="minorEastAsia" w:eastAsiaTheme="minorEastAsia"/>
                <w:color w:val="auto"/>
              </w:rPr>
              <w:t>采购人名称：</w:t>
            </w:r>
            <w:r>
              <w:rPr>
                <w:rFonts w:hint="eastAsia" w:asciiTheme="minorEastAsia" w:hAnsiTheme="minorEastAsia" w:eastAsiaTheme="minorEastAsia"/>
                <w:color w:val="auto"/>
              </w:rPr>
              <w:t>都江堰光明光电材料有限责任公司</w:t>
            </w:r>
          </w:p>
          <w:p>
            <w:pPr>
              <w:pStyle w:val="29"/>
              <w:ind w:left="720" w:hanging="720" w:hangingChars="300"/>
              <w:rPr>
                <w:rFonts w:cs="仿宋_GB2312" w:asciiTheme="minorEastAsia" w:hAnsiTheme="minorEastAsia" w:eastAsiaTheme="minorEastAsia"/>
                <w:color w:val="auto"/>
              </w:rPr>
            </w:pPr>
            <w:r>
              <w:rPr>
                <w:rFonts w:hint="eastAsia" w:asciiTheme="minorEastAsia" w:hAnsiTheme="minorEastAsia" w:eastAsiaTheme="minorEastAsia"/>
                <w:color w:val="auto"/>
              </w:rPr>
              <w:t>都江堰光明光电材料有限责任公司</w:t>
            </w:r>
            <w:r>
              <w:rPr>
                <w:rFonts w:hint="eastAsia" w:asciiTheme="minorEastAsia" w:hAnsiTheme="minorEastAsia" w:eastAsiaTheme="minorEastAsia"/>
                <w:color w:val="000000" w:themeColor="text1"/>
                <w:u w:val="single"/>
              </w:rPr>
              <w:t>职业病危害因素年度检测</w:t>
            </w:r>
          </w:p>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报价文件在开标前不得开启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left"/>
              <w:textAlignment w:val="bottom"/>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left"/>
              <w:textAlignment w:val="bottom"/>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有效期</w:t>
            </w:r>
            <w:r>
              <w:rPr>
                <w:rFonts w:hint="eastAsia" w:cs="仿宋_GB2312" w:asciiTheme="minorEastAsia" w:hAnsiTheme="minorEastAsia" w:eastAsiaTheme="minorEastAsia"/>
                <w:kern w:val="0"/>
                <w:sz w:val="24"/>
                <w:szCs w:val="24"/>
                <w:u w:val="single"/>
              </w:rPr>
              <w:t>7</w:t>
            </w:r>
            <w:r>
              <w:rPr>
                <w:rFonts w:hint="eastAsia" w:cs="仿宋_GB2312" w:asciiTheme="minorEastAsia" w:hAnsiTheme="minorEastAsia" w:eastAsiaTheme="minorEastAsia"/>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都江堰市蒲阳镇经开区光泰路10号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29"/>
              <w:rPr>
                <w:rFonts w:cs="仿宋_GB2312" w:asciiTheme="minorEastAsia" w:hAnsiTheme="minorEastAsia" w:eastAsiaTheme="minorEastAsia"/>
                <w:color w:val="auto"/>
              </w:rPr>
            </w:pPr>
            <w:r>
              <w:rPr>
                <w:rFonts w:hint="eastAsia" w:cs="仿宋_GB2312" w:asciiTheme="minorEastAsia" w:hAnsiTheme="minorEastAsia" w:eastAsiaTheme="minorEastAsia"/>
                <w:color w:val="auto"/>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最低评标价法</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三、中标人必须对报价文件负全责；在中标后5个工作日内与采购人签订合同，并在规定时间内完成。</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四、监测单位须在接到邀请方通知后15日内提交符合要求的所有监测报告。</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五、各监测单位填列的单价和总价以人民币元为单位，报价为总打包报价（包括报告费、大气监测等所有费用）。只能有一个报价，不接受有选择的报价。</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（四）经过年检的营业执照复印件，加盖公章；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（五）资质证书（</w:t>
      </w:r>
      <w:r>
        <w:rPr>
          <w:rFonts w:hint="eastAsia" w:asciiTheme="majorEastAsia" w:hAnsiTheme="majorEastAsia" w:eastAsiaTheme="majorEastAsia"/>
          <w:sz w:val="24"/>
          <w:szCs w:val="24"/>
        </w:rPr>
        <w:t>具备本项目对应监测资质</w:t>
      </w:r>
      <w:r>
        <w:rPr>
          <w:rFonts w:hint="eastAsia" w:asciiTheme="majorEastAsia" w:hAnsiTheme="majorEastAsia" w:eastAsiaTheme="majorEastAsia"/>
          <w:sz w:val="24"/>
        </w:rPr>
        <w:t>），加盖公章。</w:t>
      </w:r>
    </w:p>
    <w:p>
      <w:pPr>
        <w:pStyle w:val="2"/>
        <w:ind w:firstLine="480" w:firstLineChars="200"/>
      </w:pPr>
      <w:r>
        <w:rPr>
          <w:rFonts w:hint="eastAsia" w:asciiTheme="majorEastAsia" w:hAnsiTheme="majorEastAsia" w:eastAsiaTheme="majorEastAsia"/>
          <w:sz w:val="24"/>
        </w:rPr>
        <w:t>（六）相关服务承诺（书面材料，格式自定）；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08</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05</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15</w:t>
      </w:r>
      <w:r>
        <w:rPr>
          <w:rFonts w:hint="eastAsia" w:asciiTheme="majorEastAsia" w:hAnsiTheme="majorEastAsia" w:eastAsiaTheme="majorEastAsia"/>
          <w:sz w:val="24"/>
        </w:rPr>
        <w:t>:00时，截止时间后，将拒绝接收新的报价文件。</w:t>
      </w:r>
    </w:p>
    <w:p>
      <w:pPr>
        <w:spacing w:line="460" w:lineRule="exact"/>
        <w:ind w:firstLine="480" w:firstLineChars="200"/>
        <w:rPr>
          <w:rFonts w:hint="eastAsia" w:asciiTheme="minorEastAsia" w:hAnsiTheme="minorEastAsia" w:eastAsiaTheme="minorEastAsia"/>
          <w:sz w:val="24"/>
          <w:szCs w:val="24"/>
        </w:rPr>
      </w:pPr>
      <w:r>
        <w:rPr>
          <w:rFonts w:hint="eastAsia" w:asciiTheme="majorEastAsia" w:hAnsiTheme="majorEastAsia" w:eastAsiaTheme="majorEastAsia"/>
          <w:sz w:val="24"/>
        </w:rPr>
        <w:t>（二）投送地点：</w:t>
      </w:r>
      <w:r>
        <w:rPr>
          <w:rFonts w:hint="eastAsia" w:asciiTheme="minorEastAsia" w:hAnsiTheme="minorEastAsia" w:eastAsiaTheme="minorEastAsia"/>
          <w:sz w:val="24"/>
          <w:szCs w:val="24"/>
        </w:rPr>
        <w:t>都江堰市蒲阳镇经开区光泰路10号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（三）报价文件中的各项内容填列不完整和有涂改现象的，监测单位公章和监测单位代表签字不齐的；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管理人员、采购人和财务人员组成。询价小组根据询价文件规定的方法和标准独立评审，负责完成评审的全过程直至评定成交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（二）审查是否所有监测单位的报价均超过采购预算：出现所有监测单位的报价均超过采购预算、采购人没有支付能力的情况时采购无效，询价小组有权决定拒绝所有报价文件。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．对于经审查确定为资格合格的监测单位，询价小组将审查其报价文件是否对询价文件的所有事项、格式、条款等要求都做出了实质性响应。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作出必要的澄清、说明或者补正。监测单位的澄清、说明或者补正应当采用书面形式，由其法定代表人或授权代理人签字，并不得超出报价文件的范围或者改变报价文件的实质性内容。监测单位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十一．出现下列情形之一的，询价小组有权否决所有监测单位的报价或取消采购活动：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．参与报价的监测单位不足三家的；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．报价单位的报价均超过了采购预算，采购单位不能支付的；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rPr>
          <w:rFonts w:asciiTheme="majorEastAsia" w:hAnsiTheme="majorEastAsia" w:eastAsiaTheme="majorEastAsia"/>
          <w:sz w:val="24"/>
        </w:rPr>
      </w:pPr>
      <w:r>
        <w:rPr>
          <w:rFonts w:hint="eastAsia" w:asciiTheme="majorEastAsia" w:hAnsiTheme="majorEastAsia" w:eastAsiaTheme="majorEastAsia"/>
        </w:rPr>
        <w:t>十二</w:t>
      </w:r>
      <w:r>
        <w:rPr>
          <w:rFonts w:asciiTheme="majorEastAsia" w:hAnsiTheme="majorEastAsia" w:eastAsiaTheme="majorEastAsia"/>
        </w:rPr>
        <w:t>.</w:t>
      </w:r>
      <w:bookmarkStart w:id="0" w:name="_Toc217446103"/>
      <w:r>
        <w:rPr>
          <w:rFonts w:hint="eastAsia" w:asciiTheme="majorEastAsia" w:hAnsiTheme="majorEastAsia" w:eastAsiaTheme="majorEastAsia"/>
        </w:rPr>
        <w:t>评审细则及标准</w:t>
      </w:r>
      <w:bookmarkEnd w:id="0"/>
    </w:p>
    <w:p>
      <w:pPr>
        <w:spacing w:line="400" w:lineRule="exact"/>
        <w:ind w:left="399" w:leftChars="133"/>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．本项目按最低评标价法进行评审。</w:t>
      </w: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spacing w:line="500" w:lineRule="exact"/>
        <w:rPr>
          <w:rFonts w:asciiTheme="majorEastAsia" w:hAnsiTheme="majorEastAsia" w:eastAsiaTheme="majorEastAsia"/>
          <w:b/>
          <w:bCs/>
          <w:sz w:val="32"/>
          <w:szCs w:val="32"/>
        </w:rPr>
      </w:pPr>
      <w:r>
        <w:rPr>
          <w:rFonts w:ascii="宋体" w:hAnsi="宋体" w:eastAsia="宋体"/>
          <w:b/>
          <w:sz w:val="28"/>
          <w:szCs w:val="28"/>
        </w:rPr>
        <w:br w:type="page"/>
      </w:r>
      <w:r>
        <w:rPr>
          <w:rFonts w:hint="eastAsia" w:asciiTheme="majorEastAsia" w:hAnsiTheme="majorEastAsia" w:eastAsiaTheme="majorEastAsia"/>
          <w:b/>
          <w:bCs/>
          <w:sz w:val="32"/>
          <w:szCs w:val="32"/>
        </w:rPr>
        <w:t>第四部分         合同条款</w:t>
      </w: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ascii="黑体" w:hAnsi="黑体" w:eastAsia="黑体"/>
          <w:b/>
          <w:bCs/>
          <w:sz w:val="48"/>
          <w:szCs w:val="48"/>
        </w:rPr>
      </w:pPr>
      <w:r>
        <w:rPr>
          <w:rFonts w:hint="eastAsia" w:ascii="黑体" w:hAnsi="黑体" w:eastAsia="黑体"/>
          <w:b/>
          <w:bCs/>
          <w:sz w:val="48"/>
          <w:szCs w:val="48"/>
        </w:rPr>
        <w:t>合  同  书</w:t>
      </w:r>
    </w:p>
    <w:p>
      <w:pPr>
        <w:spacing w:line="360" w:lineRule="auto"/>
        <w:jc w:val="center"/>
        <w:rPr>
          <w:rFonts w:eastAsia="华文新魏"/>
          <w:b/>
          <w:bCs/>
          <w:sz w:val="48"/>
          <w:szCs w:val="48"/>
        </w:rPr>
      </w:pPr>
    </w:p>
    <w:p>
      <w:pPr>
        <w:spacing w:line="360" w:lineRule="auto"/>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ind w:left="4200" w:leftChars="1200" w:hanging="600" w:hangingChars="200"/>
        <w:jc w:val="both"/>
        <w:rPr>
          <w:rFonts w:ascii="黑体" w:eastAsia="黑体"/>
          <w:bCs/>
          <w:u w:val="single"/>
        </w:rPr>
      </w:pPr>
      <w:r>
        <w:rPr>
          <w:rFonts w:hint="eastAsia" w:ascii="黑体" w:eastAsia="黑体"/>
          <w:bCs/>
        </w:rPr>
        <w:t>项目名称：</w:t>
      </w:r>
    </w:p>
    <w:p>
      <w:pPr>
        <w:spacing w:line="360" w:lineRule="auto"/>
        <w:ind w:firstLine="3600" w:firstLineChars="1200"/>
        <w:jc w:val="both"/>
        <w:rPr>
          <w:rFonts w:ascii="黑体" w:eastAsia="黑体"/>
          <w:bCs/>
        </w:rPr>
      </w:pPr>
      <w:r>
        <w:rPr>
          <w:rFonts w:hint="eastAsia" w:ascii="黑体" w:eastAsia="黑体"/>
          <w:bCs/>
        </w:rPr>
        <w:t>甲 方：</w:t>
      </w:r>
    </w:p>
    <w:p>
      <w:pPr>
        <w:spacing w:line="360" w:lineRule="auto"/>
        <w:ind w:firstLine="3600" w:firstLineChars="1200"/>
        <w:jc w:val="both"/>
        <w:rPr>
          <w:rFonts w:ascii="黑体" w:eastAsia="黑体"/>
          <w:bCs/>
        </w:rPr>
      </w:pPr>
      <w:r>
        <w:rPr>
          <w:rFonts w:hint="eastAsia" w:ascii="黑体" w:eastAsia="黑体"/>
          <w:bCs/>
        </w:rPr>
        <w:t>乙 方：</w:t>
      </w:r>
    </w:p>
    <w:p>
      <w:pPr>
        <w:jc w:val="center"/>
        <w:rPr>
          <w:rFonts w:ascii="宋体" w:hAnsi="宋体"/>
          <w:b/>
        </w:rPr>
      </w:pPr>
    </w:p>
    <w:p>
      <w:pPr>
        <w:jc w:val="center"/>
        <w:rPr>
          <w:rFonts w:ascii="宋体" w:hAnsi="宋体"/>
          <w:b/>
          <w:sz w:val="32"/>
        </w:rPr>
      </w:pPr>
    </w:p>
    <w:p>
      <w:pPr>
        <w:jc w:val="center"/>
        <w:rPr>
          <w:rFonts w:ascii="宋体" w:hAnsi="宋体"/>
          <w:b/>
          <w:sz w:val="32"/>
        </w:rPr>
      </w:pPr>
    </w:p>
    <w:p>
      <w:pPr>
        <w:jc w:val="center"/>
        <w:rPr>
          <w:rFonts w:asciiTheme="minorEastAsia" w:hAnsiTheme="minorEastAsia" w:eastAsiaTheme="minorEastAsia"/>
          <w:b/>
          <w:sz w:val="32"/>
        </w:rPr>
      </w:pPr>
      <w:r>
        <w:rPr>
          <w:rFonts w:hint="eastAsia" w:asciiTheme="minorEastAsia" w:hAnsiTheme="minorEastAsia" w:eastAsiaTheme="minorEastAsia"/>
          <w:b/>
          <w:sz w:val="32"/>
        </w:rPr>
        <w:t>签约地点：都江堰市</w:t>
      </w:r>
    </w:p>
    <w:p>
      <w:pPr>
        <w:jc w:val="center"/>
        <w:rPr>
          <w:rFonts w:asciiTheme="minorEastAsia" w:hAnsiTheme="minorEastAsia" w:eastAsiaTheme="minorEastAsia"/>
          <w:b/>
          <w:sz w:val="32"/>
        </w:rPr>
      </w:pPr>
      <w:r>
        <w:rPr>
          <w:rFonts w:asciiTheme="minorEastAsia" w:hAnsiTheme="minorEastAsia" w:eastAsiaTheme="minorEastAsia"/>
          <w:b/>
          <w:sz w:val="32"/>
          <w:u w:val="single"/>
        </w:rPr>
        <w:t xml:space="preserve"> 20</w:t>
      </w:r>
      <w:r>
        <w:rPr>
          <w:rFonts w:hint="eastAsia" w:asciiTheme="minorEastAsia" w:hAnsiTheme="minorEastAsia" w:eastAsiaTheme="minorEastAsia"/>
          <w:b/>
          <w:sz w:val="32"/>
          <w:u w:val="single"/>
        </w:rPr>
        <w:t>20</w:t>
      </w:r>
      <w:r>
        <w:rPr>
          <w:rFonts w:hint="eastAsia" w:asciiTheme="minorEastAsia" w:hAnsiTheme="minorEastAsia" w:eastAsiaTheme="minorEastAsia"/>
          <w:b/>
          <w:sz w:val="32"/>
        </w:rPr>
        <w:t>年  月  日</w:t>
      </w:r>
    </w:p>
    <w:p>
      <w:pPr>
        <w:adjustRightInd w:val="0"/>
        <w:snapToGrid w:val="0"/>
        <w:spacing w:line="360" w:lineRule="auto"/>
        <w:jc w:val="center"/>
        <w:rPr>
          <w:rFonts w:ascii="宋体" w:hAnsi="宋体"/>
          <w:b/>
          <w:sz w:val="24"/>
        </w:rPr>
      </w:pPr>
    </w:p>
    <w:p>
      <w:pPr>
        <w:adjustRightInd w:val="0"/>
        <w:snapToGrid w:val="0"/>
        <w:spacing w:line="360" w:lineRule="auto"/>
        <w:ind w:firstLine="480" w:firstLineChars="200"/>
        <w:rPr>
          <w:rFonts w:hint="eastAsia" w:asciiTheme="minorEastAsia" w:hAnsiTheme="minorEastAsia" w:eastAsiaTheme="minorEastAsia"/>
          <w:sz w:val="24"/>
          <w:szCs w:val="24"/>
        </w:rPr>
      </w:pPr>
    </w:p>
    <w:p>
      <w:pPr>
        <w:adjustRightInd w:val="0"/>
        <w:snapToGrid w:val="0"/>
        <w:spacing w:line="360" w:lineRule="auto"/>
        <w:ind w:firstLine="480" w:firstLineChars="200"/>
        <w:rPr>
          <w:rFonts w:hint="eastAsia" w:asciiTheme="minorEastAsia" w:hAnsiTheme="minorEastAsia" w:eastAsiaTheme="minorEastAsia"/>
          <w:sz w:val="24"/>
          <w:szCs w:val="24"/>
        </w:rPr>
      </w:pPr>
    </w:p>
    <w:p>
      <w:pPr>
        <w:adjustRightInd w:val="0"/>
        <w:snapToGrid w:val="0"/>
        <w:spacing w:line="360" w:lineRule="auto"/>
        <w:ind w:firstLine="480" w:firstLineChars="200"/>
        <w:rPr>
          <w:rFonts w:asciiTheme="minorEastAsia" w:hAnsiTheme="minorEastAsia" w:eastAsiaTheme="minorEastAsia"/>
          <w:b/>
          <w:sz w:val="24"/>
          <w:szCs w:val="24"/>
        </w:rPr>
      </w:pPr>
      <w:bookmarkStart w:id="13" w:name="_GoBack"/>
      <w:bookmarkEnd w:id="13"/>
      <w:r>
        <w:rPr>
          <w:rFonts w:hint="eastAsia" w:asciiTheme="minorEastAsia" w:hAnsiTheme="minorEastAsia" w:eastAsiaTheme="minorEastAsia"/>
          <w:sz w:val="24"/>
          <w:szCs w:val="24"/>
        </w:rPr>
        <w:t>为了更好的给甲方提供优质的服务，便于双方合作的顺利进行，根据《中华人民共和国合同法》及有关法律法规，本着平等互利的原则，通过友好协商，双方签订如下协议。</w:t>
      </w:r>
    </w:p>
    <w:p>
      <w:pPr>
        <w:numPr>
          <w:ilvl w:val="0"/>
          <w:numId w:val="1"/>
        </w:num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乙方为甲方提供</w:t>
      </w:r>
      <w:bookmarkStart w:id="1" w:name="OLE_LINK2"/>
      <w:r>
        <w:rPr>
          <w:rFonts w:hint="eastAsia" w:asciiTheme="minorEastAsia" w:hAnsiTheme="minorEastAsia" w:eastAsiaTheme="minorEastAsia"/>
          <w:b/>
          <w:sz w:val="24"/>
          <w:szCs w:val="24"/>
        </w:rPr>
        <w:t>环境监测服务</w:t>
      </w:r>
      <w:bookmarkEnd w:id="1"/>
      <w:r>
        <w:rPr>
          <w:rFonts w:hint="eastAsia" w:asciiTheme="minorEastAsia" w:hAnsiTheme="minorEastAsia" w:eastAsiaTheme="minorEastAsia"/>
          <w:b/>
          <w:sz w:val="24"/>
          <w:szCs w:val="24"/>
        </w:rPr>
        <w:t>，并出具该项目要求的所有监测报告。</w:t>
      </w:r>
    </w:p>
    <w:p>
      <w:pPr>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1、合作方式：</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（√）乙方根据甲方要求和有关规定，协商确认监测项目和采样计划，由乙方进行现场采样和监测，并出具符合该项目国家资质要求的监测报告。</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）甲方自行送样委托乙方进行监测，并出具监测报告。</w:t>
      </w:r>
    </w:p>
    <w:p>
      <w:pPr>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2、监测项目：(附件四要求)</w:t>
      </w:r>
    </w:p>
    <w:p>
      <w:pPr>
        <w:pStyle w:val="2"/>
        <w:ind w:firstLine="840" w:firstLineChars="350"/>
        <w:rPr>
          <w:rFonts w:asciiTheme="minorEastAsia" w:hAnsiTheme="minorEastAsia" w:eastAsiaTheme="minorEastAsia"/>
          <w:sz w:val="24"/>
          <w:szCs w:val="24"/>
        </w:rPr>
      </w:pPr>
      <w:r>
        <w:rPr>
          <w:rFonts w:hint="eastAsia" w:asciiTheme="minorEastAsia" w:hAnsiTheme="minorEastAsia" w:eastAsiaTheme="minorEastAsia"/>
          <w:sz w:val="24"/>
          <w:szCs w:val="24"/>
        </w:rPr>
        <w:t>按照附件四要求检测。</w:t>
      </w:r>
    </w:p>
    <w:p>
      <w:pPr>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3、费用及付款方式：</w:t>
      </w:r>
    </w:p>
    <w:p>
      <w:pPr>
        <w:tabs>
          <w:tab w:val="left" w:pos="1260"/>
        </w:tabs>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本项目监测费用总计（大写）</w:t>
      </w:r>
      <w:r>
        <w:rPr>
          <w:rFonts w:hint="eastAsia" w:asciiTheme="minorEastAsia" w:hAnsiTheme="minorEastAsia" w:eastAsiaTheme="minorEastAsia"/>
          <w:sz w:val="24"/>
          <w:szCs w:val="24"/>
          <w:u w:val="single"/>
        </w:rPr>
        <w:t xml:space="preserve">                元整</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u w:val="single"/>
        </w:rPr>
        <w:t>¥      元</w:t>
      </w:r>
      <w:r>
        <w:rPr>
          <w:rFonts w:hint="eastAsia" w:asciiTheme="minorEastAsia" w:hAnsiTheme="minorEastAsia" w:eastAsiaTheme="minorEastAsia"/>
          <w:sz w:val="24"/>
          <w:szCs w:val="24"/>
        </w:rPr>
        <w:t>）。</w:t>
      </w:r>
    </w:p>
    <w:p>
      <w:pPr>
        <w:tabs>
          <w:tab w:val="left" w:pos="1260"/>
        </w:tabs>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付款方式为：按照年付款方式，每年的检测报告出来后乙方开具税率为</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%的增值税专用发票后一次性付清全款。；</w:t>
      </w:r>
    </w:p>
    <w:p>
      <w:pPr>
        <w:numPr>
          <w:ilvl w:val="0"/>
          <w:numId w:val="1"/>
        </w:numPr>
        <w:adjustRightInd w:val="0"/>
        <w:snapToGrid w:val="0"/>
        <w:spacing w:line="360" w:lineRule="auto"/>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甲方责任：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1、按照乙方要求，提供一切监测所必需的技术资料和工作条件，并保证提供资料的真实、完整、合法、有效性，以便乙方高效地提完成监测工作。</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在乙方实施采样前，甲方应明确告知乙方采样人员监测场所的安全生产规章制度，并采取一切必要的措施，确保乙方监测、采样等服务过程中安全生产的工作条件，并安排一名熟悉情况的人员配合乙方进行现场采样。</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3、按本合同约定及时向乙方支付监测费用。</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4、如对监测结果有异议，应于《监测报告》送达甲方之日起十五日内，向乙方书面提出，同时附上《监测报告》原件。逾期未提出异议，则视为同意《监测报告》。</w:t>
      </w:r>
    </w:p>
    <w:p>
      <w:pPr>
        <w:numPr>
          <w:ilvl w:val="0"/>
          <w:numId w:val="1"/>
        </w:num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乙方责任：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1、按照合同约定进行采样并提供监测服务，为甲方出具监测报告。</w:t>
      </w:r>
    </w:p>
    <w:p>
      <w:pPr>
        <w:adjustRightInd w:val="0"/>
        <w:snapToGrid w:val="0"/>
        <w:spacing w:line="360" w:lineRule="auto"/>
        <w:ind w:firstLine="480" w:firstLineChars="200"/>
        <w:rPr>
          <w:rFonts w:asciiTheme="minorEastAsia" w:hAnsiTheme="minorEastAsia" w:eastAsiaTheme="minorEastAsia"/>
          <w:sz w:val="24"/>
          <w:szCs w:val="24"/>
        </w:rPr>
      </w:pPr>
      <w:bookmarkStart w:id="2" w:name="OLE_LINK1"/>
      <w:r>
        <w:rPr>
          <w:rFonts w:asciiTheme="minorEastAsia" w:hAnsiTheme="minorEastAsia" w:eastAsiaTheme="minorEastAsia"/>
          <w:sz w:val="24"/>
          <w:szCs w:val="24"/>
        </w:rPr>
        <w:t>2</w:t>
      </w:r>
      <w:r>
        <w:rPr>
          <w:rFonts w:hint="eastAsia" w:asciiTheme="minorEastAsia" w:hAnsiTheme="minorEastAsia" w:eastAsiaTheme="minorEastAsia"/>
          <w:sz w:val="24"/>
          <w:szCs w:val="24"/>
        </w:rPr>
        <w:t>、采用合适分析仪器及科学准确的方法，以保证提供优质高效的监测服务。</w:t>
      </w:r>
    </w:p>
    <w:bookmarkEnd w:id="2"/>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、保证采用国家或行业标准方法进行监测，使用非标准方法进行监测的项目，应提前向甲方申明并取得甲方同意。</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4、就监测报告的有关内容，接受甲方的咨询。</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、乙方出具的监测报告仅对现场采样的样品负责。在任何情况下，乙方的责任不能超出乙方对样品做出的监测结果的范围。监测结果的使用所产生的直接或间接损失，乙方不承担任何责任。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6、乙方采样人员在现场采样过程中应遵守甲方的规章制度，因乙方不遵守甲方规章制度而导致自身、甲方或其他任何第三方人身或财产损失的，由乙方自行承担。</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、承诺现场采样人员在采样过程中严禁以任何形式索取好处费或其他与客户约定之外的行为，保证廉洁监测。</w:t>
      </w:r>
    </w:p>
    <w:p>
      <w:pPr>
        <w:numPr>
          <w:ilvl w:val="0"/>
          <w:numId w:val="1"/>
        </w:num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其他：</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1、甲方应为乙方所提供的技术情报和资料及非正式出版物等承担保密义务。</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、乙方应为甲方所提供的资料以及环境状况、产品技术、生产工艺等承担保密义务。</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、未经对方书面许可，任何一方不得向第三方泄露本协议内容。</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4、一旦一方泄密，则泄密方须承担相应的经济和法律责任。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5、乙方不得主动向甲方工作人员以任何形式行贿、给予回扣、赠送财务、提供吃请、娱乐等；</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、当甲方工作人员以任何明示、暗示或威胁等形式向乙方索要财物、要求乙方负担吃请、娱乐或其他费用的，乙方应主动向甲方纪检部门反映；</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7、乙方保证，乙方取得本合同机会与甲方相关人员无亲属关系，投资等利害关系；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8、乙方保证，乙方在本合同签订前的竞争谈判等过程中，与其他竞争者无串通行为；</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9、乙方在本合同签订前直至合同履行结束过程中，不与甲方相关人员恶意串通损害甲方利益；</w:t>
      </w:r>
    </w:p>
    <w:p>
      <w:pPr>
        <w:tabs>
          <w:tab w:val="left" w:pos="4079"/>
        </w:tabs>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五、免责条款：</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监测服务的顺利进行，依靠甲乙双方的共同努力和彼此配合。因在乙方控制范围之外的原因造成乙方无法履行协议时，乙方不承担相关责任，情况包括但不限于以下：</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1、发生不可抗力时；</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2、甲方人员不按照本合约条款履行责任时，如资料或样品不能按照乙方要求提供；</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3、由于甲方原因致使乙方未能按协议规定完成监测服务而造成甲方蒙受任何损失或损害时；</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、甲方单方面更改乙方出具的监测报告，或对乙方出具的监测报告进行取舍，由此造成损失或纠纷时；</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、甲方由于其提供的样品、技术文件存在知识产权问题，由此造成损失或纠纷时。</w:t>
      </w:r>
    </w:p>
    <w:p>
      <w:p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六、争议处理</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1、在协议执行过程中，报价单和经双方确认的其它规定、实施记录及有关备忘录均作为本协议的附件，与本协议具有同等效力。</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、在合作的过程中，双方如存在未尽事宜，可对本协议进行修改，修改以《补充协议》的形式订立并执行。</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、在协议的履行过程中发生争议时，双方应协商解决；若协商不能解决，</w:t>
      </w:r>
      <w:r>
        <w:rPr>
          <w:rFonts w:hint="eastAsia" w:cs="宋体" w:asciiTheme="minorEastAsia" w:hAnsiTheme="minorEastAsia" w:eastAsiaTheme="minorEastAsia"/>
          <w:kern w:val="0"/>
          <w:sz w:val="24"/>
          <w:szCs w:val="24"/>
        </w:rPr>
        <w:t>任何一方均可向甲方单位所在地仲裁机构提请仲裁；对仲裁结果不服的，</w:t>
      </w:r>
      <w:r>
        <w:rPr>
          <w:rFonts w:hint="eastAsia" w:asciiTheme="minorEastAsia" w:hAnsiTheme="minorEastAsia" w:eastAsiaTheme="minorEastAsia"/>
          <w:sz w:val="24"/>
          <w:szCs w:val="24"/>
        </w:rPr>
        <w:t>则向被告所在地人民法院起诉。</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4、本协议自双方签字盖章之日起生效。</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、本协议一式贰份，甲乙双方各执壹份，具有同等法律效力。</w:t>
      </w:r>
    </w:p>
    <w:p>
      <w:pPr>
        <w:pStyle w:val="2"/>
      </w:pPr>
    </w:p>
    <w:p>
      <w:pPr>
        <w:rPr>
          <w:rFonts w:ascii="宋体" w:hAnsi="宋体" w:eastAsia="宋体" w:cs="楷体"/>
          <w:bCs/>
          <w:sz w:val="24"/>
        </w:rPr>
      </w:pPr>
      <w:r>
        <w:rPr>
          <w:rFonts w:hint="eastAsia" w:ascii="宋体" w:hAnsi="宋体" w:eastAsia="宋体" w:cs="楷体"/>
          <w:bCs/>
          <w:sz w:val="24"/>
        </w:rPr>
        <w:t>甲方：都江堰光明光电材料有限责任公司                乙方：</w:t>
      </w:r>
    </w:p>
    <w:p>
      <w:pPr>
        <w:rPr>
          <w:rFonts w:ascii="宋体" w:hAnsi="宋体" w:eastAsia="宋体" w:cs="楷体"/>
          <w:bCs/>
          <w:sz w:val="24"/>
        </w:rPr>
      </w:pPr>
    </w:p>
    <w:p>
      <w:pPr>
        <w:rPr>
          <w:rFonts w:ascii="宋体" w:hAnsi="宋体" w:eastAsia="宋体"/>
          <w:sz w:val="24"/>
        </w:rPr>
      </w:pPr>
      <w:r>
        <w:rPr>
          <w:rFonts w:hint="eastAsia" w:ascii="宋体" w:hAnsi="宋体" w:eastAsia="宋体" w:cs="楷体"/>
          <w:bCs/>
          <w:sz w:val="24"/>
        </w:rPr>
        <w:t>地址：</w:t>
      </w:r>
      <w:r>
        <w:rPr>
          <w:rFonts w:hint="eastAsia" w:ascii="宋体" w:hAnsi="宋体" w:eastAsia="宋体"/>
          <w:sz w:val="24"/>
        </w:rPr>
        <w:t>都江堰市蒲阳镇经开区光泰路10号               地址：</w:t>
      </w:r>
    </w:p>
    <w:p>
      <w:pPr>
        <w:rPr>
          <w:rFonts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信用代码： 915101817253529198                     信用代码：</w:t>
      </w:r>
    </w:p>
    <w:p>
      <w:pPr>
        <w:snapToGrid w:val="0"/>
        <w:spacing w:line="400" w:lineRule="exact"/>
        <w:jc w:val="left"/>
        <w:rPr>
          <w:rFonts w:ascii="宋体" w:hAnsi="宋体" w:eastAsia="宋体"/>
          <w:sz w:val="24"/>
        </w:rPr>
      </w:pPr>
    </w:p>
    <w:p>
      <w:pPr>
        <w:snapToGrid w:val="0"/>
        <w:spacing w:line="400" w:lineRule="exact"/>
        <w:jc w:val="left"/>
        <w:rPr>
          <w:rFonts w:ascii="宋体" w:hAnsi="宋体" w:eastAsia="宋体"/>
          <w:sz w:val="24"/>
        </w:rPr>
      </w:pPr>
      <w:r>
        <w:rPr>
          <w:rFonts w:ascii="宋体" w:hAnsi="宋体" w:eastAsia="宋体"/>
          <w:sz w:val="24"/>
        </w:rPr>
        <w:t>法定代表人：</w:t>
      </w:r>
      <w:r>
        <w:rPr>
          <w:rFonts w:hint="eastAsia" w:ascii="宋体" w:hAnsi="宋体" w:eastAsia="宋体"/>
          <w:sz w:val="24"/>
        </w:rPr>
        <w:t xml:space="preserve">                                      </w:t>
      </w:r>
      <w:r>
        <w:rPr>
          <w:rFonts w:ascii="宋体" w:hAnsi="宋体" w:eastAsia="宋体"/>
          <w:sz w:val="24"/>
        </w:rPr>
        <w:t>法定代表人：</w:t>
      </w:r>
    </w:p>
    <w:p>
      <w:pPr>
        <w:rPr>
          <w:rFonts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联系电话：028-871171777</w:t>
      </w:r>
    </w:p>
    <w:p>
      <w:pPr>
        <w:rPr>
          <w:rFonts w:hint="eastAsia"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开户行：农行都江堰支行城区所                      开户行：</w:t>
      </w:r>
    </w:p>
    <w:p>
      <w:pPr>
        <w:rPr>
          <w:rFonts w:hint="eastAsia"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账号：22853401040001321                            账号：</w:t>
      </w:r>
    </w:p>
    <w:p>
      <w:pPr>
        <w:pStyle w:val="2"/>
      </w:pPr>
    </w:p>
    <w:p>
      <w:pPr>
        <w:ind w:left="1260" w:right="120"/>
        <w:jc w:val="right"/>
        <w:rPr>
          <w:rFonts w:ascii="宋体" w:hAnsi="宋体"/>
          <w:sz w:val="24"/>
        </w:rPr>
      </w:pPr>
      <w:r>
        <w:rPr>
          <w:rFonts w:ascii="宋体" w:hAnsi="宋体"/>
          <w:sz w:val="24"/>
        </w:rPr>
        <w:br w:type="page"/>
      </w:r>
    </w:p>
    <w:p>
      <w:pPr>
        <w:spacing w:line="500" w:lineRule="exact"/>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第四部分文件格式</w:t>
      </w:r>
    </w:p>
    <w:p>
      <w:pPr>
        <w:spacing w:line="500" w:lineRule="exact"/>
        <w:rPr>
          <w:rFonts w:asciiTheme="majorEastAsia" w:hAnsiTheme="majorEastAsia" w:eastAsiaTheme="majorEastAsia"/>
          <w:b/>
          <w:bCs/>
          <w:sz w:val="32"/>
          <w:szCs w:val="32"/>
        </w:rPr>
      </w:pPr>
    </w:p>
    <w:p>
      <w:pPr>
        <w:spacing w:line="500" w:lineRule="exact"/>
        <w:jc w:val="left"/>
        <w:rPr>
          <w:rFonts w:asciiTheme="majorEastAsia" w:hAnsiTheme="majorEastAsia" w:eastAsiaTheme="majorEastAsia"/>
          <w:b/>
        </w:rPr>
      </w:pPr>
      <w:r>
        <w:rPr>
          <w:rFonts w:hint="eastAsia" w:asciiTheme="majorEastAsia" w:hAnsiTheme="majorEastAsia" w:eastAsiaTheme="majorEastAsia"/>
          <w:b/>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w:t>
      </w:r>
    </w:p>
    <w:p>
      <w:pPr>
        <w:spacing w:line="5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（单位名称）法定代表人授权我单位</w:t>
      </w:r>
    </w:p>
    <w:p>
      <w:pPr>
        <w:pStyle w:val="12"/>
        <w:spacing w:after="0" w:line="560" w:lineRule="exact"/>
        <w:ind w:left="0" w:leftChars="0" w:firstLine="200"/>
        <w:rPr>
          <w:rFonts w:asciiTheme="majorEastAsia" w:hAnsiTheme="majorEastAsia" w:eastAsiaTheme="majorEastAsia"/>
        </w:rPr>
      </w:pPr>
      <w:r>
        <w:rPr>
          <w:rFonts w:hint="eastAsia" w:asciiTheme="majorEastAsia" w:hAnsiTheme="majorEastAsia" w:eastAsiaTheme="majorEastAsia"/>
        </w:rPr>
        <w:t>（职务或职称）（姓名）为我单位本次授权代理人，全权处理此次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pStyle w:val="2"/>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r>
        <w:rPr>
          <w:rFonts w:hint="eastAsia" w:asciiTheme="majorEastAsia" w:hAnsiTheme="majorEastAsia" w:eastAsiaTheme="majorEastAsia"/>
          <w:b/>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报价一览表</w:t>
      </w:r>
    </w:p>
    <w:tbl>
      <w:tblPr>
        <w:tblStyle w:val="21"/>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项目名称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总价（以年计）</w:t>
            </w:r>
          </w:p>
        </w:tc>
        <w:tc>
          <w:tcPr>
            <w:tcW w:w="7147" w:type="dxa"/>
            <w:vAlign w:val="center"/>
          </w:tcPr>
          <w:p>
            <w:pPr>
              <w:spacing w:line="500" w:lineRule="exact"/>
            </w:pPr>
            <w:r>
              <w:rPr>
                <w:rFonts w:hint="eastAsia"/>
              </w:rPr>
              <w:t>￥：</w:t>
            </w:r>
          </w:p>
          <w:p>
            <w:pPr>
              <w:spacing w:line="500" w:lineRule="exact"/>
            </w:pPr>
            <w:r>
              <w:rPr>
                <w:rFonts w:hint="eastAsia"/>
              </w:rPr>
              <w:t>人民币（大写）：</w:t>
            </w:r>
          </w:p>
          <w:p>
            <w:pPr>
              <w:spacing w:line="500" w:lineRule="exact"/>
            </w:pPr>
            <w:r>
              <w:rPr>
                <w:rFonts w:hint="eastAsia"/>
              </w:rPr>
              <w:t>佰拾万仟佰拾圆角分</w:t>
            </w:r>
          </w:p>
          <w:p>
            <w:pPr>
              <w:pStyle w:val="2"/>
              <w:rPr>
                <w:rFonts w:eastAsiaTheme="majorEastAsia"/>
              </w:rPr>
            </w:pPr>
            <w:r>
              <w:rPr>
                <w:rFonts w:hint="eastAsia" w:asciiTheme="majorEastAsia" w:hAnsiTheme="majorEastAsia" w:eastAsiaTheme="majorEastAsia"/>
                <w:bCs/>
                <w:sz w:val="24"/>
              </w:rPr>
              <w:t>增值税专用 发票税率：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接到甲方通知后的报告提交时间</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rPr>
                <w:rFonts w:ascii="宋体" w:hAnsi="宋体"/>
                <w:kern w:val="0"/>
                <w:sz w:val="28"/>
                <w:szCs w:val="28"/>
              </w:rPr>
            </w:pPr>
            <w:r>
              <w:rPr>
                <w:rFonts w:hint="eastAsia" w:ascii="宋体" w:hAnsi="宋体"/>
                <w:kern w:val="0"/>
                <w:sz w:val="28"/>
                <w:szCs w:val="28"/>
              </w:rPr>
              <w:t>我方在此声明：本承诺函中所提交的声明和资料在各方面都是完整、真实和准确的，若有弄虚作假的，愿承担法律和经济责任。</w:t>
            </w:r>
          </w:p>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报价单位公章：报价单位代表签字：</w:t>
      </w: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r>
        <w:rPr>
          <w:rFonts w:hint="eastAsia" w:asciiTheme="majorEastAsia" w:hAnsiTheme="majorEastAsia" w:eastAsiaTheme="majorEastAsia"/>
          <w:b/>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21"/>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3836" w:type="dxa"/>
            <w:gridSpan w:val="2"/>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名称</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合计</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3836" w:type="dxa"/>
            <w:gridSpan w:val="2"/>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3836" w:type="dxa"/>
            <w:gridSpan w:val="2"/>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3836" w:type="dxa"/>
            <w:gridSpan w:val="2"/>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其他费用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拾万仟佰拾圆</w:t>
            </w:r>
            <w:r>
              <w:rPr>
                <w:rFonts w:hint="eastAsia" w:asciiTheme="majorEastAsia" w:hAnsiTheme="majorEastAsia" w:eastAsiaTheme="majorEastAsia"/>
                <w:b/>
                <w:bCs/>
                <w:sz w:val="28"/>
                <w:szCs w:val="28"/>
              </w:rPr>
              <w:t>角分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注：报价单位应根据检测要求清单分项进行填报，表中表格行数可自行添加。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rPr>
        <w:t>表中报价总计应与对应报价一览表中总价一致。</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报价单位公章：报价单位代表签字：</w:t>
      </w:r>
      <w:bookmarkStart w:id="3" w:name="_Toc89791634"/>
      <w:bookmarkStart w:id="4" w:name="_Toc89791736"/>
      <w:bookmarkStart w:id="5" w:name="_Toc172809947"/>
      <w:bookmarkStart w:id="6" w:name="_Toc182560070"/>
      <w:bookmarkStart w:id="7" w:name="_Toc172811881"/>
      <w:bookmarkStart w:id="8" w:name="_Toc116869942"/>
      <w:bookmarkStart w:id="9" w:name="_Toc116895449"/>
      <w:bookmarkStart w:id="10" w:name="_Toc90180911"/>
      <w:bookmarkStart w:id="11" w:name="_Toc172809818"/>
      <w:bookmarkStart w:id="12" w:name="_Toc105315045"/>
    </w:p>
    <w:bookmarkEnd w:id="3"/>
    <w:bookmarkEnd w:id="4"/>
    <w:bookmarkEnd w:id="5"/>
    <w:bookmarkEnd w:id="6"/>
    <w:bookmarkEnd w:id="7"/>
    <w:bookmarkEnd w:id="8"/>
    <w:bookmarkEnd w:id="9"/>
    <w:bookmarkEnd w:id="10"/>
    <w:bookmarkEnd w:id="11"/>
    <w:bookmarkEnd w:id="12"/>
    <w:p>
      <w:pPr>
        <w:tabs>
          <w:tab w:val="left" w:pos="180"/>
        </w:tabs>
        <w:rPr>
          <w:rFonts w:asciiTheme="majorEastAsia" w:hAnsiTheme="majorEastAsia" w:eastAsiaTheme="majorEastAsia"/>
          <w:sz w:val="32"/>
        </w:rPr>
      </w:pPr>
    </w:p>
    <w:p>
      <w:pPr>
        <w:tabs>
          <w:tab w:val="left" w:pos="540"/>
        </w:tabs>
        <w:ind w:firstLine="963" w:firstLineChars="344"/>
        <w:rPr>
          <w:rFonts w:ascii="宋体" w:hAnsi="宋体" w:eastAsia="宋体"/>
          <w:sz w:val="28"/>
          <w:szCs w:val="28"/>
        </w:rPr>
      </w:pPr>
    </w:p>
    <w:p>
      <w:pPr>
        <w:spacing w:line="440" w:lineRule="exact"/>
        <w:rPr>
          <w:rFonts w:eastAsiaTheme="minorEastAsia"/>
          <w:b/>
          <w:sz w:val="32"/>
          <w:szCs w:val="32"/>
        </w:rPr>
      </w:pPr>
    </w:p>
    <w:p>
      <w:pPr>
        <w:spacing w:line="440" w:lineRule="exact"/>
        <w:rPr>
          <w:rFonts w:eastAsiaTheme="minorEastAsia"/>
          <w:b/>
          <w:sz w:val="32"/>
          <w:szCs w:val="32"/>
        </w:rPr>
      </w:pPr>
      <w:r>
        <w:rPr>
          <w:rFonts w:hint="eastAsia" w:eastAsiaTheme="minorEastAsia"/>
          <w:b/>
          <w:sz w:val="32"/>
          <w:szCs w:val="32"/>
        </w:rPr>
        <w:t>附件四：</w:t>
      </w:r>
    </w:p>
    <w:p>
      <w:pPr>
        <w:spacing w:line="360" w:lineRule="auto"/>
        <w:ind w:firstLine="570"/>
        <w:jc w:val="center"/>
        <w:rPr>
          <w:rFonts w:asciiTheme="majorEastAsia" w:hAnsiTheme="majorEastAsia" w:eastAsiaTheme="majorEastAsia"/>
          <w:b/>
          <w:bCs/>
          <w:color w:val="000000" w:themeColor="text1"/>
          <w:sz w:val="36"/>
          <w:szCs w:val="36"/>
          <w:u w:val="single"/>
        </w:rPr>
      </w:pPr>
      <w:r>
        <w:rPr>
          <w:rFonts w:hint="eastAsia" w:asciiTheme="majorEastAsia" w:hAnsiTheme="majorEastAsia" w:eastAsiaTheme="majorEastAsia"/>
          <w:b/>
          <w:bCs/>
          <w:color w:val="000000" w:themeColor="text1"/>
          <w:sz w:val="36"/>
          <w:szCs w:val="36"/>
          <w:u w:val="single"/>
        </w:rPr>
        <w:t>职业病危害因素年度检测</w:t>
      </w:r>
    </w:p>
    <w:p>
      <w:pPr>
        <w:spacing w:line="360" w:lineRule="auto"/>
        <w:ind w:firstLine="570"/>
        <w:rPr>
          <w:rFonts w:eastAsiaTheme="minorEastAsia"/>
          <w:b/>
          <w:sz w:val="24"/>
        </w:rPr>
      </w:pPr>
      <w:r>
        <w:rPr>
          <w:rFonts w:eastAsiaTheme="minorEastAsia"/>
          <w:b/>
          <w:sz w:val="24"/>
        </w:rPr>
        <w:t>地理位置：</w:t>
      </w:r>
      <w:r>
        <w:rPr>
          <w:rFonts w:hint="eastAsia" w:eastAsiaTheme="minorEastAsia"/>
          <w:b/>
          <w:sz w:val="24"/>
        </w:rPr>
        <w:t>都江堰市蒲阳镇经开区光泰路10号</w:t>
      </w:r>
    </w:p>
    <w:p>
      <w:pPr>
        <w:spacing w:line="360" w:lineRule="auto"/>
        <w:outlineLvl w:val="0"/>
        <w:rPr>
          <w:rFonts w:eastAsiaTheme="minorEastAsia"/>
          <w:b/>
          <w:sz w:val="28"/>
          <w:szCs w:val="28"/>
        </w:rPr>
      </w:pPr>
      <w:r>
        <w:rPr>
          <w:rFonts w:hint="eastAsia" w:eastAsiaTheme="minorEastAsia"/>
          <w:b/>
          <w:sz w:val="28"/>
          <w:szCs w:val="28"/>
        </w:rPr>
        <w:t>检测相关要求如下：</w:t>
      </w:r>
    </w:p>
    <w:p>
      <w:pPr>
        <w:rPr>
          <w:rFonts w:asciiTheme="minorEastAsia" w:hAnsiTheme="minorEastAsia" w:eastAsiaTheme="minorEastAsia"/>
          <w:b/>
          <w:sz w:val="24"/>
          <w:szCs w:val="24"/>
        </w:rPr>
      </w:pPr>
      <w:r>
        <w:rPr>
          <w:rFonts w:hint="eastAsia" w:asciiTheme="minorEastAsia" w:hAnsiTheme="minorEastAsia" w:eastAsiaTheme="minorEastAsia"/>
          <w:b/>
          <w:sz w:val="24"/>
          <w:szCs w:val="24"/>
        </w:rPr>
        <w:t>一、检测内容要求：</w:t>
      </w:r>
    </w:p>
    <w:p>
      <w:pPr>
        <w:pStyle w:val="12"/>
        <w:numPr>
          <w:ilvl w:val="0"/>
          <w:numId w:val="2"/>
        </w:numPr>
        <w:spacing w:line="460" w:lineRule="exact"/>
        <w:ind w:leftChars="0"/>
        <w:rPr>
          <w:rFonts w:asciiTheme="minorEastAsia" w:hAnsiTheme="minorEastAsia" w:eastAsiaTheme="minorEastAsia"/>
          <w:b/>
          <w:sz w:val="24"/>
        </w:rPr>
      </w:pPr>
      <w:r>
        <w:rPr>
          <w:rFonts w:hint="eastAsia" w:asciiTheme="minorEastAsia" w:hAnsiTheme="minorEastAsia" w:eastAsiaTheme="minorEastAsia"/>
          <w:b/>
          <w:sz w:val="24"/>
        </w:rPr>
        <w:t>评价标准</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GBZ/T189.8-2007  《工作场所物理因素测量   第8部分：噪声》；</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GBZ/T192.1-2007  《工作场所空气中粉尘测量 第1部分：总粉尘浓度》；</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GBZ/T192.4-2007  《工作场所空气中粉尘测量 第4部分：游离二氧化硅含量》；</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GBZ/T189.7-2007  《工作场所物理因素测量   第7部分：高温》；</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GBZ159-2004      《工作场所空气中有害物质监测的采样规范》；</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GBZ2.1-2007      《工作场所有害因素职业接触限值 第1部分：化学有害因素》；</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GBZ/T18204.1-2013《公共场所卫生检验方法   第1部分：物理因素》；</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GBZ2.2-2007      《工作场所有害因素职业接触限值 第2部分：物理害因素》。</w:t>
      </w:r>
    </w:p>
    <w:sectPr>
      <w:headerReference r:id="rId3" w:type="default"/>
      <w:footerReference r:id="rId4" w:type="default"/>
      <w:footerReference r:id="rId5" w:type="even"/>
      <w:pgSz w:w="11907" w:h="16840"/>
      <w:pgMar w:top="816" w:right="1106" w:bottom="1021" w:left="902" w:header="851" w:footer="1134"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ourier">
    <w:altName w:val="Courier New"/>
    <w:panose1 w:val="02070409020205020404"/>
    <w:charset w:val="00"/>
    <w:family w:val="modern"/>
    <w:pitch w:val="default"/>
    <w:sig w:usb0="00000000" w:usb1="00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15</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7</w:t>
    </w:r>
    <w: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5152E"/>
    <w:multiLevelType w:val="multilevel"/>
    <w:tmpl w:val="1385152E"/>
    <w:lvl w:ilvl="0" w:tentative="0">
      <w:start w:val="1"/>
      <w:numFmt w:val="japaneseCounting"/>
      <w:lvlText w:val="%1、"/>
      <w:lvlJc w:val="left"/>
      <w:pPr>
        <w:ind w:left="510" w:hanging="510"/>
      </w:pPr>
      <w:rPr>
        <w:rFonts w:hint="default"/>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4E706B"/>
    <w:multiLevelType w:val="multilevel"/>
    <w:tmpl w:val="244E706B"/>
    <w:lvl w:ilvl="0" w:tentative="0">
      <w:start w:val="1"/>
      <w:numFmt w:val="decimal"/>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69111CA"/>
    <w:multiLevelType w:val="multilevel"/>
    <w:tmpl w:val="369111CA"/>
    <w:lvl w:ilvl="0" w:tentative="0">
      <w:start w:val="1"/>
      <w:numFmt w:val="decimal"/>
      <w:lvlText w:val="(%1)"/>
      <w:lvlJc w:val="left"/>
      <w:pPr>
        <w:ind w:left="782" w:hanging="36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343"/>
    <w:rsid w:val="000150F2"/>
    <w:rsid w:val="000154E7"/>
    <w:rsid w:val="00016FA2"/>
    <w:rsid w:val="00021AC2"/>
    <w:rsid w:val="0002439F"/>
    <w:rsid w:val="0002778B"/>
    <w:rsid w:val="00030E51"/>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2EEA"/>
    <w:rsid w:val="00134421"/>
    <w:rsid w:val="00135CB5"/>
    <w:rsid w:val="0014080A"/>
    <w:rsid w:val="001417E3"/>
    <w:rsid w:val="00143D87"/>
    <w:rsid w:val="00146C04"/>
    <w:rsid w:val="00146EB8"/>
    <w:rsid w:val="00152349"/>
    <w:rsid w:val="001526B4"/>
    <w:rsid w:val="00165E71"/>
    <w:rsid w:val="00166EF5"/>
    <w:rsid w:val="00167C52"/>
    <w:rsid w:val="00170809"/>
    <w:rsid w:val="00171362"/>
    <w:rsid w:val="00172A27"/>
    <w:rsid w:val="00181AA3"/>
    <w:rsid w:val="0019502A"/>
    <w:rsid w:val="00196CB6"/>
    <w:rsid w:val="001B0DA7"/>
    <w:rsid w:val="001B6A69"/>
    <w:rsid w:val="001B6C06"/>
    <w:rsid w:val="001C3260"/>
    <w:rsid w:val="001C49A0"/>
    <w:rsid w:val="001C7D73"/>
    <w:rsid w:val="001F1B51"/>
    <w:rsid w:val="001F2B33"/>
    <w:rsid w:val="001F5794"/>
    <w:rsid w:val="001F6792"/>
    <w:rsid w:val="00202AA6"/>
    <w:rsid w:val="00203FFE"/>
    <w:rsid w:val="00216AE0"/>
    <w:rsid w:val="0023771E"/>
    <w:rsid w:val="00246837"/>
    <w:rsid w:val="00247C3A"/>
    <w:rsid w:val="0025675A"/>
    <w:rsid w:val="00256B0D"/>
    <w:rsid w:val="00256DDC"/>
    <w:rsid w:val="00262D6D"/>
    <w:rsid w:val="00266F9F"/>
    <w:rsid w:val="002727C9"/>
    <w:rsid w:val="00273C1E"/>
    <w:rsid w:val="00274FDF"/>
    <w:rsid w:val="00276310"/>
    <w:rsid w:val="0027730A"/>
    <w:rsid w:val="00277B6D"/>
    <w:rsid w:val="002861EB"/>
    <w:rsid w:val="002A02CE"/>
    <w:rsid w:val="002A047B"/>
    <w:rsid w:val="002B0C0F"/>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37DD"/>
    <w:rsid w:val="00326AFA"/>
    <w:rsid w:val="003343CB"/>
    <w:rsid w:val="00340B37"/>
    <w:rsid w:val="00343929"/>
    <w:rsid w:val="00346A04"/>
    <w:rsid w:val="0035316E"/>
    <w:rsid w:val="00366E8C"/>
    <w:rsid w:val="00367A02"/>
    <w:rsid w:val="003735AA"/>
    <w:rsid w:val="00393408"/>
    <w:rsid w:val="003A1F75"/>
    <w:rsid w:val="003A4860"/>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60B8E"/>
    <w:rsid w:val="00477E44"/>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413E0"/>
    <w:rsid w:val="00544B59"/>
    <w:rsid w:val="00551069"/>
    <w:rsid w:val="005616A0"/>
    <w:rsid w:val="005622FA"/>
    <w:rsid w:val="00563C32"/>
    <w:rsid w:val="00576038"/>
    <w:rsid w:val="00577D23"/>
    <w:rsid w:val="005847C1"/>
    <w:rsid w:val="005874BF"/>
    <w:rsid w:val="005917D6"/>
    <w:rsid w:val="00595D11"/>
    <w:rsid w:val="005A15E1"/>
    <w:rsid w:val="005A7A22"/>
    <w:rsid w:val="005B3374"/>
    <w:rsid w:val="005B5AC6"/>
    <w:rsid w:val="005C0615"/>
    <w:rsid w:val="005C480B"/>
    <w:rsid w:val="005C697B"/>
    <w:rsid w:val="005E5E5E"/>
    <w:rsid w:val="005E6FF1"/>
    <w:rsid w:val="005F07C4"/>
    <w:rsid w:val="005F26C1"/>
    <w:rsid w:val="005F3606"/>
    <w:rsid w:val="006005B5"/>
    <w:rsid w:val="0060614A"/>
    <w:rsid w:val="00607A8B"/>
    <w:rsid w:val="00610F54"/>
    <w:rsid w:val="006125CF"/>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A1194"/>
    <w:rsid w:val="006C1527"/>
    <w:rsid w:val="006C2C6A"/>
    <w:rsid w:val="006C34E7"/>
    <w:rsid w:val="006C7011"/>
    <w:rsid w:val="006C7F8F"/>
    <w:rsid w:val="006D0B83"/>
    <w:rsid w:val="006D25DC"/>
    <w:rsid w:val="006D4B03"/>
    <w:rsid w:val="006E7A62"/>
    <w:rsid w:val="006F359D"/>
    <w:rsid w:val="006F6D00"/>
    <w:rsid w:val="00700E51"/>
    <w:rsid w:val="00702F6E"/>
    <w:rsid w:val="00705EFE"/>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647B"/>
    <w:rsid w:val="007B4C75"/>
    <w:rsid w:val="007C0005"/>
    <w:rsid w:val="007C0773"/>
    <w:rsid w:val="007C0B5C"/>
    <w:rsid w:val="007C249A"/>
    <w:rsid w:val="007D0FFA"/>
    <w:rsid w:val="007D26AA"/>
    <w:rsid w:val="007D344B"/>
    <w:rsid w:val="007D3570"/>
    <w:rsid w:val="007E5ED2"/>
    <w:rsid w:val="007E6290"/>
    <w:rsid w:val="007E770C"/>
    <w:rsid w:val="007F1CE0"/>
    <w:rsid w:val="007F3524"/>
    <w:rsid w:val="00800E32"/>
    <w:rsid w:val="00805746"/>
    <w:rsid w:val="0081026F"/>
    <w:rsid w:val="00810A50"/>
    <w:rsid w:val="00823BAB"/>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6BFB"/>
    <w:rsid w:val="0092518D"/>
    <w:rsid w:val="009317F5"/>
    <w:rsid w:val="00941C9F"/>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4FA6"/>
    <w:rsid w:val="009D20BB"/>
    <w:rsid w:val="009E419E"/>
    <w:rsid w:val="009E5B43"/>
    <w:rsid w:val="009F5CFA"/>
    <w:rsid w:val="009F76B8"/>
    <w:rsid w:val="00A01276"/>
    <w:rsid w:val="00A02102"/>
    <w:rsid w:val="00A06EBF"/>
    <w:rsid w:val="00A107F2"/>
    <w:rsid w:val="00A1144D"/>
    <w:rsid w:val="00A12338"/>
    <w:rsid w:val="00A12DE6"/>
    <w:rsid w:val="00A15A90"/>
    <w:rsid w:val="00A20CF1"/>
    <w:rsid w:val="00A25631"/>
    <w:rsid w:val="00A26C48"/>
    <w:rsid w:val="00A26CCE"/>
    <w:rsid w:val="00A27B7B"/>
    <w:rsid w:val="00A32D93"/>
    <w:rsid w:val="00A35D68"/>
    <w:rsid w:val="00A402E7"/>
    <w:rsid w:val="00A41A65"/>
    <w:rsid w:val="00A42E4D"/>
    <w:rsid w:val="00A43E43"/>
    <w:rsid w:val="00A63046"/>
    <w:rsid w:val="00A74E31"/>
    <w:rsid w:val="00A93DBF"/>
    <w:rsid w:val="00A94FAF"/>
    <w:rsid w:val="00AA162D"/>
    <w:rsid w:val="00AA1893"/>
    <w:rsid w:val="00AA398B"/>
    <w:rsid w:val="00AA442C"/>
    <w:rsid w:val="00AB43A2"/>
    <w:rsid w:val="00AB50EA"/>
    <w:rsid w:val="00AC6780"/>
    <w:rsid w:val="00AD1387"/>
    <w:rsid w:val="00AD5D03"/>
    <w:rsid w:val="00AE3AC9"/>
    <w:rsid w:val="00AE6960"/>
    <w:rsid w:val="00AF49B1"/>
    <w:rsid w:val="00AF5801"/>
    <w:rsid w:val="00AF651C"/>
    <w:rsid w:val="00B0095C"/>
    <w:rsid w:val="00B048F0"/>
    <w:rsid w:val="00B0753D"/>
    <w:rsid w:val="00B15A48"/>
    <w:rsid w:val="00B301E1"/>
    <w:rsid w:val="00B3668D"/>
    <w:rsid w:val="00B57A0C"/>
    <w:rsid w:val="00B653F5"/>
    <w:rsid w:val="00B66D0A"/>
    <w:rsid w:val="00B70DC7"/>
    <w:rsid w:val="00B71E06"/>
    <w:rsid w:val="00B80077"/>
    <w:rsid w:val="00B913BE"/>
    <w:rsid w:val="00B933AA"/>
    <w:rsid w:val="00B93C55"/>
    <w:rsid w:val="00B966AA"/>
    <w:rsid w:val="00BA1785"/>
    <w:rsid w:val="00BA26EF"/>
    <w:rsid w:val="00BA3292"/>
    <w:rsid w:val="00BA71AE"/>
    <w:rsid w:val="00BB15DB"/>
    <w:rsid w:val="00BB29AA"/>
    <w:rsid w:val="00BC5473"/>
    <w:rsid w:val="00BD4993"/>
    <w:rsid w:val="00BE2AE6"/>
    <w:rsid w:val="00BE30E1"/>
    <w:rsid w:val="00BE34F3"/>
    <w:rsid w:val="00BE3F5D"/>
    <w:rsid w:val="00BE4832"/>
    <w:rsid w:val="00BE76C3"/>
    <w:rsid w:val="00BF0060"/>
    <w:rsid w:val="00BF0CED"/>
    <w:rsid w:val="00BF1FC7"/>
    <w:rsid w:val="00BF341E"/>
    <w:rsid w:val="00BF75D8"/>
    <w:rsid w:val="00C0459E"/>
    <w:rsid w:val="00C059F4"/>
    <w:rsid w:val="00C10002"/>
    <w:rsid w:val="00C11E4C"/>
    <w:rsid w:val="00C13093"/>
    <w:rsid w:val="00C156C3"/>
    <w:rsid w:val="00C278D5"/>
    <w:rsid w:val="00C34B58"/>
    <w:rsid w:val="00C34D5D"/>
    <w:rsid w:val="00C3609C"/>
    <w:rsid w:val="00C372FA"/>
    <w:rsid w:val="00C50903"/>
    <w:rsid w:val="00C530B2"/>
    <w:rsid w:val="00C621E2"/>
    <w:rsid w:val="00C67CA9"/>
    <w:rsid w:val="00C70D12"/>
    <w:rsid w:val="00C77F62"/>
    <w:rsid w:val="00C815DE"/>
    <w:rsid w:val="00C81A5F"/>
    <w:rsid w:val="00C86691"/>
    <w:rsid w:val="00CA1783"/>
    <w:rsid w:val="00CA62F8"/>
    <w:rsid w:val="00CA694C"/>
    <w:rsid w:val="00CB1B14"/>
    <w:rsid w:val="00CB5C59"/>
    <w:rsid w:val="00CB7411"/>
    <w:rsid w:val="00CB74D8"/>
    <w:rsid w:val="00CC68BD"/>
    <w:rsid w:val="00CD10F7"/>
    <w:rsid w:val="00CE1034"/>
    <w:rsid w:val="00CF2950"/>
    <w:rsid w:val="00CF52AC"/>
    <w:rsid w:val="00CF7EBC"/>
    <w:rsid w:val="00D026C3"/>
    <w:rsid w:val="00D07CBB"/>
    <w:rsid w:val="00D21636"/>
    <w:rsid w:val="00D244FE"/>
    <w:rsid w:val="00D25951"/>
    <w:rsid w:val="00D35F76"/>
    <w:rsid w:val="00D560BF"/>
    <w:rsid w:val="00D57758"/>
    <w:rsid w:val="00D63E86"/>
    <w:rsid w:val="00D6483F"/>
    <w:rsid w:val="00D71427"/>
    <w:rsid w:val="00D71BD6"/>
    <w:rsid w:val="00D73992"/>
    <w:rsid w:val="00D743DF"/>
    <w:rsid w:val="00D81105"/>
    <w:rsid w:val="00D8111F"/>
    <w:rsid w:val="00D83A04"/>
    <w:rsid w:val="00D9081A"/>
    <w:rsid w:val="00D934C4"/>
    <w:rsid w:val="00D969BB"/>
    <w:rsid w:val="00D96D62"/>
    <w:rsid w:val="00D979DD"/>
    <w:rsid w:val="00DA132C"/>
    <w:rsid w:val="00DA1A2C"/>
    <w:rsid w:val="00DB2D40"/>
    <w:rsid w:val="00DB4668"/>
    <w:rsid w:val="00DC0989"/>
    <w:rsid w:val="00DC1ED5"/>
    <w:rsid w:val="00DE1576"/>
    <w:rsid w:val="00DF23EB"/>
    <w:rsid w:val="00E0065B"/>
    <w:rsid w:val="00E041EA"/>
    <w:rsid w:val="00E13F40"/>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730D"/>
    <w:rsid w:val="00EB0E1B"/>
    <w:rsid w:val="00EB3B4A"/>
    <w:rsid w:val="00EB6685"/>
    <w:rsid w:val="00ED3DDC"/>
    <w:rsid w:val="00F01415"/>
    <w:rsid w:val="00F120A4"/>
    <w:rsid w:val="00F13409"/>
    <w:rsid w:val="00F15508"/>
    <w:rsid w:val="00F26101"/>
    <w:rsid w:val="00F32672"/>
    <w:rsid w:val="00F3479A"/>
    <w:rsid w:val="00F36915"/>
    <w:rsid w:val="00F37475"/>
    <w:rsid w:val="00F43491"/>
    <w:rsid w:val="00F44DC1"/>
    <w:rsid w:val="00F640E8"/>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217A2BCC"/>
    <w:rsid w:val="2C731A9B"/>
    <w:rsid w:val="2E9E0C71"/>
    <w:rsid w:val="40A979E9"/>
    <w:rsid w:val="421500F1"/>
    <w:rsid w:val="46C43DD8"/>
    <w:rsid w:val="4A4A44F3"/>
    <w:rsid w:val="4B3F408C"/>
    <w:rsid w:val="4EAC1736"/>
    <w:rsid w:val="6DFD0C91"/>
    <w:rsid w:val="70AF76B5"/>
    <w:rsid w:val="72564D3B"/>
    <w:rsid w:val="73A0425D"/>
    <w:rsid w:val="760B4401"/>
    <w:rsid w:val="7AC430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6"/>
    <w:qFormat/>
    <w:uiPriority w:val="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 w:val="21"/>
      <w:szCs w:val="21"/>
    </w:rPr>
  </w:style>
  <w:style w:type="character" w:default="1" w:styleId="23">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3"/>
    <w:qFormat/>
    <w:uiPriority w:val="0"/>
    <w:pPr>
      <w:adjustRightInd w:val="0"/>
      <w:spacing w:after="120"/>
      <w:jc w:val="left"/>
      <w:textAlignment w:val="baseline"/>
    </w:pPr>
    <w:rPr>
      <w:rFonts w:eastAsia="宋体"/>
      <w:kern w:val="0"/>
      <w:sz w:val="21"/>
      <w:szCs w:val="20"/>
    </w:rPr>
  </w:style>
  <w:style w:type="paragraph" w:styleId="6">
    <w:name w:val="Normal Indent"/>
    <w:basedOn w:val="1"/>
    <w:qFormat/>
    <w:uiPriority w:val="0"/>
    <w:pPr>
      <w:widowControl/>
      <w:ind w:firstLine="420"/>
      <w:jc w:val="left"/>
    </w:pPr>
    <w:rPr>
      <w:rFonts w:eastAsia="宋体"/>
      <w:kern w:val="0"/>
      <w:sz w:val="20"/>
      <w:szCs w:val="20"/>
    </w:rPr>
  </w:style>
  <w:style w:type="paragraph" w:styleId="11">
    <w:name w:val="annotation text"/>
    <w:basedOn w:val="1"/>
    <w:link w:val="38"/>
    <w:qFormat/>
    <w:uiPriority w:val="99"/>
    <w:pPr>
      <w:jc w:val="left"/>
    </w:pPr>
    <w:rPr>
      <w:rFonts w:eastAsia="宋体"/>
      <w:kern w:val="0"/>
      <w:sz w:val="24"/>
      <w:szCs w:val="24"/>
    </w:rPr>
  </w:style>
  <w:style w:type="paragraph" w:styleId="12">
    <w:name w:val="Body Text Indent"/>
    <w:basedOn w:val="1"/>
    <w:link w:val="27"/>
    <w:qFormat/>
    <w:uiPriority w:val="0"/>
    <w:pPr>
      <w:spacing w:after="120"/>
      <w:ind w:left="420" w:leftChars="200"/>
    </w:pPr>
    <w:rPr>
      <w:rFonts w:eastAsia="宋体"/>
      <w:sz w:val="21"/>
      <w:szCs w:val="24"/>
    </w:rPr>
  </w:style>
  <w:style w:type="paragraph" w:styleId="13">
    <w:name w:val="Plain Text"/>
    <w:basedOn w:val="1"/>
    <w:link w:val="39"/>
    <w:qFormat/>
    <w:uiPriority w:val="0"/>
    <w:rPr>
      <w:rFonts w:ascii="宋体" w:hAnsi="Courier New" w:eastAsia="宋体"/>
      <w:kern w:val="0"/>
      <w:sz w:val="21"/>
      <w:szCs w:val="21"/>
    </w:rPr>
  </w:style>
  <w:style w:type="paragraph" w:styleId="14">
    <w:name w:val="Date"/>
    <w:basedOn w:val="1"/>
    <w:next w:val="1"/>
    <w:link w:val="37"/>
    <w:qFormat/>
    <w:uiPriority w:val="99"/>
    <w:pPr>
      <w:ind w:left="100" w:leftChars="2500"/>
    </w:pPr>
    <w:rPr>
      <w:rFonts w:eastAsia="宋体"/>
      <w:kern w:val="0"/>
      <w:sz w:val="24"/>
      <w:szCs w:val="24"/>
    </w:rPr>
  </w:style>
  <w:style w:type="paragraph" w:styleId="15">
    <w:name w:val="Body Text Indent 2"/>
    <w:basedOn w:val="1"/>
    <w:link w:val="35"/>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9">
    <w:name w:val="HTML Preformatted"/>
    <w:basedOn w:val="1"/>
    <w:link w:val="4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kern w:val="0"/>
      <w:sz w:val="24"/>
      <w:szCs w:val="24"/>
    </w:rPr>
  </w:style>
  <w:style w:type="paragraph" w:styleId="20">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Hyperlink"/>
    <w:basedOn w:val="23"/>
    <w:qFormat/>
    <w:uiPriority w:val="0"/>
    <w:rPr>
      <w:color w:val="1F3A87"/>
      <w:u w:val="none"/>
    </w:rPr>
  </w:style>
  <w:style w:type="character" w:styleId="26">
    <w:name w:val="annotation reference"/>
    <w:basedOn w:val="23"/>
    <w:qFormat/>
    <w:uiPriority w:val="99"/>
    <w:rPr>
      <w:rFonts w:cs="Times New Roman"/>
      <w:sz w:val="21"/>
    </w:rPr>
  </w:style>
  <w:style w:type="character" w:customStyle="1" w:styleId="27">
    <w:name w:val="正文文本缩进 Char"/>
    <w:basedOn w:val="23"/>
    <w:link w:val="12"/>
    <w:qFormat/>
    <w:uiPriority w:val="0"/>
    <w:rPr>
      <w:rFonts w:eastAsia="宋体"/>
      <w:kern w:val="2"/>
      <w:sz w:val="21"/>
      <w:szCs w:val="24"/>
      <w:lang w:val="en-US" w:eastAsia="zh-CN" w:bidi="ar-SA"/>
    </w:rPr>
  </w:style>
  <w:style w:type="character" w:customStyle="1" w:styleId="28">
    <w:name w:val="页眉 Char"/>
    <w:basedOn w:val="23"/>
    <w:link w:val="18"/>
    <w:qFormat/>
    <w:uiPriority w:val="0"/>
    <w:rPr>
      <w:rFonts w:eastAsia="仿宋_GB2312"/>
      <w:kern w:val="2"/>
      <w:sz w:val="18"/>
      <w:szCs w:val="18"/>
    </w:rPr>
  </w:style>
  <w:style w:type="paragraph" w:customStyle="1" w:styleId="2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0">
    <w:name w:val="_Style 5"/>
    <w:basedOn w:val="1"/>
    <w:qFormat/>
    <w:uiPriority w:val="0"/>
    <w:rPr>
      <w:rFonts w:eastAsia="宋体"/>
      <w:sz w:val="21"/>
      <w:szCs w:val="20"/>
    </w:rPr>
  </w:style>
  <w:style w:type="paragraph" w:styleId="31">
    <w:name w:val="List Paragraph"/>
    <w:basedOn w:val="1"/>
    <w:qFormat/>
    <w:uiPriority w:val="34"/>
    <w:pPr>
      <w:ind w:firstLine="420" w:firstLineChars="200"/>
    </w:pPr>
    <w:rPr>
      <w:rFonts w:ascii="Calibri" w:hAnsi="Calibri" w:eastAsia="宋体"/>
      <w:sz w:val="21"/>
      <w:szCs w:val="22"/>
    </w:rPr>
  </w:style>
  <w:style w:type="paragraph" w:customStyle="1" w:styleId="32">
    <w:name w:val="列出段落1"/>
    <w:basedOn w:val="1"/>
    <w:qFormat/>
    <w:uiPriority w:val="0"/>
    <w:pPr>
      <w:ind w:firstLine="420" w:firstLineChars="200"/>
    </w:pPr>
    <w:rPr>
      <w:rFonts w:ascii="Calibri" w:hAnsi="Calibri" w:eastAsia="宋体"/>
      <w:sz w:val="21"/>
      <w:szCs w:val="22"/>
    </w:rPr>
  </w:style>
  <w:style w:type="character" w:customStyle="1" w:styleId="33">
    <w:name w:val="正文文本 Char"/>
    <w:basedOn w:val="23"/>
    <w:link w:val="2"/>
    <w:qFormat/>
    <w:locked/>
    <w:uiPriority w:val="0"/>
    <w:rPr>
      <w:rFonts w:eastAsia="宋体"/>
      <w:sz w:val="21"/>
      <w:lang w:val="en-US" w:eastAsia="zh-CN" w:bidi="ar-SA"/>
    </w:rPr>
  </w:style>
  <w:style w:type="paragraph" w:customStyle="1" w:styleId="34">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character" w:customStyle="1" w:styleId="35">
    <w:name w:val="正文文本缩进 2 Char"/>
    <w:basedOn w:val="23"/>
    <w:link w:val="15"/>
    <w:qFormat/>
    <w:uiPriority w:val="0"/>
    <w:rPr>
      <w:rFonts w:ascii="Times New Roman" w:hAnsi="Times New Roman" w:eastAsia="仿宋_GB2312"/>
      <w:kern w:val="2"/>
      <w:sz w:val="30"/>
      <w:szCs w:val="30"/>
    </w:rPr>
  </w:style>
  <w:style w:type="paragraph" w:customStyle="1" w:styleId="36">
    <w:name w:val="电镀正文"/>
    <w:basedOn w:val="6"/>
    <w:qFormat/>
    <w:uiPriority w:val="0"/>
    <w:pPr>
      <w:widowControl w:val="0"/>
      <w:spacing w:line="400" w:lineRule="exact"/>
      <w:ind w:firstLine="200" w:firstLineChars="200"/>
      <w:jc w:val="both"/>
    </w:pPr>
    <w:rPr>
      <w:kern w:val="2"/>
      <w:sz w:val="24"/>
      <w:szCs w:val="24"/>
    </w:rPr>
  </w:style>
  <w:style w:type="character" w:customStyle="1" w:styleId="37">
    <w:name w:val="日期 Char"/>
    <w:basedOn w:val="23"/>
    <w:link w:val="14"/>
    <w:qFormat/>
    <w:uiPriority w:val="99"/>
    <w:rPr>
      <w:rFonts w:ascii="Times New Roman" w:hAnsi="Times New Roman"/>
      <w:sz w:val="24"/>
      <w:szCs w:val="24"/>
    </w:rPr>
  </w:style>
  <w:style w:type="character" w:customStyle="1" w:styleId="38">
    <w:name w:val="批注文字 Char"/>
    <w:basedOn w:val="23"/>
    <w:link w:val="11"/>
    <w:qFormat/>
    <w:uiPriority w:val="99"/>
    <w:rPr>
      <w:rFonts w:ascii="Times New Roman" w:hAnsi="Times New Roman"/>
      <w:sz w:val="24"/>
      <w:szCs w:val="24"/>
    </w:rPr>
  </w:style>
  <w:style w:type="character" w:customStyle="1" w:styleId="39">
    <w:name w:val="纯文本 Char"/>
    <w:basedOn w:val="23"/>
    <w:link w:val="13"/>
    <w:qFormat/>
    <w:uiPriority w:val="0"/>
    <w:rPr>
      <w:rFonts w:ascii="宋体" w:hAnsi="Courier New"/>
      <w:sz w:val="21"/>
      <w:szCs w:val="21"/>
    </w:rPr>
  </w:style>
  <w:style w:type="character" w:customStyle="1" w:styleId="40">
    <w:name w:val="HTML 预设格式 Char"/>
    <w:basedOn w:val="23"/>
    <w:link w:val="19"/>
    <w:qFormat/>
    <w:uiPriority w:val="0"/>
    <w:rPr>
      <w:rFonts w:ascii="Arial" w:hAnsi="Arial"/>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741D34-B016-4A02-A1FA-FBB7C6CDAE5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957</Words>
  <Characters>5459</Characters>
  <Lines>45</Lines>
  <Paragraphs>12</Paragraphs>
  <TotalTime>208</TotalTime>
  <ScaleCrop>false</ScaleCrop>
  <LinksUpToDate>false</LinksUpToDate>
  <CharactersWithSpaces>6404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2019-07-10T05:23:00Z</dcterms:created>
  <dc:creator>qxc</dc:creator>
  <cp:lastModifiedBy>Administrator</cp:lastModifiedBy>
  <cp:lastPrinted>2019-04-09T06:28:00Z</cp:lastPrinted>
  <dcterms:modified xsi:type="dcterms:W3CDTF">2020-07-29T01:09:01Z</dcterms:modified>
  <dc:title>木兰溪霞林段防洪工程拆迁房屋拆除项目</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